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3D71EA07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4C0770">
        <w:rPr>
          <w:rFonts w:ascii="Arial" w:hAnsi="Arial" w:cs="Arial"/>
          <w:noProof/>
          <w:sz w:val="20"/>
          <w:szCs w:val="20"/>
        </w:rPr>
        <w:t xml:space="preserve"> z późn. zm.,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59D63321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beneficjenta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3CA3F1BD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2550076E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178D328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387E33C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4F1C2AD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098FC45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25D4127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3D9E0FB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5BF1C3D3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 xml:space="preserve">azwa 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partnera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C6A311B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3F965F8A" w:rsidR="00E22ABA" w:rsidRPr="000378AA" w:rsidRDefault="00692032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4008A1E0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[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]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CE00B6E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11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września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19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r. Prawo zamówień publicznych (Dz. U. z 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24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1320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3A236DD4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6B374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7C392305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lastRenderedPageBreak/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6CDE6859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</w:t>
      </w:r>
      <w:r w:rsidR="000F42F2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4A064657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</w:t>
      </w:r>
      <w:r w:rsidR="000252C0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>przedmiotowe.</w:t>
      </w:r>
    </w:p>
    <w:p w14:paraId="1F1E1DAF" w14:textId="2B561C10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</w:t>
      </w:r>
      <w:r w:rsidR="000252C0" w:rsidRPr="000252C0">
        <w:rPr>
          <w:rFonts w:ascii="Arial" w:hAnsi="Arial" w:cs="Arial"/>
          <w:sz w:val="20"/>
          <w:szCs w:val="20"/>
        </w:rPr>
        <w:t>wskazanej w sekcji 3.2.1 pkt 1 lit. a wytycznych dot. kwalifikowalności wydatków</w:t>
      </w:r>
      <w:r w:rsidRPr="005A314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0655F6DA" w14:textId="217F63DC" w:rsidR="006916E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</w:t>
      </w:r>
      <w:r w:rsidR="000252C0">
        <w:rPr>
          <w:rFonts w:ascii="Arial" w:hAnsi="Arial" w:cs="Arial"/>
          <w:sz w:val="20"/>
          <w:szCs w:val="20"/>
        </w:rPr>
        <w:t>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3701822F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</w:t>
      </w:r>
      <w:r w:rsidR="006916E4">
        <w:rPr>
          <w:rFonts w:ascii="Arial" w:hAnsi="Arial" w:cs="Arial"/>
          <w:sz w:val="20"/>
          <w:szCs w:val="20"/>
        </w:rPr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(dotyczy także aneksów do umowy z wykonawcą). Niewywiązywanie się </w:t>
      </w:r>
      <w:r w:rsidR="006916E4">
        <w:rPr>
          <w:rFonts w:ascii="Arial" w:hAnsi="Arial" w:cs="Arial"/>
          <w:sz w:val="20"/>
          <w:szCs w:val="20"/>
        </w:rPr>
        <w:t>Partnera Wiodącego</w:t>
      </w:r>
      <w:r w:rsidR="006916E4" w:rsidRPr="006916E4">
        <w:rPr>
          <w:rFonts w:ascii="Arial" w:hAnsi="Arial" w:cs="Arial"/>
          <w:sz w:val="20"/>
          <w:szCs w:val="20"/>
        </w:rPr>
        <w:t xml:space="preserve"> z tego obowiązku może skutkować korektą kosztów pośrednich</w:t>
      </w:r>
      <w:r w:rsidR="006916E4">
        <w:rPr>
          <w:rFonts w:ascii="Arial" w:hAnsi="Arial" w:cs="Arial"/>
          <w:sz w:val="20"/>
          <w:szCs w:val="20"/>
        </w:rPr>
        <w:t xml:space="preserve"> projektu.</w:t>
      </w:r>
    </w:p>
    <w:p w14:paraId="6F0D0505" w14:textId="4FEC1938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przepisów o zamówieniach (naruszenia prawa unijnego lub prawa krajowego)</w:t>
      </w:r>
      <w:r w:rsidR="006916E4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warunków i procedur określonych w wytycznych dot. kwalifikowalności wydatków</w:t>
      </w:r>
      <w:r w:rsidR="006916E4" w:rsidRPr="006916E4"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oraz zasad wskazanych w </w:t>
      </w:r>
      <w:r w:rsidR="006916E4">
        <w:rPr>
          <w:rFonts w:ascii="Arial" w:hAnsi="Arial" w:cs="Arial"/>
          <w:sz w:val="20"/>
          <w:szCs w:val="20"/>
        </w:rPr>
        <w:t>u</w:t>
      </w:r>
      <w:r w:rsidR="006916E4" w:rsidRPr="006916E4">
        <w:rPr>
          <w:rFonts w:ascii="Arial" w:hAnsi="Arial" w:cs="Arial"/>
          <w:sz w:val="20"/>
          <w:szCs w:val="20"/>
        </w:rPr>
        <w:t>mowie</w:t>
      </w:r>
      <w:r w:rsidRPr="005A3144">
        <w:rPr>
          <w:rFonts w:ascii="Arial" w:hAnsi="Arial" w:cs="Arial"/>
          <w:sz w:val="20"/>
          <w:szCs w:val="20"/>
        </w:rPr>
        <w:t xml:space="preserve">, pomniejszy wydatki kwalifikowalne lub nałoży korektę finansową na zasadach wskazanych w Wytycznych dotyczących sposobu korygowania nieprawidłowych wydatków na lata 2021-2027. </w:t>
      </w:r>
    </w:p>
    <w:p w14:paraId="61867080" w14:textId="64497CDB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Przy udzielaniu zamówień</w:t>
      </w:r>
      <w:r w:rsidR="001B7F0B" w:rsidRPr="001B7F0B">
        <w:t xml:space="preserve"> </w:t>
      </w:r>
      <w:r w:rsidR="001B7F0B" w:rsidRPr="001B7F0B">
        <w:rPr>
          <w:rFonts w:ascii="Arial" w:hAnsi="Arial" w:cs="Arial"/>
          <w:sz w:val="20"/>
          <w:szCs w:val="20"/>
        </w:rPr>
        <w:t>o wartości szacunkowej przekraczającej kwotę wskazaną w sekcji 3.2.1 pkt 1 lit. a wytycznych dot. kwalifikowalności wydatków</w:t>
      </w:r>
      <w:r w:rsidR="001B7F0B">
        <w:rPr>
          <w:rFonts w:ascii="Arial" w:hAnsi="Arial" w:cs="Arial"/>
          <w:sz w:val="20"/>
          <w:szCs w:val="20"/>
        </w:rPr>
        <w:t>,</w:t>
      </w:r>
      <w:r w:rsidRPr="005A31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</w:t>
      </w:r>
      <w:r w:rsidRPr="005A3144">
        <w:rPr>
          <w:rFonts w:ascii="Arial" w:hAnsi="Arial" w:cs="Arial"/>
          <w:sz w:val="20"/>
          <w:szCs w:val="20"/>
        </w:rPr>
        <w:lastRenderedPageBreak/>
        <w:t xml:space="preserve">preferencji dla Podmiotów Ekonomii Społecznej (PES). Preferencje mogą być realizowane m.in. poprzez: </w:t>
      </w:r>
    </w:p>
    <w:p w14:paraId="7D96B6B0" w14:textId="6AF225C8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</w:t>
      </w:r>
      <w:r w:rsidR="004C0770" w:rsidRPr="005A3144">
        <w:rPr>
          <w:rFonts w:ascii="Arial" w:hAnsi="Arial" w:cs="Arial"/>
          <w:sz w:val="20"/>
          <w:szCs w:val="20"/>
        </w:rPr>
        <w:t>202</w:t>
      </w:r>
      <w:r w:rsidR="004C0770">
        <w:rPr>
          <w:rFonts w:ascii="Arial" w:hAnsi="Arial" w:cs="Arial"/>
          <w:sz w:val="20"/>
          <w:szCs w:val="20"/>
        </w:rPr>
        <w:t>4</w:t>
      </w:r>
      <w:r w:rsidR="004C0770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4C0770">
        <w:rPr>
          <w:rFonts w:ascii="Arial" w:hAnsi="Arial" w:cs="Arial"/>
          <w:sz w:val="20"/>
          <w:szCs w:val="20"/>
        </w:rPr>
        <w:t>1491</w:t>
      </w:r>
      <w:r w:rsidR="00003F56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="004C0770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</w:t>
      </w:r>
      <w:r w:rsidR="00003F56" w:rsidRPr="005A3144">
        <w:rPr>
          <w:rFonts w:ascii="Arial" w:hAnsi="Arial" w:cs="Arial"/>
          <w:sz w:val="20"/>
          <w:szCs w:val="20"/>
        </w:rPr>
        <w:t>202</w:t>
      </w:r>
      <w:r w:rsidR="00003F56">
        <w:rPr>
          <w:rFonts w:ascii="Arial" w:hAnsi="Arial" w:cs="Arial"/>
          <w:sz w:val="20"/>
          <w:szCs w:val="20"/>
        </w:rPr>
        <w:t>5</w:t>
      </w:r>
      <w:r w:rsidR="00003F56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003F56">
        <w:rPr>
          <w:rFonts w:ascii="Arial" w:hAnsi="Arial" w:cs="Arial"/>
          <w:sz w:val="20"/>
          <w:szCs w:val="20"/>
        </w:rPr>
        <w:t>178</w:t>
      </w:r>
      <w:r w:rsidR="001B7F0B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416938C6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postępowaniu o udzielenie zamówienia przesłanek wykluczenia wykonawcy, o których mowa w:</w:t>
      </w:r>
    </w:p>
    <w:p w14:paraId="6699C5CD" w14:textId="33015C0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5C3371" w:rsidRPr="00E93179">
        <w:rPr>
          <w:rFonts w:ascii="Arial" w:hAnsi="Arial" w:cs="Arial"/>
          <w:sz w:val="20"/>
          <w:szCs w:val="20"/>
        </w:rPr>
        <w:t>202</w:t>
      </w:r>
      <w:r w:rsidR="005C3371">
        <w:rPr>
          <w:rFonts w:ascii="Arial" w:hAnsi="Arial" w:cs="Arial"/>
          <w:sz w:val="20"/>
          <w:szCs w:val="20"/>
        </w:rPr>
        <w:t>5</w:t>
      </w:r>
      <w:r w:rsidR="005C3371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5C3371">
        <w:rPr>
          <w:rFonts w:ascii="Arial" w:hAnsi="Arial" w:cs="Arial"/>
          <w:sz w:val="20"/>
          <w:szCs w:val="20"/>
        </w:rPr>
        <w:t>514</w:t>
      </w:r>
      <w:r w:rsidR="001B7F0B">
        <w:rPr>
          <w:rFonts w:ascii="Arial" w:hAnsi="Arial" w:cs="Arial"/>
          <w:sz w:val="20"/>
          <w:szCs w:val="20"/>
        </w:rPr>
        <w:t xml:space="preserve"> z późn.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BE1ABED" w14:textId="4176E4D8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4" w:name="_Hlk184032540"/>
      <w:bookmarkStart w:id="5" w:name="_Hlk184294381"/>
      <w:r>
        <w:rPr>
          <w:rFonts w:ascii="Arial" w:hAnsi="Arial" w:cs="Arial"/>
          <w:sz w:val="20"/>
          <w:szCs w:val="20"/>
        </w:rPr>
        <w:t>Strony</w:t>
      </w:r>
      <w:r w:rsidR="001B7F0B">
        <w:rPr>
          <w:rFonts w:ascii="Arial" w:hAnsi="Arial" w:cs="Arial"/>
          <w:sz w:val="20"/>
          <w:szCs w:val="20"/>
        </w:rPr>
        <w:t>, jeśli są</w:t>
      </w:r>
      <w:r w:rsidR="001B7F0B" w:rsidRPr="001B7F0B">
        <w:rPr>
          <w:rFonts w:ascii="Arial" w:hAnsi="Arial" w:cs="Arial"/>
          <w:sz w:val="20"/>
          <w:szCs w:val="20"/>
        </w:rPr>
        <w:t xml:space="preserve"> zamawiającym w rozumieniu ustawy </w:t>
      </w:r>
      <w:proofErr w:type="spellStart"/>
      <w:r w:rsidR="001B7F0B" w:rsidRPr="001B7F0B">
        <w:rPr>
          <w:rFonts w:ascii="Arial" w:hAnsi="Arial" w:cs="Arial"/>
          <w:sz w:val="20"/>
          <w:szCs w:val="20"/>
        </w:rPr>
        <w:t>Pzp</w:t>
      </w:r>
      <w:proofErr w:type="spellEnd"/>
      <w:r w:rsidR="001B7F0B">
        <w:rPr>
          <w:rFonts w:ascii="Arial" w:hAnsi="Arial" w:cs="Arial"/>
          <w:sz w:val="20"/>
          <w:szCs w:val="20"/>
        </w:rPr>
        <w:t>,</w:t>
      </w:r>
      <w:r w:rsidRPr="000378AA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ą</w:t>
      </w:r>
      <w:r w:rsidRPr="000378AA">
        <w:rPr>
          <w:rFonts w:ascii="Arial" w:hAnsi="Arial" w:cs="Arial"/>
          <w:sz w:val="20"/>
          <w:szCs w:val="20"/>
        </w:rPr>
        <w:t xml:space="preserve"> się do nieudzielania zamówień podmiotom, u których udzielenie zamówienia mogłoby spowodować wystąpienie konfliktu interesów</w:t>
      </w:r>
      <w:r w:rsidR="000671BB">
        <w:rPr>
          <w:rStyle w:val="Odwoanieprzypisudolnego"/>
          <w:rFonts w:ascii="Arial" w:hAnsi="Arial"/>
          <w:sz w:val="20"/>
          <w:szCs w:val="20"/>
        </w:rPr>
        <w:footnoteReference w:id="23"/>
      </w:r>
      <w:r w:rsidRPr="000378AA">
        <w:rPr>
          <w:rFonts w:ascii="Arial" w:hAnsi="Arial" w:cs="Arial"/>
          <w:sz w:val="20"/>
          <w:szCs w:val="20"/>
        </w:rPr>
        <w:t xml:space="preserve">. Z odpowiedzialności tej nie zwalnia też </w:t>
      </w:r>
      <w:r>
        <w:rPr>
          <w:rFonts w:ascii="Arial" w:hAnsi="Arial" w:cs="Arial"/>
          <w:sz w:val="20"/>
          <w:szCs w:val="20"/>
        </w:rPr>
        <w:t>St</w:t>
      </w:r>
      <w:r w:rsidR="00F76CC5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on</w:t>
      </w:r>
      <w:r w:rsidRPr="000378AA">
        <w:rPr>
          <w:rFonts w:ascii="Arial" w:hAnsi="Arial" w:cs="Arial"/>
          <w:sz w:val="20"/>
          <w:szCs w:val="20"/>
        </w:rPr>
        <w:t xml:space="preserve"> fakt powierzenia czynności dotyczących przeprowadzenia postępowania o udzielenie zamówienia osobie trzeciej, np. inżynierowi kontraktu.</w:t>
      </w:r>
    </w:p>
    <w:p w14:paraId="0B8D72FA" w14:textId="093602A5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0378AA">
        <w:rPr>
          <w:rFonts w:ascii="Arial" w:hAnsi="Arial" w:cs="Arial"/>
          <w:sz w:val="20"/>
          <w:szCs w:val="20"/>
        </w:rPr>
        <w:t xml:space="preserve">W celu uniknięcia konfliktu interesów, w przypadku </w:t>
      </w:r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a</w:t>
      </w:r>
      <w:r w:rsidRPr="000378AA">
        <w:rPr>
          <w:rFonts w:ascii="Arial" w:hAnsi="Arial" w:cs="Arial"/>
          <w:sz w:val="20"/>
          <w:szCs w:val="20"/>
        </w:rPr>
        <w:t xml:space="preserve"> nie jest zamawiającym w rozumieniu </w:t>
      </w:r>
      <w:r w:rsidR="00F76CC5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378AA">
        <w:rPr>
          <w:rFonts w:ascii="Arial" w:hAnsi="Arial" w:cs="Arial"/>
          <w:sz w:val="20"/>
          <w:szCs w:val="20"/>
        </w:rPr>
        <w:t>Pzp</w:t>
      </w:r>
      <w:proofErr w:type="spellEnd"/>
      <w:r w:rsidRPr="000378AA">
        <w:rPr>
          <w:rFonts w:ascii="Arial" w:hAnsi="Arial" w:cs="Arial"/>
          <w:sz w:val="20"/>
          <w:szCs w:val="20"/>
        </w:rPr>
        <w:t xml:space="preserve">, zamówienia nie mogą być udzielane podmiotom powiązanym z </w:t>
      </w:r>
      <w:r>
        <w:rPr>
          <w:rFonts w:ascii="Arial" w:hAnsi="Arial" w:cs="Arial"/>
          <w:sz w:val="20"/>
          <w:szCs w:val="20"/>
        </w:rPr>
        <w:t>nią</w:t>
      </w:r>
      <w:r w:rsidRPr="000378AA">
        <w:rPr>
          <w:rFonts w:ascii="Arial" w:hAnsi="Arial" w:cs="Arial"/>
          <w:sz w:val="20"/>
          <w:szCs w:val="20"/>
        </w:rPr>
        <w:t xml:space="preserve"> osobowo lub kapitałowo, z wyłączeniem zamówień sektorowych i zamówień określonych w sekcji 3.2.1 pkt 2 lit. i wytycznych dot. kwalifikowalności wydatków.</w:t>
      </w:r>
      <w:bookmarkEnd w:id="4"/>
      <w:r w:rsidRPr="000378AA">
        <w:rPr>
          <w:rFonts w:ascii="Arial" w:hAnsi="Arial" w:cs="Arial"/>
          <w:sz w:val="20"/>
          <w:szCs w:val="20"/>
        </w:rPr>
        <w:t xml:space="preserve"> </w:t>
      </w:r>
      <w:bookmarkEnd w:id="5"/>
    </w:p>
    <w:p w14:paraId="7F326FA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385EC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6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6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 xml:space="preserve">nazwa podmiotu zewnętrznego lub </w:t>
      </w:r>
      <w:r w:rsidRPr="00A60872">
        <w:rPr>
          <w:rFonts w:ascii="Arial" w:hAnsi="Arial" w:cs="Arial"/>
          <w:noProof/>
          <w:sz w:val="20"/>
          <w:szCs w:val="20"/>
        </w:rPr>
        <w:lastRenderedPageBreak/>
        <w:t>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</w:t>
      </w:r>
      <w:r w:rsidR="002B748C" w:rsidRPr="00A60872">
        <w:rPr>
          <w:rFonts w:ascii="Arial" w:hAnsi="Arial" w:cs="Arial"/>
          <w:noProof/>
          <w:sz w:val="20"/>
          <w:szCs w:val="20"/>
        </w:rPr>
        <w:lastRenderedPageBreak/>
        <w:t xml:space="preserve">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18CA1679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4F7194" w:rsidRPr="004F7194">
          <w:rPr>
            <w:rStyle w:val="Hipercze"/>
          </w:rPr>
          <w:t>ef.sekretariat@kujawsko-pomorskie.pl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</w:t>
      </w:r>
      <w:r w:rsidRPr="00A60872">
        <w:rPr>
          <w:rFonts w:ascii="Arial" w:hAnsi="Arial" w:cs="Arial"/>
          <w:noProof/>
          <w:sz w:val="20"/>
          <w:szCs w:val="20"/>
        </w:rPr>
        <w:lastRenderedPageBreak/>
        <w:t xml:space="preserve">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1DFD224C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</w:t>
      </w:r>
      <w:r w:rsidR="00F51CB6" w:rsidRPr="00A60872">
        <w:rPr>
          <w:rFonts w:ascii="Arial" w:hAnsi="Arial" w:cs="Arial"/>
          <w:noProof/>
          <w:sz w:val="20"/>
          <w:szCs w:val="20"/>
        </w:rPr>
        <w:t>202</w:t>
      </w:r>
      <w:r w:rsidR="00F51CB6">
        <w:rPr>
          <w:rFonts w:ascii="Arial" w:hAnsi="Arial" w:cs="Arial"/>
          <w:noProof/>
          <w:sz w:val="20"/>
          <w:szCs w:val="20"/>
        </w:rPr>
        <w:t>5</w:t>
      </w:r>
      <w:r w:rsidR="00F51CB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r. poz. </w:t>
      </w:r>
      <w:r w:rsidR="00F51CB6">
        <w:rPr>
          <w:rFonts w:ascii="Arial" w:hAnsi="Arial" w:cs="Arial"/>
          <w:noProof/>
          <w:sz w:val="20"/>
          <w:szCs w:val="20"/>
        </w:rPr>
        <w:t>24</w:t>
      </w:r>
      <w:r w:rsidRPr="00A60872">
        <w:rPr>
          <w:rFonts w:ascii="Arial" w:hAnsi="Arial" w:cs="Arial"/>
          <w:noProof/>
          <w:sz w:val="20"/>
          <w:szCs w:val="20"/>
        </w:rPr>
        <w:t xml:space="preserve">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lastRenderedPageBreak/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7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7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lastRenderedPageBreak/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8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8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0A14B72" w14:textId="77777777" w:rsidR="00273C1E" w:rsidRDefault="00273C1E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br w:type="page"/>
      </w:r>
    </w:p>
    <w:p w14:paraId="54FED5F9" w14:textId="4208A4A6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2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5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BEC07" w14:textId="77777777" w:rsidR="00CE5005" w:rsidRDefault="00CE5005" w:rsidP="008B66D8">
      <w:r>
        <w:separator/>
      </w:r>
    </w:p>
  </w:endnote>
  <w:endnote w:type="continuationSeparator" w:id="0">
    <w:p w14:paraId="0C4DA8EE" w14:textId="77777777" w:rsidR="00CE5005" w:rsidRDefault="00CE5005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39A71" w14:textId="77777777" w:rsidR="00CE5005" w:rsidRDefault="00CE5005" w:rsidP="008B66D8">
      <w:r>
        <w:separator/>
      </w:r>
    </w:p>
  </w:footnote>
  <w:footnote w:type="continuationSeparator" w:id="0">
    <w:p w14:paraId="563A83FC" w14:textId="77777777" w:rsidR="00CE5005" w:rsidRDefault="00CE5005" w:rsidP="008B66D8">
      <w:r>
        <w:continuationSeparator/>
      </w:r>
    </w:p>
  </w:footnote>
  <w:footnote w:id="1">
    <w:p w14:paraId="3279382D" w14:textId="477BF64D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</w:t>
      </w:r>
      <w:r w:rsidR="006B3746">
        <w:rPr>
          <w:rFonts w:ascii="Arial" w:hAnsi="Arial" w:cs="Arial"/>
          <w:sz w:val="18"/>
          <w:szCs w:val="18"/>
        </w:rPr>
        <w:t xml:space="preserve">modyfikowany i </w:t>
      </w:r>
      <w:r w:rsidR="00105BF3" w:rsidRPr="00DF612A">
        <w:rPr>
          <w:rFonts w:ascii="Arial" w:hAnsi="Arial" w:cs="Arial"/>
          <w:sz w:val="18"/>
          <w:szCs w:val="18"/>
        </w:rPr>
        <w:t xml:space="preserve">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  <w:r w:rsidR="006B3746">
        <w:rPr>
          <w:rFonts w:ascii="Arial" w:hAnsi="Arial" w:cs="Arial"/>
          <w:sz w:val="18"/>
          <w:szCs w:val="18"/>
          <w:lang w:val="pl-PL"/>
        </w:rPr>
        <w:t xml:space="preserve"> Za aktualność podstaw prawnych, prawidłowe odwołania i techniczno-redakcyjną poprawność umowy odpowiada partner wiodący.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13198325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Należy dostosować do uregulowań przyjętych w ramach danego partnerstwa</w:t>
      </w:r>
      <w:r w:rsidR="002B57C9">
        <w:rPr>
          <w:rFonts w:ascii="Arial" w:hAnsi="Arial" w:cs="Arial"/>
          <w:sz w:val="18"/>
          <w:szCs w:val="18"/>
        </w:rPr>
        <w:t xml:space="preserve"> (np. gdy pozostali partnerzy z poziomu partnerstwa także wnoszą zabezpieczenie w części w jakiej odpowiadają za realizację projektu)</w:t>
      </w:r>
      <w:r w:rsidRPr="00276BDA">
        <w:rPr>
          <w:rFonts w:ascii="Arial" w:hAnsi="Arial" w:cs="Arial"/>
          <w:sz w:val="18"/>
          <w:szCs w:val="18"/>
        </w:rPr>
        <w:t>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2F6A0DB5" w14:textId="3E91935D" w:rsidR="000671BB" w:rsidRDefault="000671BB" w:rsidP="000671BB">
      <w:pPr>
        <w:pStyle w:val="Tekstprzypisudolnego"/>
      </w:pPr>
      <w:r>
        <w:rPr>
          <w:rStyle w:val="Odwoanieprzypisudolnego"/>
        </w:rPr>
        <w:footnoteRef/>
      </w:r>
      <w:r>
        <w:t xml:space="preserve"> Konflikt interesów – to konflikt, o którym mowa w:</w:t>
      </w:r>
    </w:p>
    <w:p w14:paraId="129CB55E" w14:textId="4A764D68" w:rsidR="000671BB" w:rsidRDefault="000671BB" w:rsidP="000671BB">
      <w:pPr>
        <w:pStyle w:val="Tekstprzypisudolnego"/>
      </w:pPr>
      <w:r>
        <w:t xml:space="preserve">a) art. 61 Rozporządzenie Parlamentu Europejskiego i Rady (UE, </w:t>
      </w:r>
      <w:proofErr w:type="spellStart"/>
      <w:r>
        <w:t>Euratom</w:t>
      </w:r>
      <w:proofErr w:type="spellEnd"/>
      <w:r>
        <w:t>) 2024/2509 z dnia 23 września 2024 r. w sprawie zasad finansowych mających zastosowanie do budżetu ogólnego Unii (Dz. Urz. UE L 2024/2509 z 26 września 2024 r.);</w:t>
      </w:r>
    </w:p>
    <w:p w14:paraId="20E69E1C" w14:textId="4A449A26" w:rsidR="000671BB" w:rsidRDefault="000671BB" w:rsidP="000671BB">
      <w:pPr>
        <w:pStyle w:val="Tekstprzypisudolnego"/>
      </w:pPr>
      <w:r>
        <w:t>b) art. 24  Dyrektywy Parlamentu Europejskiego i Rady 2014/24/UE z dnia 26 lutego 2014 r. w sprawie zamówień publicznych, uchylająca dyrektywę 2004/18/WE (Dz. Urz. UE L 094 z 28 marca 2014 r., s. 65 z późn. zm.);</w:t>
      </w:r>
    </w:p>
    <w:p w14:paraId="4A4C4C2C" w14:textId="53A7544E" w:rsidR="000671BB" w:rsidRDefault="000671BB" w:rsidP="000671BB">
      <w:pPr>
        <w:pStyle w:val="Tekstprzypisudolnego"/>
      </w:pPr>
      <w:r>
        <w:t xml:space="preserve">c) art. 56 ust. 2 ustawy </w:t>
      </w:r>
      <w:proofErr w:type="spellStart"/>
      <w:r>
        <w:t>Pzp</w:t>
      </w:r>
      <w:proofErr w:type="spellEnd"/>
      <w:r>
        <w:t>;</w:t>
      </w:r>
    </w:p>
    <w:p w14:paraId="718531DE" w14:textId="47E6ABDA" w:rsidR="000671BB" w:rsidRPr="000671BB" w:rsidRDefault="000671BB" w:rsidP="000671BB">
      <w:pPr>
        <w:pStyle w:val="Tekstprzypisudolnego"/>
      </w:pPr>
      <w:r>
        <w:t>d) pkt 6 i 7 sekcji 3.2.2 wytycznych dot. kwalifikowalności wydatków.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3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4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5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3F56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2C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378AA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1BB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47A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42F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5DF8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B7F0B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116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221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3C1E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4D47"/>
    <w:rsid w:val="002B54F5"/>
    <w:rsid w:val="002B57C9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395E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3BC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1AF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123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770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4F7194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2089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3371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37BC1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6E4"/>
    <w:rsid w:val="00691E70"/>
    <w:rsid w:val="00692032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3746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27CA"/>
    <w:rsid w:val="00745708"/>
    <w:rsid w:val="007475D8"/>
    <w:rsid w:val="0074786C"/>
    <w:rsid w:val="00747AF2"/>
    <w:rsid w:val="00747B2B"/>
    <w:rsid w:val="007503FC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BB9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17E8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2C2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21D9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7787B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10B2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C68EC"/>
    <w:rsid w:val="00CD0B48"/>
    <w:rsid w:val="00CD0DFF"/>
    <w:rsid w:val="00CD5235"/>
    <w:rsid w:val="00CD6579"/>
    <w:rsid w:val="00CD6F46"/>
    <w:rsid w:val="00CE00A4"/>
    <w:rsid w:val="00CE4248"/>
    <w:rsid w:val="00CE5005"/>
    <w:rsid w:val="00CE6D75"/>
    <w:rsid w:val="00CF0A89"/>
    <w:rsid w:val="00CF13FF"/>
    <w:rsid w:val="00CF1523"/>
    <w:rsid w:val="00CF18E2"/>
    <w:rsid w:val="00CF2E1E"/>
    <w:rsid w:val="00CF3C5A"/>
    <w:rsid w:val="00CF5C3E"/>
    <w:rsid w:val="00CF6753"/>
    <w:rsid w:val="00D03989"/>
    <w:rsid w:val="00D03D1B"/>
    <w:rsid w:val="00D04538"/>
    <w:rsid w:val="00D04F54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47862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5A73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21C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1CB6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A94"/>
    <w:rsid w:val="00F72D24"/>
    <w:rsid w:val="00F742A8"/>
    <w:rsid w:val="00F75E1A"/>
    <w:rsid w:val="00F76601"/>
    <w:rsid w:val="00F76CC5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7EDB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f.sekretariat@kujawsko-pomor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7830</Words>
  <Characters>46983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54704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Marcin Prykanowski</cp:lastModifiedBy>
  <cp:revision>40</cp:revision>
  <cp:lastPrinted>2017-08-17T14:14:00Z</cp:lastPrinted>
  <dcterms:created xsi:type="dcterms:W3CDTF">2023-08-31T15:32:00Z</dcterms:created>
  <dcterms:modified xsi:type="dcterms:W3CDTF">2025-06-20T06:53:00Z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