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6F7C" w14:textId="77777777" w:rsidR="007673F0" w:rsidRPr="000B7D69" w:rsidRDefault="00000000">
      <w:pPr>
        <w:pStyle w:val="Teksttreci0"/>
        <w:shd w:val="clear" w:color="auto" w:fill="auto"/>
        <w:ind w:firstLine="0"/>
        <w:jc w:val="center"/>
        <w:rPr>
          <w:b/>
          <w:bCs/>
        </w:rPr>
      </w:pPr>
      <w:r w:rsidRPr="000B7D69">
        <w:rPr>
          <w:b/>
          <w:bCs/>
        </w:rPr>
        <w:t>UZASADNIENIE</w:t>
      </w:r>
    </w:p>
    <w:p w14:paraId="5924C388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Przedmiot regulacji:</w:t>
      </w:r>
    </w:p>
    <w:p w14:paraId="726E304A" w14:textId="77777777" w:rsidR="007673F0" w:rsidRDefault="00000000">
      <w:pPr>
        <w:pStyle w:val="Teksttreci0"/>
        <w:shd w:val="clear" w:color="auto" w:fill="auto"/>
        <w:ind w:firstLine="740"/>
      </w:pPr>
      <w:r>
        <w:t>Uchwała zmieniająca w sprawie powołania oraz określenia zadań Komitetu Monitoru</w:t>
      </w:r>
      <w:r>
        <w:softHyphen/>
        <w:t xml:space="preserve">jącego program Fundusze Europejskie dla Kujaw i Pomorza 2021-2027 (KM </w:t>
      </w:r>
      <w:proofErr w:type="spellStart"/>
      <w:r>
        <w:t>FEdKP</w:t>
      </w:r>
      <w:proofErr w:type="spellEnd"/>
      <w:r>
        <w:t xml:space="preserve"> 2021</w:t>
      </w:r>
      <w:r>
        <w:softHyphen/>
        <w:t>2027).</w:t>
      </w:r>
    </w:p>
    <w:p w14:paraId="083F78B4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Omówienie podstawy prawnej:</w:t>
      </w:r>
    </w:p>
    <w:p w14:paraId="06064193" w14:textId="77777777" w:rsidR="007673F0" w:rsidRDefault="00000000">
      <w:pPr>
        <w:pStyle w:val="Teksttreci0"/>
        <w:shd w:val="clear" w:color="auto" w:fill="auto"/>
        <w:ind w:firstLine="740"/>
      </w:pPr>
      <w:r>
        <w:t>Na podstawie art. 38 Rozporządzenia Parlamentu Europejskiego i Rady (UE) nr 2021/1060 z dnia 24 czerwca 2021 r. ustanawiającego wspólne przepisy dotyczące Euro</w:t>
      </w:r>
      <w:r>
        <w:softHyphen/>
        <w:t>pejskiego Funduszu Rozwoju Regionalnego, Europejskiego Funduszu Społecznego Plus, Funduszu Spójności, Funduszu na rzecz Sprawiedliwej Transformacji i Europejskiego Fundu</w:t>
      </w:r>
      <w:r>
        <w:softHyphen/>
        <w:t>szu Morskiego, Rybackiego i Akwakultury, a także przepisy finansowe na potrzeby tych fun</w:t>
      </w:r>
      <w:r>
        <w:softHyphen/>
        <w:t>duszy oraz na potrzeby Funduszu Azylu, Migracji i Integracji, Funduszu Bezpieczeństwa Wewnętrznego i Instrumentu Wsparcia Finansowego na rzecz Zarządzania Granicami i Poli</w:t>
      </w:r>
      <w:r>
        <w:softHyphen/>
        <w:t xml:space="preserve">tyki Wizowej (Dz. Urz. UE L 231 z 30.06.2021, str. 159, </w:t>
      </w:r>
      <w:proofErr w:type="spellStart"/>
      <w:r>
        <w:t>późn</w:t>
      </w:r>
      <w:proofErr w:type="spellEnd"/>
      <w:r>
        <w:t>. zm.), art. 16 ustawy z dnia 28 kwietnia 2022 r. o zasadach realizacji zadań finansowanych ze środków europejskich w per</w:t>
      </w:r>
      <w:r>
        <w:softHyphen/>
        <w:t>spektywie finansowej 2021-2027 (Dz. U. z 2022 r. poz. 1079) oraz zgodnie z Wytycznymi Ministra Funduszy i Polityki Regionalnej dotyczącymi komitetów monitorujących na lata 2021-2027 z dnia 21 września 2022 r. Zarząd Województwa Kujawsko-Pomorskiego jako Instytucja Zarządzająca programem Fundusze Europejskie dla Kujaw i Pomorza 2021-2027, jest zobowiązany powołać Komitet Monitorujący.</w:t>
      </w:r>
    </w:p>
    <w:p w14:paraId="390E5003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Opinia i zgodności:</w:t>
      </w:r>
    </w:p>
    <w:p w14:paraId="752051FD" w14:textId="77777777" w:rsidR="007673F0" w:rsidRDefault="00000000">
      <w:pPr>
        <w:pStyle w:val="Teksttreci0"/>
        <w:shd w:val="clear" w:color="auto" w:fill="auto"/>
        <w:ind w:firstLine="740"/>
      </w:pPr>
      <w:r>
        <w:t>Zakres regulacji nie podlega prawu Unii Europejskiej.</w:t>
      </w:r>
    </w:p>
    <w:p w14:paraId="73F63B03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Konsultacje wymagane przepisami prawa (łącznie z przepisami wewnętrznymi):</w:t>
      </w:r>
    </w:p>
    <w:p w14:paraId="4842D5B4" w14:textId="77777777" w:rsidR="007673F0" w:rsidRDefault="00000000">
      <w:pPr>
        <w:pStyle w:val="Teksttreci0"/>
        <w:shd w:val="clear" w:color="auto" w:fill="auto"/>
        <w:ind w:firstLine="740"/>
      </w:pPr>
      <w:r>
        <w:t>Zgodnie z przepisami projekt uchwały nie podlega konsultacjom/uzgodnieniom.</w:t>
      </w:r>
    </w:p>
    <w:p w14:paraId="470D3EB8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Uzasadnienie merytoryczne:</w:t>
      </w:r>
    </w:p>
    <w:p w14:paraId="622BFB00" w14:textId="77777777" w:rsidR="007673F0" w:rsidRDefault="00000000">
      <w:pPr>
        <w:pStyle w:val="Teksttreci0"/>
        <w:shd w:val="clear" w:color="auto" w:fill="auto"/>
        <w:ind w:firstLine="740"/>
      </w:pPr>
      <w:r>
        <w:t>W uchwale zmianie uległa reprezentacja zastępcy członka z ramienia Uniwersytetu Kazimierza Wielkiego w Bydgoszczy. Ponadto zaktualizowane zostały nazwy departamen</w:t>
      </w:r>
      <w:r>
        <w:softHyphen/>
        <w:t>tów.</w:t>
      </w:r>
    </w:p>
    <w:p w14:paraId="4C4906E4" w14:textId="77777777" w:rsidR="007673F0" w:rsidRPr="000B7D69" w:rsidRDefault="00000000">
      <w:pPr>
        <w:pStyle w:val="Teksttreci0"/>
        <w:numPr>
          <w:ilvl w:val="0"/>
          <w:numId w:val="1"/>
        </w:numPr>
        <w:shd w:val="clear" w:color="auto" w:fill="auto"/>
        <w:tabs>
          <w:tab w:val="left" w:pos="361"/>
        </w:tabs>
        <w:spacing w:after="0"/>
        <w:ind w:firstLine="0"/>
        <w:jc w:val="left"/>
        <w:rPr>
          <w:b/>
          <w:bCs/>
        </w:rPr>
      </w:pPr>
      <w:r w:rsidRPr="000B7D69">
        <w:rPr>
          <w:b/>
          <w:bCs/>
        </w:rPr>
        <w:t>Ocena skutków regulacji:</w:t>
      </w:r>
    </w:p>
    <w:p w14:paraId="289A3524" w14:textId="77777777" w:rsidR="007673F0" w:rsidRDefault="00000000">
      <w:pPr>
        <w:pStyle w:val="Teksttreci0"/>
        <w:shd w:val="clear" w:color="auto" w:fill="auto"/>
        <w:ind w:firstLine="740"/>
      </w:pPr>
      <w:r>
        <w:t>Zmiana uchwały umożliwi uczestnictwo w pracach Komitetu ww. przedstawicielom i sprawne funkcjonowanie KM.</w:t>
      </w:r>
    </w:p>
    <w:sectPr w:rsidR="007673F0">
      <w:pgSz w:w="11900" w:h="16840"/>
      <w:pgMar w:top="1393" w:right="1388" w:bottom="1393" w:left="13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3669" w14:textId="77777777" w:rsidR="006724E0" w:rsidRDefault="006724E0">
      <w:r>
        <w:separator/>
      </w:r>
    </w:p>
  </w:endnote>
  <w:endnote w:type="continuationSeparator" w:id="0">
    <w:p w14:paraId="0BAE2ED8" w14:textId="77777777" w:rsidR="006724E0" w:rsidRDefault="0067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B85F9" w14:textId="77777777" w:rsidR="006724E0" w:rsidRDefault="006724E0"/>
  </w:footnote>
  <w:footnote w:type="continuationSeparator" w:id="0">
    <w:p w14:paraId="0018EFC7" w14:textId="77777777" w:rsidR="006724E0" w:rsidRDefault="006724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33E3C"/>
    <w:multiLevelType w:val="multilevel"/>
    <w:tmpl w:val="74D21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4352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3F0"/>
    <w:rsid w:val="000B7D69"/>
    <w:rsid w:val="006724E0"/>
    <w:rsid w:val="0076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3D85"/>
  <w15:docId w15:val="{32F1AEDB-AA4B-40A9-86D3-A3190F68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/>
      <w:ind w:firstLine="4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uz-6-23-44-2374-u</dc:title>
  <dc:subject/>
  <dc:creator>PrzemysBaw Ciski</dc:creator>
  <cp:keywords/>
  <cp:lastModifiedBy>Marcin Prykanowski</cp:lastModifiedBy>
  <cp:revision>2</cp:revision>
  <dcterms:created xsi:type="dcterms:W3CDTF">2024-01-05T10:34:00Z</dcterms:created>
  <dcterms:modified xsi:type="dcterms:W3CDTF">2024-01-05T10:34:00Z</dcterms:modified>
</cp:coreProperties>
</file>