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465F2" w14:textId="1B8BED3F" w:rsidR="008E48C9" w:rsidRPr="008E48C9" w:rsidRDefault="008E48C9" w:rsidP="008E48C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rFonts w:ascii="Arial" w:eastAsia="Arial" w:hAnsi="Arial" w:cs="Arial"/>
          <w:bCs/>
          <w:color w:val="000000"/>
        </w:rPr>
      </w:pPr>
      <w:r w:rsidRPr="008E48C9">
        <w:rPr>
          <w:rFonts w:ascii="Arial" w:eastAsia="Arial" w:hAnsi="Arial" w:cs="Arial"/>
          <w:bCs/>
          <w:color w:val="000000"/>
        </w:rPr>
        <w:t>Załącznik nr 2 do Stanowiska nr</w:t>
      </w:r>
      <w:r w:rsidR="004E7B3C">
        <w:rPr>
          <w:rFonts w:ascii="Arial" w:eastAsia="Arial" w:hAnsi="Arial" w:cs="Arial"/>
          <w:bCs/>
          <w:color w:val="000000"/>
        </w:rPr>
        <w:t xml:space="preserve"> </w:t>
      </w:r>
      <w:r w:rsidR="00545C91">
        <w:rPr>
          <w:rFonts w:ascii="Arial" w:eastAsia="Arial" w:hAnsi="Arial" w:cs="Arial"/>
          <w:bCs/>
          <w:color w:val="000000"/>
        </w:rPr>
        <w:t>40</w:t>
      </w:r>
      <w:r w:rsidR="004E7B3C">
        <w:rPr>
          <w:rFonts w:ascii="Arial" w:eastAsia="Arial" w:hAnsi="Arial" w:cs="Arial"/>
          <w:bCs/>
          <w:color w:val="000000"/>
        </w:rPr>
        <w:t>/2023</w:t>
      </w:r>
    </w:p>
    <w:p w14:paraId="5DB7B2A7" w14:textId="50DB46D5" w:rsidR="008E48C9" w:rsidRPr="008E48C9" w:rsidRDefault="008E48C9" w:rsidP="008E48C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rFonts w:ascii="Arial" w:eastAsia="Arial" w:hAnsi="Arial" w:cs="Arial"/>
          <w:bCs/>
          <w:color w:val="000000"/>
        </w:rPr>
      </w:pPr>
      <w:r w:rsidRPr="008E48C9">
        <w:rPr>
          <w:rFonts w:ascii="Arial" w:eastAsia="Arial" w:hAnsi="Arial" w:cs="Arial"/>
          <w:bCs/>
          <w:color w:val="000000"/>
        </w:rPr>
        <w:t xml:space="preserve">Grupy roboczej ds. </w:t>
      </w:r>
      <w:r w:rsidR="00F633A8">
        <w:rPr>
          <w:rFonts w:ascii="Arial" w:eastAsia="Arial" w:hAnsi="Arial" w:cs="Arial"/>
          <w:bCs/>
          <w:color w:val="000000"/>
        </w:rPr>
        <w:t>polityki terytorialnej</w:t>
      </w:r>
    </w:p>
    <w:p w14:paraId="6B4DA448" w14:textId="4D152439" w:rsidR="008E48C9" w:rsidRPr="008E48C9" w:rsidRDefault="008E48C9" w:rsidP="008E48C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rFonts w:ascii="Arial" w:eastAsia="Arial" w:hAnsi="Arial" w:cs="Arial"/>
          <w:bCs/>
          <w:color w:val="000000"/>
        </w:rPr>
      </w:pPr>
      <w:r w:rsidRPr="008E48C9">
        <w:rPr>
          <w:rFonts w:ascii="Arial" w:eastAsia="Arial" w:hAnsi="Arial" w:cs="Arial"/>
          <w:bCs/>
          <w:color w:val="000000"/>
        </w:rPr>
        <w:t xml:space="preserve">z dnia </w:t>
      </w:r>
      <w:r w:rsidR="00545C91">
        <w:rPr>
          <w:rFonts w:ascii="Arial" w:eastAsia="Arial" w:hAnsi="Arial" w:cs="Arial"/>
          <w:bCs/>
          <w:color w:val="000000"/>
        </w:rPr>
        <w:t>8</w:t>
      </w:r>
      <w:r>
        <w:rPr>
          <w:rFonts w:ascii="Arial" w:eastAsia="Arial" w:hAnsi="Arial" w:cs="Arial"/>
          <w:bCs/>
          <w:color w:val="000000"/>
        </w:rPr>
        <w:t xml:space="preserve"> listopada</w:t>
      </w:r>
      <w:r w:rsidRPr="008E48C9">
        <w:rPr>
          <w:rFonts w:ascii="Arial" w:eastAsia="Arial" w:hAnsi="Arial" w:cs="Arial"/>
          <w:bCs/>
          <w:color w:val="000000"/>
        </w:rPr>
        <w:t xml:space="preserve"> 2023 r.</w:t>
      </w:r>
    </w:p>
    <w:p w14:paraId="5D253403" w14:textId="77777777" w:rsidR="008E48C9" w:rsidRDefault="008E48C9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b/>
          <w:color w:val="000000"/>
          <w:u w:val="single"/>
        </w:rPr>
      </w:pPr>
    </w:p>
    <w:p w14:paraId="32267CBF" w14:textId="52E37EA3" w:rsidR="00011D78" w:rsidRDefault="00F94E3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  <w:u w:val="single"/>
        </w:rPr>
        <w:t xml:space="preserve">Uwagi do Kryteriów </w:t>
      </w:r>
    </w:p>
    <w:p w14:paraId="656CF51E" w14:textId="39149077" w:rsidR="00F633A8" w:rsidRPr="00F633A8" w:rsidRDefault="00F94E33" w:rsidP="00F633A8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color w:val="000000"/>
          <w:u w:val="single"/>
        </w:rPr>
        <w:t>Działanie:</w:t>
      </w:r>
      <w:r>
        <w:rPr>
          <w:rFonts w:ascii="Arial" w:eastAsia="Arial" w:hAnsi="Arial" w:cs="Arial"/>
          <w:b/>
          <w:u w:val="single"/>
        </w:rPr>
        <w:t xml:space="preserve"> </w:t>
      </w:r>
      <w:r w:rsidR="00F633A8" w:rsidRPr="00F633A8">
        <w:rPr>
          <w:rFonts w:ascii="Arial" w:eastAsia="Arial" w:hAnsi="Arial" w:cs="Arial"/>
          <w:b/>
          <w:u w:val="single"/>
        </w:rPr>
        <w:t>Działanie 3.</w:t>
      </w:r>
      <w:r w:rsidR="00545C91">
        <w:rPr>
          <w:rFonts w:ascii="Arial" w:eastAsia="Arial" w:hAnsi="Arial" w:cs="Arial"/>
          <w:b/>
          <w:u w:val="single"/>
        </w:rPr>
        <w:t>3</w:t>
      </w:r>
      <w:r w:rsidR="00F633A8" w:rsidRPr="00F633A8">
        <w:rPr>
          <w:rFonts w:ascii="Arial" w:eastAsia="Arial" w:hAnsi="Arial" w:cs="Arial"/>
          <w:b/>
          <w:u w:val="single"/>
        </w:rPr>
        <w:t xml:space="preserve"> Rozwój i usprawnienie mobilności miejskiej i podmiejskiej </w:t>
      </w:r>
      <w:r w:rsidR="00545C91">
        <w:rPr>
          <w:rFonts w:ascii="Arial" w:eastAsia="Arial" w:hAnsi="Arial" w:cs="Arial"/>
          <w:b/>
          <w:u w:val="single"/>
        </w:rPr>
        <w:t>OPPT</w:t>
      </w:r>
    </w:p>
    <w:p w14:paraId="098C6815" w14:textId="708B99D7" w:rsidR="00011D78" w:rsidRDefault="00F633A8" w:rsidP="00F633A8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b/>
          <w:u w:val="single"/>
        </w:rPr>
      </w:pPr>
      <w:r w:rsidRPr="00F633A8">
        <w:rPr>
          <w:rFonts w:ascii="Arial" w:eastAsia="Arial" w:hAnsi="Arial" w:cs="Arial"/>
          <w:b/>
          <w:u w:val="single"/>
        </w:rPr>
        <w:t>Schemat: Infrastruktura przeznaczona dla rowerów (</w:t>
      </w:r>
      <w:r w:rsidR="00545C91">
        <w:rPr>
          <w:rFonts w:ascii="Arial" w:eastAsia="Arial" w:hAnsi="Arial" w:cs="Arial"/>
          <w:b/>
          <w:u w:val="single"/>
        </w:rPr>
        <w:t>OPPT</w:t>
      </w:r>
      <w:r w:rsidRPr="00F633A8">
        <w:rPr>
          <w:rFonts w:ascii="Arial" w:eastAsia="Arial" w:hAnsi="Arial" w:cs="Arial"/>
          <w:b/>
          <w:u w:val="single"/>
        </w:rPr>
        <w:t>)</w:t>
      </w:r>
    </w:p>
    <w:p w14:paraId="5ADF134E" w14:textId="77777777" w:rsidR="00F633A8" w:rsidRDefault="00F633A8" w:rsidP="00F633A8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b/>
          <w:u w:val="single"/>
        </w:rPr>
      </w:pPr>
    </w:p>
    <w:tbl>
      <w:tblPr>
        <w:tblW w:w="1422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9"/>
        <w:gridCol w:w="5846"/>
        <w:gridCol w:w="7160"/>
      </w:tblGrid>
      <w:tr w:rsidR="00F633A8" w:rsidRPr="00F633A8" w14:paraId="65923939" w14:textId="77777777" w:rsidTr="00F633A8">
        <w:tc>
          <w:tcPr>
            <w:tcW w:w="14225" w:type="dxa"/>
            <w:gridSpan w:val="3"/>
            <w:shd w:val="clear" w:color="auto" w:fill="D9D9D9" w:themeFill="background1" w:themeFillShade="D9"/>
            <w:vAlign w:val="center"/>
          </w:tcPr>
          <w:p w14:paraId="24FEFF3B" w14:textId="2D16F47C" w:rsidR="00F633A8" w:rsidRPr="00F633A8" w:rsidRDefault="00F633A8" w:rsidP="00F63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 w:rsidRPr="00F633A8">
              <w:rPr>
                <w:rFonts w:ascii="Arial" w:eastAsia="Arial" w:hAnsi="Arial" w:cs="Arial"/>
                <w:b/>
                <w:color w:val="000000"/>
              </w:rPr>
              <w:t>Bydgoski Ruch Miejski</w:t>
            </w:r>
          </w:p>
        </w:tc>
      </w:tr>
      <w:tr w:rsidR="00F633A8" w:rsidRPr="00F633A8" w14:paraId="762FCF25" w14:textId="77777777" w:rsidTr="00F633A8">
        <w:tc>
          <w:tcPr>
            <w:tcW w:w="1219" w:type="dxa"/>
            <w:vAlign w:val="center"/>
          </w:tcPr>
          <w:p w14:paraId="7ADC72EF" w14:textId="77777777" w:rsidR="00F633A8" w:rsidRPr="00F633A8" w:rsidRDefault="00F633A8" w:rsidP="00F63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 w:rsidRPr="00F633A8">
              <w:rPr>
                <w:rFonts w:ascii="Arial" w:eastAsia="Arial" w:hAnsi="Arial" w:cs="Arial"/>
                <w:b/>
                <w:color w:val="000000"/>
              </w:rPr>
              <w:t>Nr kryterium</w:t>
            </w:r>
          </w:p>
        </w:tc>
        <w:tc>
          <w:tcPr>
            <w:tcW w:w="5846" w:type="dxa"/>
            <w:vAlign w:val="center"/>
          </w:tcPr>
          <w:p w14:paraId="76324631" w14:textId="77777777" w:rsidR="00F633A8" w:rsidRPr="00F633A8" w:rsidRDefault="00F633A8" w:rsidP="00F63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 w:rsidRPr="00F633A8">
              <w:rPr>
                <w:rFonts w:ascii="Arial" w:eastAsia="Arial" w:hAnsi="Arial" w:cs="Arial"/>
                <w:b/>
                <w:color w:val="000000"/>
              </w:rPr>
              <w:t>kryterium</w:t>
            </w:r>
          </w:p>
        </w:tc>
        <w:tc>
          <w:tcPr>
            <w:tcW w:w="7160" w:type="dxa"/>
            <w:vAlign w:val="center"/>
          </w:tcPr>
          <w:p w14:paraId="01BBB107" w14:textId="77777777" w:rsidR="00F633A8" w:rsidRPr="00F633A8" w:rsidRDefault="00F633A8" w:rsidP="00F63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 w:rsidRPr="00F633A8">
              <w:rPr>
                <w:rFonts w:ascii="Arial" w:eastAsia="Arial" w:hAnsi="Arial" w:cs="Arial"/>
                <w:b/>
                <w:color w:val="000000"/>
              </w:rPr>
              <w:t>Uwaga, w tym propozycja brzmienia  kryterium</w:t>
            </w:r>
          </w:p>
          <w:p w14:paraId="18830A53" w14:textId="77777777" w:rsidR="00F633A8" w:rsidRPr="00F633A8" w:rsidRDefault="00F633A8" w:rsidP="00F63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 w:rsidRPr="00F633A8">
              <w:rPr>
                <w:rFonts w:ascii="Arial" w:eastAsia="Arial" w:hAnsi="Arial" w:cs="Arial"/>
                <w:b/>
                <w:color w:val="000000"/>
              </w:rPr>
              <w:t>oraz uzasadnienie</w:t>
            </w:r>
          </w:p>
        </w:tc>
      </w:tr>
      <w:tr w:rsidR="00F633A8" w:rsidRPr="00F633A8" w14:paraId="4EC4F22B" w14:textId="77777777" w:rsidTr="00F633A8">
        <w:trPr>
          <w:cantSplit/>
          <w:trHeight w:val="1442"/>
        </w:trPr>
        <w:tc>
          <w:tcPr>
            <w:tcW w:w="1219" w:type="dxa"/>
            <w:vAlign w:val="center"/>
          </w:tcPr>
          <w:p w14:paraId="232AA9BE" w14:textId="77777777" w:rsidR="00F633A8" w:rsidRPr="00F633A8" w:rsidRDefault="00F633A8" w:rsidP="001D7AD0">
            <w:pPr>
              <w:spacing w:after="60"/>
              <w:ind w:left="0" w:hanging="2"/>
              <w:jc w:val="center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</w:rPr>
              <w:t>C.4</w:t>
            </w:r>
          </w:p>
        </w:tc>
        <w:tc>
          <w:tcPr>
            <w:tcW w:w="5846" w:type="dxa"/>
            <w:vAlign w:val="center"/>
          </w:tcPr>
          <w:p w14:paraId="36BE95B2" w14:textId="77777777" w:rsidR="00F633A8" w:rsidRPr="00F633A8" w:rsidRDefault="00F633A8" w:rsidP="001D7AD0">
            <w:pPr>
              <w:spacing w:after="60"/>
              <w:ind w:left="0" w:hanging="2"/>
              <w:jc w:val="center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</w:rPr>
              <w:t>Zgodność z „Planem rozwoju sieci dróg rowerowych w województwie kujawsko-pomorskim”- nawierzchnia</w:t>
            </w:r>
          </w:p>
        </w:tc>
        <w:tc>
          <w:tcPr>
            <w:tcW w:w="7160" w:type="dxa"/>
          </w:tcPr>
          <w:p w14:paraId="4881A5EE" w14:textId="77777777" w:rsidR="00F633A8" w:rsidRPr="00F633A8" w:rsidRDefault="00F633A8" w:rsidP="001D7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0C77441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  <w:b/>
                <w:color w:val="000000"/>
              </w:rPr>
            </w:pPr>
            <w:r w:rsidRPr="00F633A8">
              <w:rPr>
                <w:rFonts w:ascii="Arial" w:eastAsia="Arial" w:hAnsi="Arial" w:cs="Arial"/>
              </w:rPr>
              <w:t>W kryterium sprawdzamy, czy zastosowana w ramach projektu nawierzchnia drogi rowerowej jest bitumiczna</w:t>
            </w:r>
            <w:r w:rsidRPr="00F633A8">
              <w:rPr>
                <w:rFonts w:ascii="Arial" w:eastAsia="Arial" w:hAnsi="Arial" w:cs="Arial"/>
                <w:b/>
                <w:vertAlign w:val="superscript"/>
              </w:rPr>
              <w:t>13</w:t>
            </w:r>
          </w:p>
          <w:p w14:paraId="6EC39E74" w14:textId="77777777" w:rsidR="00F633A8" w:rsidRPr="00F633A8" w:rsidRDefault="00F633A8" w:rsidP="001D7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Arial" w:eastAsia="Arial" w:hAnsi="Arial" w:cs="Arial"/>
              </w:rPr>
            </w:pPr>
          </w:p>
          <w:p w14:paraId="61A2B4DC" w14:textId="77777777" w:rsidR="00F633A8" w:rsidRPr="00F633A8" w:rsidRDefault="00F633A8" w:rsidP="001D7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</w:rPr>
              <w:t>Dodanie nawierzchni szutrowej jako wyjątek. Propozycja brzmienia poniżej:</w:t>
            </w:r>
          </w:p>
          <w:p w14:paraId="3A014B57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  <w:b/>
                <w:vertAlign w:val="superscript"/>
              </w:rPr>
              <w:t xml:space="preserve">13 </w:t>
            </w:r>
            <w:r w:rsidRPr="00F633A8">
              <w:rPr>
                <w:rFonts w:ascii="Arial" w:eastAsia="Arial" w:hAnsi="Arial" w:cs="Arial"/>
              </w:rPr>
              <w:t xml:space="preserve">W wyjątkowych sytuacjach </w:t>
            </w:r>
            <w:r w:rsidRPr="00F633A8">
              <w:rPr>
                <w:rFonts w:ascii="Arial" w:eastAsia="Arial" w:hAnsi="Arial" w:cs="Arial"/>
                <w:b/>
                <w:i/>
              </w:rPr>
              <w:t>kostka niefazowana lub nawierzchnia szutrowa</w:t>
            </w:r>
            <w:r w:rsidRPr="00F633A8">
              <w:rPr>
                <w:rFonts w:ascii="Arial" w:eastAsia="Arial" w:hAnsi="Arial" w:cs="Arial"/>
              </w:rPr>
              <w:t xml:space="preserve"> – w miejscach i na warunkach wydanych przez zarządcę terenu (np. Lasy Państwowe lub gestorzy sieci lub zgodnie z decyzją o środowiskowych uwarunkowaniach).</w:t>
            </w:r>
          </w:p>
          <w:p w14:paraId="5EB42644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</w:rPr>
            </w:pPr>
          </w:p>
          <w:p w14:paraId="402CDA7E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  <w:b/>
                <w:i/>
              </w:rPr>
            </w:pPr>
          </w:p>
          <w:p w14:paraId="13C6DACF" w14:textId="77777777" w:rsidR="00F633A8" w:rsidRPr="00F633A8" w:rsidRDefault="00F633A8" w:rsidP="001D7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F633A8" w:rsidRPr="00F633A8" w14:paraId="0ACECFB4" w14:textId="77777777" w:rsidTr="00F633A8">
        <w:trPr>
          <w:cantSplit/>
          <w:trHeight w:val="1270"/>
        </w:trPr>
        <w:tc>
          <w:tcPr>
            <w:tcW w:w="1219" w:type="dxa"/>
          </w:tcPr>
          <w:p w14:paraId="748B3396" w14:textId="77777777" w:rsidR="00F633A8" w:rsidRPr="00F633A8" w:rsidRDefault="00F633A8" w:rsidP="001D7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846" w:type="dxa"/>
            <w:vAlign w:val="center"/>
          </w:tcPr>
          <w:p w14:paraId="1B46E4C6" w14:textId="77777777" w:rsidR="00F633A8" w:rsidRPr="00F633A8" w:rsidRDefault="00F633A8" w:rsidP="001D7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160" w:type="dxa"/>
          </w:tcPr>
          <w:p w14:paraId="09C34D56" w14:textId="77777777" w:rsidR="00F633A8" w:rsidRPr="00F633A8" w:rsidRDefault="00F633A8" w:rsidP="001D7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  <w:color w:val="000000"/>
              </w:rPr>
              <w:t xml:space="preserve">UZASADNIENIE: </w:t>
            </w:r>
            <w:r w:rsidRPr="00F633A8">
              <w:rPr>
                <w:rFonts w:ascii="Arial" w:eastAsia="Arial" w:hAnsi="Arial" w:cs="Arial"/>
                <w:b/>
                <w:i/>
              </w:rPr>
              <w:br/>
            </w:r>
            <w:r w:rsidRPr="00F633A8">
              <w:rPr>
                <w:rFonts w:ascii="Arial" w:eastAsia="Arial" w:hAnsi="Arial" w:cs="Arial"/>
              </w:rPr>
              <w:t xml:space="preserve">Takie rozwiązanie pozwoli na lepsze dostosowanie do warunków środowiskowych. Ponadto taka nawierzchnia jest akceptowana w środowisku “rowerowym”. Szczególnie w państwach bardziej doświadczonych w projektowaniu infrastruktury rowerowej stosowanie takiej nawierzchni jest powszechne na obszarach, których walory naturalne i wymagania środowiskowe są wysokie. </w:t>
            </w:r>
            <w:r w:rsidRPr="00F633A8">
              <w:rPr>
                <w:rFonts w:ascii="Arial" w:eastAsia="Arial" w:hAnsi="Arial" w:cs="Arial"/>
              </w:rPr>
              <w:br/>
              <w:t>Ponadto jest to rozwiązanie, które rozwiązuje także kwestie gestorów sieci (koszty dostępu do ich infrastruktury, odtwarzanie nawierzchni itp.)</w:t>
            </w:r>
          </w:p>
          <w:p w14:paraId="247A81B5" w14:textId="77777777" w:rsidR="00F633A8" w:rsidRPr="00F633A8" w:rsidRDefault="00F633A8" w:rsidP="001D7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Arial" w:eastAsia="Arial" w:hAnsi="Arial" w:cs="Arial"/>
              </w:rPr>
            </w:pPr>
          </w:p>
        </w:tc>
      </w:tr>
      <w:tr w:rsidR="00F633A8" w:rsidRPr="00F633A8" w14:paraId="03F1B4D3" w14:textId="77777777" w:rsidTr="00F633A8">
        <w:trPr>
          <w:cantSplit/>
          <w:trHeight w:val="1270"/>
        </w:trPr>
        <w:tc>
          <w:tcPr>
            <w:tcW w:w="1219" w:type="dxa"/>
            <w:vMerge w:val="restart"/>
            <w:vAlign w:val="center"/>
          </w:tcPr>
          <w:p w14:paraId="3B02E2CA" w14:textId="77777777" w:rsidR="00F633A8" w:rsidRPr="00F633A8" w:rsidRDefault="00F633A8" w:rsidP="001D7AD0">
            <w:pPr>
              <w:spacing w:after="60"/>
              <w:ind w:left="0" w:hanging="2"/>
              <w:jc w:val="center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</w:rPr>
              <w:t>C.4</w:t>
            </w:r>
          </w:p>
        </w:tc>
        <w:tc>
          <w:tcPr>
            <w:tcW w:w="5846" w:type="dxa"/>
            <w:vMerge w:val="restart"/>
            <w:vAlign w:val="center"/>
          </w:tcPr>
          <w:p w14:paraId="78C33446" w14:textId="77777777" w:rsidR="00F633A8" w:rsidRPr="00F633A8" w:rsidRDefault="00F633A8" w:rsidP="001D7AD0">
            <w:pPr>
              <w:spacing w:after="60"/>
              <w:ind w:left="0" w:hanging="2"/>
              <w:jc w:val="center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</w:rPr>
              <w:t>Zgodność z „Planem rozwoju sieci dróg rowerowych w województwie kujawsko-pomorskim”- nawierzchnia</w:t>
            </w:r>
          </w:p>
        </w:tc>
        <w:tc>
          <w:tcPr>
            <w:tcW w:w="7160" w:type="dxa"/>
          </w:tcPr>
          <w:p w14:paraId="73B959E9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</w:rPr>
              <w:t xml:space="preserve">Ad. </w:t>
            </w:r>
            <w:r w:rsidRPr="00F633A8">
              <w:rPr>
                <w:rFonts w:ascii="Arial" w:eastAsia="Arial" w:hAnsi="Arial" w:cs="Arial"/>
                <w:b/>
                <w:vertAlign w:val="superscript"/>
              </w:rPr>
              <w:t xml:space="preserve">13 </w:t>
            </w:r>
            <w:r w:rsidRPr="00F633A8">
              <w:rPr>
                <w:rFonts w:ascii="Arial" w:eastAsia="Arial" w:hAnsi="Arial" w:cs="Arial"/>
              </w:rPr>
              <w:t xml:space="preserve">W wyjątkowych sytuacjach </w:t>
            </w:r>
            <w:r w:rsidRPr="00F633A8">
              <w:rPr>
                <w:rFonts w:ascii="Arial" w:eastAsia="Arial" w:hAnsi="Arial" w:cs="Arial"/>
                <w:b/>
                <w:i/>
              </w:rPr>
              <w:t xml:space="preserve">kostka niefazowana </w:t>
            </w:r>
            <w:r w:rsidRPr="00F633A8">
              <w:rPr>
                <w:rFonts w:ascii="Arial" w:eastAsia="Arial" w:hAnsi="Arial" w:cs="Arial"/>
              </w:rPr>
              <w:t>– w miejscach i na warunkach wydanych przez zarządcę terenu (np. Lasy Państwowe lub gestorzy sieci lub zgodnie z decyzją o środowiskowych uwarunkowaniach).</w:t>
            </w:r>
          </w:p>
          <w:p w14:paraId="28BB42D9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</w:rPr>
            </w:pPr>
          </w:p>
          <w:p w14:paraId="33003468" w14:textId="29D6828F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</w:rPr>
              <w:t>Warto rozważyć zastosowanie takiego brzmienia kryterium, aby zapobiegać projektowaniu infrastruktury o kostce niefazowanej na dłuższych odcinkach*. Szczególnie aby w przypadk</w:t>
            </w:r>
            <w:r>
              <w:rPr>
                <w:rFonts w:ascii="Arial" w:eastAsia="Arial" w:hAnsi="Arial" w:cs="Arial"/>
              </w:rPr>
              <w:t>u</w:t>
            </w:r>
            <w:r w:rsidRPr="00F633A8">
              <w:rPr>
                <w:rFonts w:ascii="Arial" w:eastAsia="Arial" w:hAnsi="Arial" w:cs="Arial"/>
              </w:rPr>
              <w:t xml:space="preserve"> projektowani</w:t>
            </w:r>
            <w:r>
              <w:rPr>
                <w:rFonts w:ascii="Arial" w:eastAsia="Arial" w:hAnsi="Arial" w:cs="Arial"/>
              </w:rPr>
              <w:t>a</w:t>
            </w:r>
            <w:r w:rsidRPr="00F633A8">
              <w:rPr>
                <w:rFonts w:ascii="Arial" w:eastAsia="Arial" w:hAnsi="Arial" w:cs="Arial"/>
              </w:rPr>
              <w:t xml:space="preserve"> nowych ścieżek unikać ich projektowania nad sieciami (o ile to możliwe) na dłuższych odcinkach. Aby unikać konieczności zmiany nawierzchni.</w:t>
            </w:r>
          </w:p>
          <w:p w14:paraId="29E74EC0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</w:rPr>
            </w:pPr>
          </w:p>
          <w:p w14:paraId="29C4F4D7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</w:rPr>
              <w:t xml:space="preserve">*Nie dotyczy nawierzchni szutrowej, w przypadku uznania pierwszej uwagi. </w:t>
            </w:r>
          </w:p>
        </w:tc>
      </w:tr>
      <w:tr w:rsidR="00F633A8" w:rsidRPr="00F633A8" w14:paraId="1AC52A90" w14:textId="77777777" w:rsidTr="00F633A8">
        <w:trPr>
          <w:cantSplit/>
          <w:trHeight w:val="1270"/>
        </w:trPr>
        <w:tc>
          <w:tcPr>
            <w:tcW w:w="1219" w:type="dxa"/>
            <w:vMerge/>
          </w:tcPr>
          <w:p w14:paraId="6AB2B886" w14:textId="77777777" w:rsidR="00F633A8" w:rsidRPr="00F633A8" w:rsidRDefault="00F633A8" w:rsidP="001D7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846" w:type="dxa"/>
            <w:vMerge/>
            <w:vAlign w:val="center"/>
          </w:tcPr>
          <w:p w14:paraId="655DDD85" w14:textId="77777777" w:rsidR="00F633A8" w:rsidRPr="00F633A8" w:rsidRDefault="00F633A8" w:rsidP="001D7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160" w:type="dxa"/>
            <w:tcBorders>
              <w:bottom w:val="single" w:sz="4" w:space="0" w:color="000000"/>
            </w:tcBorders>
          </w:tcPr>
          <w:p w14:paraId="5D082649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</w:rPr>
              <w:t>UZASADNIENIE:  Kostka niefazowana jest powszechnie spotykanym sub-standardem na drogach rowerowych w Polsce i w województwie. Choć kostka fazowana jest rozwiązaniem, które dla użytkownika jest lepsze, to nadal nie jest ono pożądane.</w:t>
            </w:r>
          </w:p>
          <w:p w14:paraId="1CB198BC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</w:rPr>
              <w:t xml:space="preserve">Należy unikać takich rozwiązań projektowych, oraz stwarzania </w:t>
            </w:r>
            <w:r w:rsidRPr="00F633A8">
              <w:rPr>
                <w:rFonts w:ascii="Arial" w:eastAsia="Arial" w:hAnsi="Arial" w:cs="Arial"/>
                <w:b/>
              </w:rPr>
              <w:t xml:space="preserve">okazji </w:t>
            </w:r>
            <w:r w:rsidRPr="00F633A8">
              <w:rPr>
                <w:rFonts w:ascii="Arial" w:eastAsia="Arial" w:hAnsi="Arial" w:cs="Arial"/>
              </w:rPr>
              <w:t xml:space="preserve">dla samorządów do projektowania w taki sposób całych odcinków. </w:t>
            </w:r>
            <w:r w:rsidRPr="00F633A8">
              <w:rPr>
                <w:rFonts w:ascii="Arial" w:eastAsia="Arial" w:hAnsi="Arial" w:cs="Arial"/>
              </w:rPr>
              <w:br/>
              <w:t>Gestorzy sieci projektują sieci także pod jezdniami i zazwyczaj nie ma wtedy na nich kostki niefazowanej. Jeżeli unika się takiego projektowania na jezdni, a nie unika na drogach rowerowych to jest to niezgodne z zasadami równego traktowania (użytkowników drogi).</w:t>
            </w:r>
          </w:p>
          <w:p w14:paraId="643D3272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  <w:color w:val="000000"/>
              </w:rPr>
            </w:pPr>
            <w:r w:rsidRPr="00F633A8">
              <w:rPr>
                <w:rFonts w:ascii="Arial" w:eastAsia="Arial" w:hAnsi="Arial" w:cs="Arial"/>
              </w:rPr>
              <w:t>Być może kostka fazowana powinna być stosowana jedynie w kluczowych dla gestorów sieci miejscach.</w:t>
            </w:r>
            <w:r w:rsidRPr="00F633A8">
              <w:rPr>
                <w:rFonts w:ascii="Arial" w:eastAsia="Arial" w:hAnsi="Arial" w:cs="Arial"/>
              </w:rPr>
              <w:br/>
            </w:r>
            <w:r w:rsidRPr="00F633A8">
              <w:rPr>
                <w:rFonts w:ascii="Arial" w:eastAsia="Arial" w:hAnsi="Arial" w:cs="Arial"/>
              </w:rPr>
              <w:br/>
            </w:r>
            <w:r w:rsidRPr="00F633A8">
              <w:rPr>
                <w:rFonts w:ascii="Arial" w:eastAsia="Arial" w:hAnsi="Arial" w:cs="Arial"/>
              </w:rPr>
              <w:br/>
            </w:r>
          </w:p>
        </w:tc>
      </w:tr>
      <w:tr w:rsidR="00F633A8" w:rsidRPr="00F633A8" w14:paraId="63D75170" w14:textId="77777777" w:rsidTr="00F633A8">
        <w:trPr>
          <w:cantSplit/>
          <w:trHeight w:val="1270"/>
        </w:trPr>
        <w:tc>
          <w:tcPr>
            <w:tcW w:w="1219" w:type="dxa"/>
            <w:vMerge w:val="restart"/>
            <w:vAlign w:val="center"/>
          </w:tcPr>
          <w:p w14:paraId="18FEA66A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</w:rPr>
            </w:pPr>
          </w:p>
          <w:p w14:paraId="7C42EAA6" w14:textId="77777777" w:rsidR="00F633A8" w:rsidRPr="00F633A8" w:rsidRDefault="00F633A8" w:rsidP="00F633A8">
            <w:pPr>
              <w:ind w:left="0" w:hanging="2"/>
              <w:jc w:val="center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</w:rPr>
              <w:t>C.6</w:t>
            </w:r>
          </w:p>
        </w:tc>
        <w:tc>
          <w:tcPr>
            <w:tcW w:w="5846" w:type="dxa"/>
            <w:vMerge w:val="restart"/>
            <w:vAlign w:val="center"/>
          </w:tcPr>
          <w:p w14:paraId="2E30E0B6" w14:textId="77777777" w:rsidR="00F633A8" w:rsidRPr="00F633A8" w:rsidRDefault="00F633A8" w:rsidP="001D7AD0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 w:rsidRPr="00F633A8">
              <w:rPr>
                <w:rFonts w:ascii="Arial" w:eastAsia="Arial" w:hAnsi="Arial" w:cs="Arial"/>
              </w:rPr>
              <w:t xml:space="preserve">(Proponowane nowe kryterium) Brak projektowania przeszkód komunikacyjnych </w:t>
            </w:r>
          </w:p>
        </w:tc>
        <w:tc>
          <w:tcPr>
            <w:tcW w:w="7160" w:type="dxa"/>
            <w:tcBorders>
              <w:bottom w:val="single" w:sz="4" w:space="0" w:color="000000"/>
            </w:tcBorders>
          </w:tcPr>
          <w:p w14:paraId="24296A14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  <w:color w:val="000000"/>
              </w:rPr>
            </w:pPr>
            <w:r w:rsidRPr="00F633A8">
              <w:rPr>
                <w:rFonts w:ascii="Arial" w:eastAsia="Arial" w:hAnsi="Arial" w:cs="Arial"/>
              </w:rPr>
              <w:t xml:space="preserve">W kryterium sprawdzamy, czy zastosowane w projekcie rozwiązania nie wprowadzają nowych przeszkód komunikacyjnych ograniczających  mobilność użytkowników. Takich jak sytuowanie barierek drogowych/komunikacyjnych w poprzek dróg dla rowerów w okolicach skrzyżowań itp. (z wyłączeniem przejazdów kolejowych) </w:t>
            </w:r>
          </w:p>
        </w:tc>
      </w:tr>
      <w:tr w:rsidR="00F633A8" w:rsidRPr="00F633A8" w14:paraId="6AA10623" w14:textId="77777777" w:rsidTr="00F633A8">
        <w:trPr>
          <w:cantSplit/>
          <w:trHeight w:val="1270"/>
        </w:trPr>
        <w:tc>
          <w:tcPr>
            <w:tcW w:w="1219" w:type="dxa"/>
            <w:vMerge/>
          </w:tcPr>
          <w:p w14:paraId="565C1D2A" w14:textId="77777777" w:rsidR="00F633A8" w:rsidRPr="00F633A8" w:rsidRDefault="00F633A8" w:rsidP="001D7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846" w:type="dxa"/>
            <w:vMerge/>
            <w:vAlign w:val="center"/>
          </w:tcPr>
          <w:p w14:paraId="26D7A82E" w14:textId="77777777" w:rsidR="00F633A8" w:rsidRPr="00F633A8" w:rsidRDefault="00F633A8" w:rsidP="001D7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160" w:type="dxa"/>
            <w:tcBorders>
              <w:bottom w:val="single" w:sz="4" w:space="0" w:color="000000"/>
            </w:tcBorders>
          </w:tcPr>
          <w:p w14:paraId="3A5BB0F9" w14:textId="77777777" w:rsidR="00F633A8" w:rsidRPr="00F633A8" w:rsidRDefault="00F633A8" w:rsidP="001D7AD0">
            <w:pPr>
              <w:ind w:left="0" w:hanging="2"/>
              <w:rPr>
                <w:rFonts w:ascii="Arial" w:eastAsia="Arial" w:hAnsi="Arial" w:cs="Arial"/>
                <w:color w:val="000000"/>
              </w:rPr>
            </w:pPr>
            <w:r w:rsidRPr="00F633A8">
              <w:rPr>
                <w:rFonts w:ascii="Arial" w:eastAsia="Arial" w:hAnsi="Arial" w:cs="Arial"/>
              </w:rPr>
              <w:t>UZASADNIENIE:</w:t>
            </w:r>
            <w:r w:rsidRPr="00F633A8">
              <w:rPr>
                <w:rFonts w:ascii="Arial" w:eastAsia="Arial" w:hAnsi="Arial" w:cs="Arial"/>
              </w:rPr>
              <w:br/>
              <w:t>Rozwiązania jak te przykładowe powyżej są często spotykane na nowych drogach dla rowerów. W przypadkach skrajnych bywa, że takie rozwiązania są stosowane niemalże na każdym skrzyżowaniu DDR z drogami krzyżującymi się. Mimo, że w przypadku gdy DDR jest usytuowana przy drodze z pierwszeństwem, to również DDR ma pierwszeństwo nad drogami poprzecznymi. Takie i inne rozwiązania wskazujące na projektowanie niezgodne z zasadami równości użytkowników są niestety powszechne. Ich powodem zwykle jest brak znajomości przepisów, standardów projektowania. Warto zatem zabezpieczyć się przed ich ewentualnym powstawaniem.</w:t>
            </w:r>
          </w:p>
        </w:tc>
      </w:tr>
    </w:tbl>
    <w:p w14:paraId="60CF2349" w14:textId="77777777" w:rsidR="00F94E33" w:rsidRDefault="00F94E3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b/>
          <w:u w:val="single"/>
        </w:rPr>
      </w:pPr>
    </w:p>
    <w:p w14:paraId="70B9178D" w14:textId="77777777" w:rsidR="00011D78" w:rsidRDefault="00011D78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color w:val="000000"/>
        </w:rPr>
      </w:pPr>
    </w:p>
    <w:p w14:paraId="07C97024" w14:textId="77777777" w:rsidR="00011D78" w:rsidRDefault="00011D78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color w:val="000000"/>
        </w:rPr>
      </w:pPr>
    </w:p>
    <w:sectPr w:rsidR="00011D78">
      <w:pgSz w:w="16838" w:h="11906" w:orient="landscape"/>
      <w:pgMar w:top="1417" w:right="1417" w:bottom="851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D78"/>
    <w:rsid w:val="00011D78"/>
    <w:rsid w:val="004E7B3C"/>
    <w:rsid w:val="00545C91"/>
    <w:rsid w:val="008D3C23"/>
    <w:rsid w:val="008E48C9"/>
    <w:rsid w:val="00D867AB"/>
    <w:rsid w:val="00F633A8"/>
    <w:rsid w:val="00F9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C143"/>
  <w15:docId w15:val="{773CE523-698E-4AC9-8202-0F3C4777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DefaultZnak">
    <w:name w:val="Default Znak"/>
    <w:rPr>
      <w:rFonts w:ascii="Times New Roman" w:eastAsia="Times New Roman" w:hAnsi="Times New Roman" w:cs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fryH22/yXfHKRBrz+JL+VHglUQ==">CgMxLjA4AHIhMUJBNnVmNlZ0NEx2WUVFNTA5M3dUSG9EVkEtU2FMVDBy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555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Gaca-Zielińska</dc:creator>
  <cp:lastModifiedBy>Dagmara Wend</cp:lastModifiedBy>
  <cp:revision>8</cp:revision>
  <dcterms:created xsi:type="dcterms:W3CDTF">2023-02-14T11:53:00Z</dcterms:created>
  <dcterms:modified xsi:type="dcterms:W3CDTF">2023-11-09T08:49:00Z</dcterms:modified>
</cp:coreProperties>
</file>