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465F2" w14:textId="4576FB0A" w:rsidR="008E48C9" w:rsidRPr="008E48C9" w:rsidRDefault="008E48C9" w:rsidP="008E48C9">
      <w:pPr>
        <w:pBdr>
          <w:top w:val="nil"/>
          <w:left w:val="nil"/>
          <w:bottom w:val="nil"/>
          <w:right w:val="nil"/>
          <w:between w:val="nil"/>
        </w:pBdr>
        <w:ind w:left="0" w:hanging="2"/>
        <w:jc w:val="right"/>
        <w:rPr>
          <w:rFonts w:ascii="Arial" w:eastAsia="Arial" w:hAnsi="Arial" w:cs="Arial"/>
          <w:bCs/>
          <w:color w:val="000000"/>
        </w:rPr>
      </w:pPr>
      <w:r w:rsidRPr="008E48C9">
        <w:rPr>
          <w:rFonts w:ascii="Arial" w:eastAsia="Arial" w:hAnsi="Arial" w:cs="Arial"/>
          <w:bCs/>
          <w:color w:val="000000"/>
        </w:rPr>
        <w:t>Załącznik nr 2 do Stanowiska nr</w:t>
      </w:r>
      <w:r w:rsidR="00E8156B">
        <w:rPr>
          <w:rFonts w:ascii="Arial" w:eastAsia="Arial" w:hAnsi="Arial" w:cs="Arial"/>
          <w:bCs/>
          <w:color w:val="000000"/>
        </w:rPr>
        <w:t xml:space="preserve"> 2</w:t>
      </w:r>
      <w:r w:rsidR="00647EB6">
        <w:rPr>
          <w:rFonts w:ascii="Arial" w:eastAsia="Arial" w:hAnsi="Arial" w:cs="Arial"/>
          <w:bCs/>
          <w:color w:val="000000"/>
        </w:rPr>
        <w:t>9</w:t>
      </w:r>
      <w:r w:rsidR="00E8156B">
        <w:rPr>
          <w:rFonts w:ascii="Arial" w:eastAsia="Arial" w:hAnsi="Arial" w:cs="Arial"/>
          <w:bCs/>
          <w:color w:val="000000"/>
        </w:rPr>
        <w:t>/2023</w:t>
      </w:r>
    </w:p>
    <w:p w14:paraId="5DB7B2A7" w14:textId="55AD01B4" w:rsidR="008E48C9" w:rsidRPr="008E48C9" w:rsidRDefault="008E48C9" w:rsidP="008E48C9">
      <w:pPr>
        <w:pBdr>
          <w:top w:val="nil"/>
          <w:left w:val="nil"/>
          <w:bottom w:val="nil"/>
          <w:right w:val="nil"/>
          <w:between w:val="nil"/>
        </w:pBdr>
        <w:ind w:left="0" w:hanging="2"/>
        <w:jc w:val="right"/>
        <w:rPr>
          <w:rFonts w:ascii="Arial" w:eastAsia="Arial" w:hAnsi="Arial" w:cs="Arial"/>
          <w:bCs/>
          <w:color w:val="000000"/>
        </w:rPr>
      </w:pPr>
      <w:r w:rsidRPr="008E48C9">
        <w:rPr>
          <w:rFonts w:ascii="Arial" w:eastAsia="Arial" w:hAnsi="Arial" w:cs="Arial"/>
          <w:bCs/>
          <w:color w:val="000000"/>
        </w:rPr>
        <w:t xml:space="preserve">Grupy roboczej ds. </w:t>
      </w:r>
      <w:r>
        <w:rPr>
          <w:rFonts w:ascii="Arial" w:eastAsia="Arial" w:hAnsi="Arial" w:cs="Arial"/>
          <w:bCs/>
          <w:color w:val="000000"/>
        </w:rPr>
        <w:t>EFRR</w:t>
      </w:r>
    </w:p>
    <w:p w14:paraId="6B4DA448" w14:textId="3E5FD5F6" w:rsidR="008E48C9" w:rsidRPr="008E48C9" w:rsidRDefault="008E48C9" w:rsidP="008E48C9">
      <w:pPr>
        <w:pBdr>
          <w:top w:val="nil"/>
          <w:left w:val="nil"/>
          <w:bottom w:val="nil"/>
          <w:right w:val="nil"/>
          <w:between w:val="nil"/>
        </w:pBdr>
        <w:ind w:left="0" w:hanging="2"/>
        <w:jc w:val="right"/>
        <w:rPr>
          <w:rFonts w:ascii="Arial" w:eastAsia="Arial" w:hAnsi="Arial" w:cs="Arial"/>
          <w:bCs/>
          <w:color w:val="000000"/>
        </w:rPr>
      </w:pPr>
      <w:r w:rsidRPr="008E48C9">
        <w:rPr>
          <w:rFonts w:ascii="Arial" w:eastAsia="Arial" w:hAnsi="Arial" w:cs="Arial"/>
          <w:bCs/>
          <w:color w:val="000000"/>
        </w:rPr>
        <w:t xml:space="preserve">z dnia </w:t>
      </w:r>
      <w:r>
        <w:rPr>
          <w:rFonts w:ascii="Arial" w:eastAsia="Arial" w:hAnsi="Arial" w:cs="Arial"/>
          <w:bCs/>
          <w:color w:val="000000"/>
        </w:rPr>
        <w:t>7 listopada</w:t>
      </w:r>
      <w:r w:rsidRPr="008E48C9">
        <w:rPr>
          <w:rFonts w:ascii="Arial" w:eastAsia="Arial" w:hAnsi="Arial" w:cs="Arial"/>
          <w:bCs/>
          <w:color w:val="000000"/>
        </w:rPr>
        <w:t xml:space="preserve"> 2023 r.</w:t>
      </w:r>
    </w:p>
    <w:p w14:paraId="5D253403" w14:textId="77777777" w:rsidR="008E48C9" w:rsidRDefault="008E48C9">
      <w:pPr>
        <w:pBdr>
          <w:top w:val="nil"/>
          <w:left w:val="nil"/>
          <w:bottom w:val="nil"/>
          <w:right w:val="nil"/>
          <w:between w:val="nil"/>
        </w:pBdr>
        <w:ind w:left="0" w:hanging="2"/>
        <w:rPr>
          <w:rFonts w:ascii="Arial" w:eastAsia="Arial" w:hAnsi="Arial" w:cs="Arial"/>
          <w:b/>
          <w:color w:val="000000"/>
          <w:u w:val="single"/>
        </w:rPr>
      </w:pPr>
    </w:p>
    <w:p w14:paraId="4E23496B" w14:textId="77777777" w:rsidR="008E48C9" w:rsidRDefault="008E48C9">
      <w:pPr>
        <w:pBdr>
          <w:top w:val="nil"/>
          <w:left w:val="nil"/>
          <w:bottom w:val="nil"/>
          <w:right w:val="nil"/>
          <w:between w:val="nil"/>
        </w:pBdr>
        <w:ind w:left="0" w:hanging="2"/>
        <w:rPr>
          <w:rFonts w:ascii="Arial" w:eastAsia="Arial" w:hAnsi="Arial" w:cs="Arial"/>
          <w:b/>
          <w:color w:val="000000"/>
          <w:u w:val="single"/>
        </w:rPr>
      </w:pPr>
    </w:p>
    <w:p w14:paraId="32267CBF" w14:textId="52E37EA3" w:rsidR="00011D78" w:rsidRDefault="00F94E33">
      <w:pPr>
        <w:pBdr>
          <w:top w:val="nil"/>
          <w:left w:val="nil"/>
          <w:bottom w:val="nil"/>
          <w:right w:val="nil"/>
          <w:between w:val="nil"/>
        </w:pBdr>
        <w:ind w:left="0" w:hanging="2"/>
        <w:rPr>
          <w:rFonts w:ascii="Arial" w:eastAsia="Arial" w:hAnsi="Arial" w:cs="Arial"/>
          <w:color w:val="000000"/>
          <w:u w:val="single"/>
        </w:rPr>
      </w:pPr>
      <w:r>
        <w:rPr>
          <w:rFonts w:ascii="Arial" w:eastAsia="Arial" w:hAnsi="Arial" w:cs="Arial"/>
          <w:b/>
          <w:color w:val="000000"/>
          <w:u w:val="single"/>
        </w:rPr>
        <w:t xml:space="preserve">Uwagi do Kryteriów </w:t>
      </w:r>
    </w:p>
    <w:p w14:paraId="0ECFA0CC" w14:textId="034A6C48" w:rsidR="008E48C9" w:rsidRDefault="00F94E33">
      <w:pPr>
        <w:pBdr>
          <w:top w:val="nil"/>
          <w:left w:val="nil"/>
          <w:bottom w:val="nil"/>
          <w:right w:val="nil"/>
          <w:between w:val="nil"/>
        </w:pBdr>
        <w:ind w:left="0" w:hanging="2"/>
        <w:rPr>
          <w:rFonts w:ascii="Arial" w:eastAsia="Arial" w:hAnsi="Arial" w:cs="Arial"/>
          <w:b/>
          <w:u w:val="single"/>
        </w:rPr>
      </w:pPr>
      <w:r>
        <w:rPr>
          <w:rFonts w:ascii="Arial" w:eastAsia="Arial" w:hAnsi="Arial" w:cs="Arial"/>
          <w:b/>
          <w:color w:val="000000"/>
          <w:u w:val="single"/>
        </w:rPr>
        <w:t>Działanie:</w:t>
      </w:r>
      <w:r>
        <w:rPr>
          <w:rFonts w:ascii="Arial" w:eastAsia="Arial" w:hAnsi="Arial" w:cs="Arial"/>
          <w:b/>
          <w:u w:val="single"/>
        </w:rPr>
        <w:t xml:space="preserve"> 4.3 </w:t>
      </w:r>
      <w:r w:rsidR="008E48C9">
        <w:rPr>
          <w:rFonts w:ascii="Arial" w:eastAsia="Arial" w:hAnsi="Arial" w:cs="Arial"/>
          <w:b/>
          <w:u w:val="single"/>
        </w:rPr>
        <w:t>Infrastruktura drogowa</w:t>
      </w:r>
    </w:p>
    <w:p w14:paraId="098C6815" w14:textId="67664A26" w:rsidR="00011D78" w:rsidRDefault="008E48C9">
      <w:pPr>
        <w:pBdr>
          <w:top w:val="nil"/>
          <w:left w:val="nil"/>
          <w:bottom w:val="nil"/>
          <w:right w:val="nil"/>
          <w:between w:val="nil"/>
        </w:pBdr>
        <w:ind w:left="0" w:hanging="2"/>
        <w:rPr>
          <w:rFonts w:ascii="Arial" w:eastAsia="Arial" w:hAnsi="Arial" w:cs="Arial"/>
          <w:b/>
          <w:u w:val="single"/>
        </w:rPr>
      </w:pPr>
      <w:r>
        <w:rPr>
          <w:rFonts w:ascii="Arial" w:eastAsia="Arial" w:hAnsi="Arial" w:cs="Arial"/>
          <w:b/>
          <w:u w:val="single"/>
        </w:rPr>
        <w:t xml:space="preserve">Schemat: </w:t>
      </w:r>
      <w:r w:rsidR="00647EB6">
        <w:rPr>
          <w:rFonts w:ascii="Arial" w:eastAsia="Arial" w:hAnsi="Arial" w:cs="Arial"/>
          <w:b/>
          <w:u w:val="single"/>
        </w:rPr>
        <w:t>Inwestycje w miejscach skrzyżowaniach/niebezpiecznych</w:t>
      </w:r>
    </w:p>
    <w:p w14:paraId="60CF2349" w14:textId="77777777" w:rsidR="00F94E33" w:rsidRDefault="00F94E33">
      <w:pPr>
        <w:pBdr>
          <w:top w:val="nil"/>
          <w:left w:val="nil"/>
          <w:bottom w:val="nil"/>
          <w:right w:val="nil"/>
          <w:between w:val="nil"/>
        </w:pBdr>
        <w:ind w:left="0" w:hanging="2"/>
        <w:rPr>
          <w:rFonts w:ascii="Arial" w:eastAsia="Arial" w:hAnsi="Arial" w:cs="Arial"/>
          <w:b/>
          <w:u w:val="single"/>
        </w:rPr>
      </w:pPr>
    </w:p>
    <w:tbl>
      <w:tblPr>
        <w:tblStyle w:val="a"/>
        <w:tblW w:w="142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9"/>
        <w:gridCol w:w="5844"/>
        <w:gridCol w:w="7157"/>
      </w:tblGrid>
      <w:tr w:rsidR="008E48C9" w14:paraId="1DC96BE8" w14:textId="77777777" w:rsidTr="008E48C9">
        <w:tc>
          <w:tcPr>
            <w:tcW w:w="14220" w:type="dxa"/>
            <w:gridSpan w:val="3"/>
            <w:shd w:val="clear" w:color="auto" w:fill="D9D9D9" w:themeFill="background1" w:themeFillShade="D9"/>
            <w:vAlign w:val="center"/>
          </w:tcPr>
          <w:p w14:paraId="56733BC9" w14:textId="2B6EF3B8" w:rsidR="008E48C9" w:rsidRDefault="008E48C9" w:rsidP="008E48C9">
            <w:pPr>
              <w:pBdr>
                <w:top w:val="nil"/>
                <w:left w:val="nil"/>
                <w:bottom w:val="nil"/>
                <w:right w:val="nil"/>
                <w:between w:val="nil"/>
              </w:pBdr>
              <w:ind w:left="0" w:hanging="2"/>
              <w:rPr>
                <w:rFonts w:ascii="Arial" w:eastAsia="Arial" w:hAnsi="Arial" w:cs="Arial"/>
                <w:b/>
                <w:color w:val="000000"/>
              </w:rPr>
            </w:pPr>
            <w:r>
              <w:rPr>
                <w:rFonts w:ascii="Arial" w:eastAsia="Arial" w:hAnsi="Arial" w:cs="Arial"/>
                <w:b/>
                <w:color w:val="000000"/>
              </w:rPr>
              <w:t>Zgłaszający uwagi: Bydgoski Ruch Miejski</w:t>
            </w:r>
          </w:p>
        </w:tc>
      </w:tr>
      <w:tr w:rsidR="00011D78" w14:paraId="2A523919" w14:textId="77777777">
        <w:tc>
          <w:tcPr>
            <w:tcW w:w="1219" w:type="dxa"/>
            <w:vAlign w:val="center"/>
          </w:tcPr>
          <w:p w14:paraId="6A81A60C" w14:textId="77777777" w:rsidR="00011D78" w:rsidRDefault="00F94E33">
            <w:pPr>
              <w:pBdr>
                <w:top w:val="nil"/>
                <w:left w:val="nil"/>
                <w:bottom w:val="nil"/>
                <w:right w:val="nil"/>
                <w:between w:val="nil"/>
              </w:pBdr>
              <w:ind w:left="0" w:hanging="2"/>
              <w:jc w:val="center"/>
              <w:rPr>
                <w:rFonts w:ascii="Arial" w:eastAsia="Arial" w:hAnsi="Arial" w:cs="Arial"/>
                <w:color w:val="000000"/>
              </w:rPr>
            </w:pPr>
            <w:r>
              <w:rPr>
                <w:rFonts w:ascii="Arial" w:eastAsia="Arial" w:hAnsi="Arial" w:cs="Arial"/>
                <w:b/>
                <w:color w:val="000000"/>
              </w:rPr>
              <w:t>Nr kryterium</w:t>
            </w:r>
          </w:p>
        </w:tc>
        <w:tc>
          <w:tcPr>
            <w:tcW w:w="5844" w:type="dxa"/>
            <w:vAlign w:val="center"/>
          </w:tcPr>
          <w:p w14:paraId="0ACC11F3" w14:textId="77777777" w:rsidR="00011D78" w:rsidRDefault="00F94E33">
            <w:pPr>
              <w:pBdr>
                <w:top w:val="nil"/>
                <w:left w:val="nil"/>
                <w:bottom w:val="nil"/>
                <w:right w:val="nil"/>
                <w:between w:val="nil"/>
              </w:pBdr>
              <w:ind w:left="0" w:hanging="2"/>
              <w:jc w:val="center"/>
              <w:rPr>
                <w:rFonts w:ascii="Arial" w:eastAsia="Arial" w:hAnsi="Arial" w:cs="Arial"/>
                <w:color w:val="000000"/>
              </w:rPr>
            </w:pPr>
            <w:r>
              <w:rPr>
                <w:rFonts w:ascii="Arial" w:eastAsia="Arial" w:hAnsi="Arial" w:cs="Arial"/>
                <w:b/>
                <w:color w:val="000000"/>
              </w:rPr>
              <w:t>kryterium</w:t>
            </w:r>
          </w:p>
        </w:tc>
        <w:tc>
          <w:tcPr>
            <w:tcW w:w="7157" w:type="dxa"/>
            <w:vAlign w:val="center"/>
          </w:tcPr>
          <w:p w14:paraId="51D946DB" w14:textId="77777777" w:rsidR="00011D78" w:rsidRDefault="00F94E33">
            <w:pPr>
              <w:pBdr>
                <w:top w:val="nil"/>
                <w:left w:val="nil"/>
                <w:bottom w:val="nil"/>
                <w:right w:val="nil"/>
                <w:between w:val="nil"/>
              </w:pBdr>
              <w:ind w:left="0" w:hanging="2"/>
              <w:jc w:val="center"/>
              <w:rPr>
                <w:rFonts w:ascii="Arial" w:eastAsia="Arial" w:hAnsi="Arial" w:cs="Arial"/>
                <w:color w:val="000000"/>
              </w:rPr>
            </w:pPr>
            <w:r>
              <w:rPr>
                <w:rFonts w:ascii="Arial" w:eastAsia="Arial" w:hAnsi="Arial" w:cs="Arial"/>
                <w:b/>
                <w:color w:val="000000"/>
              </w:rPr>
              <w:t>Uwaga, w tym propozycja brzmienia  kryterium</w:t>
            </w:r>
          </w:p>
          <w:p w14:paraId="17802683" w14:textId="77777777" w:rsidR="00011D78" w:rsidRDefault="00F94E33">
            <w:pPr>
              <w:pBdr>
                <w:top w:val="nil"/>
                <w:left w:val="nil"/>
                <w:bottom w:val="nil"/>
                <w:right w:val="nil"/>
                <w:between w:val="nil"/>
              </w:pBdr>
              <w:ind w:left="0" w:hanging="2"/>
              <w:jc w:val="center"/>
              <w:rPr>
                <w:rFonts w:ascii="Arial" w:eastAsia="Arial" w:hAnsi="Arial" w:cs="Arial"/>
                <w:color w:val="000000"/>
              </w:rPr>
            </w:pPr>
            <w:r>
              <w:rPr>
                <w:rFonts w:ascii="Arial" w:eastAsia="Arial" w:hAnsi="Arial" w:cs="Arial"/>
                <w:b/>
                <w:color w:val="000000"/>
              </w:rPr>
              <w:t>oraz uzasadnienie</w:t>
            </w:r>
          </w:p>
        </w:tc>
      </w:tr>
      <w:tr w:rsidR="00011D78" w14:paraId="20FFE432" w14:textId="77777777" w:rsidTr="00F94E33">
        <w:trPr>
          <w:cantSplit/>
          <w:trHeight w:val="1442"/>
        </w:trPr>
        <w:tc>
          <w:tcPr>
            <w:tcW w:w="1219" w:type="dxa"/>
            <w:vMerge w:val="restart"/>
            <w:vAlign w:val="center"/>
          </w:tcPr>
          <w:p w14:paraId="2F652ED4" w14:textId="77777777" w:rsidR="00011D78" w:rsidRDefault="00F94E33" w:rsidP="00F94E33">
            <w:pPr>
              <w:pBdr>
                <w:top w:val="nil"/>
                <w:left w:val="nil"/>
                <w:bottom w:val="nil"/>
                <w:right w:val="nil"/>
                <w:between w:val="nil"/>
              </w:pBdr>
              <w:ind w:left="0" w:hanging="2"/>
              <w:jc w:val="center"/>
              <w:rPr>
                <w:rFonts w:ascii="Arial" w:eastAsia="Arial" w:hAnsi="Arial" w:cs="Arial"/>
                <w:color w:val="000000"/>
                <w:sz w:val="20"/>
                <w:szCs w:val="20"/>
              </w:rPr>
            </w:pPr>
            <w:r>
              <w:rPr>
                <w:rFonts w:ascii="Arial" w:eastAsia="Arial" w:hAnsi="Arial" w:cs="Arial"/>
              </w:rPr>
              <w:t>C.3</w:t>
            </w:r>
          </w:p>
        </w:tc>
        <w:tc>
          <w:tcPr>
            <w:tcW w:w="5844" w:type="dxa"/>
            <w:vMerge w:val="restart"/>
            <w:vAlign w:val="center"/>
          </w:tcPr>
          <w:p w14:paraId="57C23E13" w14:textId="77777777" w:rsidR="00011D78" w:rsidRDefault="00F94E33">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Pr>
                <w:rFonts w:ascii="Arial" w:eastAsia="Arial" w:hAnsi="Arial" w:cs="Arial"/>
              </w:rPr>
              <w:t>Zapewnienie retencji i podczyszczania wód opadowych</w:t>
            </w:r>
          </w:p>
        </w:tc>
        <w:tc>
          <w:tcPr>
            <w:tcW w:w="7157" w:type="dxa"/>
          </w:tcPr>
          <w:p w14:paraId="51D44E8B" w14:textId="77777777" w:rsidR="00011D78" w:rsidRDefault="00F94E33">
            <w:pPr>
              <w:pBdr>
                <w:top w:val="nil"/>
                <w:left w:val="nil"/>
                <w:bottom w:val="nil"/>
                <w:right w:val="nil"/>
                <w:between w:val="nil"/>
              </w:pBdr>
              <w:ind w:left="0" w:hanging="2"/>
              <w:jc w:val="both"/>
              <w:rPr>
                <w:rFonts w:ascii="Arial" w:eastAsia="Arial" w:hAnsi="Arial" w:cs="Arial"/>
                <w:color w:val="000000"/>
                <w:sz w:val="20"/>
                <w:szCs w:val="20"/>
              </w:rPr>
            </w:pPr>
            <w:r>
              <w:rPr>
                <w:rFonts w:ascii="Arial" w:eastAsia="Arial" w:hAnsi="Arial" w:cs="Arial"/>
              </w:rPr>
              <w:t xml:space="preserve">Brak wskaźników określających sposób w jaki osiągnie się odpowiedni poziom “Zapewnienia retencji i podczyszczania wód opadowych”. </w:t>
            </w:r>
          </w:p>
          <w:p w14:paraId="58D61D0F" w14:textId="77777777" w:rsidR="00011D78" w:rsidRDefault="00011D78">
            <w:pPr>
              <w:pBdr>
                <w:top w:val="nil"/>
                <w:left w:val="nil"/>
                <w:bottom w:val="nil"/>
                <w:right w:val="nil"/>
                <w:between w:val="nil"/>
              </w:pBdr>
              <w:ind w:left="0" w:hanging="2"/>
              <w:jc w:val="both"/>
              <w:rPr>
                <w:rFonts w:ascii="Arial" w:eastAsia="Arial" w:hAnsi="Arial" w:cs="Arial"/>
                <w:color w:val="000000"/>
                <w:sz w:val="20"/>
                <w:szCs w:val="20"/>
              </w:rPr>
            </w:pPr>
          </w:p>
          <w:p w14:paraId="2925BE3D" w14:textId="77777777" w:rsidR="00011D78" w:rsidRDefault="00011D78">
            <w:pPr>
              <w:pBdr>
                <w:top w:val="nil"/>
                <w:left w:val="nil"/>
                <w:bottom w:val="nil"/>
                <w:right w:val="nil"/>
                <w:between w:val="nil"/>
              </w:pBdr>
              <w:ind w:left="0" w:hanging="2"/>
              <w:jc w:val="both"/>
              <w:rPr>
                <w:rFonts w:ascii="Arial" w:eastAsia="Arial" w:hAnsi="Arial" w:cs="Arial"/>
                <w:color w:val="000000"/>
                <w:sz w:val="20"/>
                <w:szCs w:val="20"/>
              </w:rPr>
            </w:pPr>
          </w:p>
          <w:p w14:paraId="27FFF251" w14:textId="77777777" w:rsidR="00011D78" w:rsidRDefault="00011D78">
            <w:pPr>
              <w:pBdr>
                <w:top w:val="nil"/>
                <w:left w:val="nil"/>
                <w:bottom w:val="nil"/>
                <w:right w:val="nil"/>
                <w:between w:val="nil"/>
              </w:pBdr>
              <w:ind w:left="0" w:hanging="2"/>
              <w:jc w:val="both"/>
              <w:rPr>
                <w:rFonts w:ascii="Arial" w:eastAsia="Arial" w:hAnsi="Arial" w:cs="Arial"/>
                <w:color w:val="000000"/>
                <w:sz w:val="20"/>
                <w:szCs w:val="20"/>
              </w:rPr>
            </w:pPr>
          </w:p>
        </w:tc>
      </w:tr>
      <w:tr w:rsidR="00011D78" w14:paraId="33F247CB" w14:textId="77777777">
        <w:trPr>
          <w:cantSplit/>
          <w:trHeight w:val="1270"/>
        </w:trPr>
        <w:tc>
          <w:tcPr>
            <w:tcW w:w="1219" w:type="dxa"/>
            <w:vMerge/>
          </w:tcPr>
          <w:p w14:paraId="13E212AE" w14:textId="77777777" w:rsidR="00011D78" w:rsidRDefault="00011D78">
            <w:pPr>
              <w:widowControl w:val="0"/>
              <w:pBdr>
                <w:top w:val="nil"/>
                <w:left w:val="nil"/>
                <w:bottom w:val="nil"/>
                <w:right w:val="nil"/>
                <w:between w:val="nil"/>
              </w:pBdr>
              <w:spacing w:after="0" w:line="276" w:lineRule="auto"/>
              <w:ind w:left="0" w:hanging="2"/>
              <w:rPr>
                <w:rFonts w:ascii="Arial" w:eastAsia="Arial" w:hAnsi="Arial" w:cs="Arial"/>
                <w:color w:val="000000"/>
                <w:sz w:val="20"/>
                <w:szCs w:val="20"/>
              </w:rPr>
            </w:pPr>
          </w:p>
        </w:tc>
        <w:tc>
          <w:tcPr>
            <w:tcW w:w="5844" w:type="dxa"/>
            <w:vMerge/>
            <w:vAlign w:val="center"/>
          </w:tcPr>
          <w:p w14:paraId="62F35FBF" w14:textId="77777777" w:rsidR="00011D78" w:rsidRDefault="00011D78">
            <w:pPr>
              <w:widowControl w:val="0"/>
              <w:pBdr>
                <w:top w:val="nil"/>
                <w:left w:val="nil"/>
                <w:bottom w:val="nil"/>
                <w:right w:val="nil"/>
                <w:between w:val="nil"/>
              </w:pBdr>
              <w:spacing w:after="0" w:line="276" w:lineRule="auto"/>
              <w:ind w:left="0" w:hanging="2"/>
              <w:rPr>
                <w:rFonts w:ascii="Arial" w:eastAsia="Arial" w:hAnsi="Arial" w:cs="Arial"/>
                <w:color w:val="000000"/>
                <w:sz w:val="20"/>
                <w:szCs w:val="20"/>
              </w:rPr>
            </w:pPr>
          </w:p>
        </w:tc>
        <w:tc>
          <w:tcPr>
            <w:tcW w:w="7157" w:type="dxa"/>
          </w:tcPr>
          <w:p w14:paraId="2DAD079E" w14:textId="77777777" w:rsidR="00011D78" w:rsidRDefault="00F94E33">
            <w:pPr>
              <w:pBdr>
                <w:top w:val="nil"/>
                <w:left w:val="nil"/>
                <w:bottom w:val="nil"/>
                <w:right w:val="nil"/>
                <w:between w:val="nil"/>
              </w:pBdr>
              <w:ind w:left="0" w:hanging="2"/>
              <w:rPr>
                <w:rFonts w:ascii="Arial" w:eastAsia="Arial" w:hAnsi="Arial" w:cs="Arial"/>
                <w:color w:val="000000"/>
                <w:sz w:val="20"/>
                <w:szCs w:val="20"/>
              </w:rPr>
            </w:pPr>
            <w:r>
              <w:rPr>
                <w:rFonts w:ascii="Arial" w:eastAsia="Arial" w:hAnsi="Arial" w:cs="Arial"/>
                <w:color w:val="000000"/>
                <w:sz w:val="20"/>
                <w:szCs w:val="20"/>
              </w:rPr>
              <w:t xml:space="preserve">UZASADNIENIE: </w:t>
            </w:r>
            <w:r>
              <w:rPr>
                <w:rFonts w:ascii="Arial" w:eastAsia="Arial" w:hAnsi="Arial" w:cs="Arial"/>
                <w:color w:val="000000"/>
                <w:sz w:val="20"/>
                <w:szCs w:val="20"/>
              </w:rPr>
              <w:br/>
            </w:r>
            <w:r>
              <w:rPr>
                <w:rFonts w:ascii="Arial" w:eastAsia="Arial" w:hAnsi="Arial" w:cs="Arial"/>
              </w:rPr>
              <w:t xml:space="preserve">Obwodnica jednej miejscowości może mieć 3 km, innej 13 km. Dla obu obwodnic można zaprojektować takie samo rozwiązanie infrastrukturalne i może to zostać uznane za spełnienie kryterium. Warto rozważyć uszczegółowienie kryterium o wskaźniki spełnienia kryterium, które chociaż orientacyjnie będą w stanie przedstawić czy wnioskodawca spełnia kryterium  naprawdę. Czyli czy rozwiązania dot. retencji obejmują całą (lub większość) część inwestycji czy tylko jakąś jej część. Przykładowo warto wskazać jaka część wód opadowych będzie retencjonowana, a jaka odprowadzana do kanalizacji deszczowej. Jeżeli np. więcej niż 20% wód będzie retencjonowana, to kryterium należy uznać za spełnione. </w:t>
            </w:r>
          </w:p>
          <w:p w14:paraId="6209FB15" w14:textId="77777777" w:rsidR="00011D78" w:rsidRDefault="00011D78">
            <w:pPr>
              <w:pBdr>
                <w:top w:val="nil"/>
                <w:left w:val="nil"/>
                <w:bottom w:val="nil"/>
                <w:right w:val="nil"/>
                <w:between w:val="nil"/>
              </w:pBdr>
              <w:ind w:left="0" w:hanging="2"/>
              <w:jc w:val="both"/>
              <w:rPr>
                <w:rFonts w:ascii="Arial" w:eastAsia="Arial" w:hAnsi="Arial" w:cs="Arial"/>
                <w:color w:val="000000"/>
                <w:sz w:val="20"/>
                <w:szCs w:val="20"/>
              </w:rPr>
            </w:pPr>
          </w:p>
        </w:tc>
      </w:tr>
    </w:tbl>
    <w:p w14:paraId="70B9178D" w14:textId="77777777" w:rsidR="00011D78" w:rsidRDefault="00011D78">
      <w:pPr>
        <w:pBdr>
          <w:top w:val="nil"/>
          <w:left w:val="nil"/>
          <w:bottom w:val="nil"/>
          <w:right w:val="nil"/>
          <w:between w:val="nil"/>
        </w:pBdr>
        <w:ind w:left="0" w:hanging="2"/>
        <w:rPr>
          <w:rFonts w:ascii="Arial" w:eastAsia="Arial" w:hAnsi="Arial" w:cs="Arial"/>
          <w:color w:val="000000"/>
        </w:rPr>
      </w:pPr>
    </w:p>
    <w:p w14:paraId="07C97024" w14:textId="77777777" w:rsidR="00011D78" w:rsidRDefault="00011D78">
      <w:pPr>
        <w:pBdr>
          <w:top w:val="nil"/>
          <w:left w:val="nil"/>
          <w:bottom w:val="nil"/>
          <w:right w:val="nil"/>
          <w:between w:val="nil"/>
        </w:pBdr>
        <w:ind w:left="0" w:hanging="2"/>
        <w:rPr>
          <w:rFonts w:ascii="Arial" w:eastAsia="Arial" w:hAnsi="Arial" w:cs="Arial"/>
          <w:color w:val="000000"/>
        </w:rPr>
      </w:pPr>
    </w:p>
    <w:sectPr w:rsidR="00011D78">
      <w:pgSz w:w="16838" w:h="11906" w:orient="landscape"/>
      <w:pgMar w:top="1417" w:right="1417" w:bottom="851"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D78"/>
    <w:rsid w:val="00011D78"/>
    <w:rsid w:val="00647EB6"/>
    <w:rsid w:val="008E48C9"/>
    <w:rsid w:val="00E8156B"/>
    <w:rsid w:val="00F94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C143"/>
  <w15:docId w15:val="{773CE523-698E-4AC9-8202-0F3C4777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pPr>
      <w:suppressAutoHyphens/>
      <w:ind w:leftChars="-1" w:left="-1" w:hangingChars="1" w:hanging="1"/>
      <w:textDirection w:val="btLr"/>
      <w:textAlignment w:val="top"/>
      <w:outlineLvl w:val="0"/>
    </w:pPr>
    <w:rPr>
      <w:rFonts w:cs="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ny"/>
    <w:pPr>
      <w:autoSpaceDE w:val="0"/>
      <w:autoSpaceDN w:val="0"/>
      <w:spacing w:after="0" w:line="240" w:lineRule="auto"/>
    </w:pPr>
    <w:rPr>
      <w:rFonts w:ascii="Times New Roman" w:eastAsia="Times New Roman" w:hAnsi="Times New Roman"/>
      <w:color w:val="000000"/>
      <w:sz w:val="24"/>
      <w:szCs w:val="24"/>
    </w:rPr>
  </w:style>
  <w:style w:type="character" w:customStyle="1" w:styleId="DefaultZnak">
    <w:name w:val="Default Znak"/>
    <w:rPr>
      <w:rFonts w:ascii="Times New Roman" w:eastAsia="Times New Roman" w:hAnsi="Times New Roman" w:cs="Times New Roman"/>
      <w:color w:val="000000"/>
      <w:w w:val="100"/>
      <w:position w:val="-1"/>
      <w:sz w:val="24"/>
      <w:szCs w:val="24"/>
      <w:effect w:val="none"/>
      <w:vertAlign w:val="baseline"/>
      <w:cs w:val="0"/>
      <w:em w:val="none"/>
    </w:rPr>
  </w:style>
  <w:style w:type="paragraph" w:styleId="Akapitzlist">
    <w:name w:val="List Paragraph"/>
    <w:basedOn w:val="Normalny"/>
    <w:pPr>
      <w:ind w:left="720"/>
      <w:contextualSpacing/>
    </w:pPr>
  </w:style>
  <w:style w:type="paragraph" w:styleId="Poprawka">
    <w:name w:val="Revision"/>
    <w:pPr>
      <w:suppressAutoHyphens/>
      <w:spacing w:line="1" w:lineRule="atLeast"/>
      <w:ind w:leftChars="-1" w:left="-1" w:hangingChars="1" w:hanging="1"/>
      <w:textDirection w:val="btLr"/>
      <w:textAlignment w:val="top"/>
      <w:outlineLvl w:val="0"/>
    </w:pPr>
    <w:rPr>
      <w:position w:val="-1"/>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fryH22/yXfHKRBrz+JL+VHglUQ==">CgMxLjA4AHIhMUJBNnVmNlZ0NEx2WUVFNTA5M3dUSG9EVkEtU2FMVDBy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177</Words>
  <Characters>1066</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Gaca-Zielińska</dc:creator>
  <cp:lastModifiedBy>Dagmara Wend</cp:lastModifiedBy>
  <cp:revision>5</cp:revision>
  <dcterms:created xsi:type="dcterms:W3CDTF">2023-02-14T11:53:00Z</dcterms:created>
  <dcterms:modified xsi:type="dcterms:W3CDTF">2023-11-09T07:59:00Z</dcterms:modified>
</cp:coreProperties>
</file>