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D14F9" w14:textId="77777777" w:rsidR="002B1E8A" w:rsidRPr="002B1E8A" w:rsidRDefault="002B1E8A" w:rsidP="002B1E8A">
      <w:pPr>
        <w:tabs>
          <w:tab w:val="left" w:pos="9923"/>
        </w:tabs>
        <w:spacing w:after="0" w:line="240" w:lineRule="auto"/>
        <w:ind w:left="9923"/>
        <w:jc w:val="right"/>
        <w:rPr>
          <w:rFonts w:ascii="Arial" w:hAnsi="Arial" w:cs="Arial"/>
          <w:bCs/>
          <w:sz w:val="24"/>
          <w:szCs w:val="24"/>
        </w:rPr>
      </w:pPr>
    </w:p>
    <w:p w14:paraId="6A1E978B" w14:textId="77777777" w:rsidR="00A12E4A" w:rsidRPr="002B1E8A" w:rsidRDefault="00A12E4A" w:rsidP="00BC078D">
      <w:pPr>
        <w:pStyle w:val="Nagwek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64BF5914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b/>
          <w:bCs/>
          <w:sz w:val="24"/>
          <w:szCs w:val="24"/>
        </w:rPr>
        <w:t>2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i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B1AA6" w:rsidRPr="002B1E8A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7AE1515D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2.</w:t>
      </w:r>
      <w:r w:rsidR="00813ACC">
        <w:rPr>
          <w:rFonts w:ascii="Arial" w:hAnsi="Arial" w:cs="Arial"/>
          <w:b/>
          <w:bCs/>
          <w:sz w:val="24"/>
          <w:szCs w:val="24"/>
        </w:rPr>
        <w:t>4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13ACC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01BD7DF5" w:rsidR="00A12E4A" w:rsidRDefault="00A12E4A" w:rsidP="001C3F2D">
      <w:pPr>
        <w:spacing w:before="100" w:beforeAutospacing="1" w:after="0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813ACC" w:rsidRPr="00813ACC">
        <w:rPr>
          <w:rFonts w:ascii="Arial" w:hAnsi="Arial" w:cs="Arial"/>
          <w:b/>
          <w:bCs/>
          <w:sz w:val="24"/>
          <w:szCs w:val="24"/>
        </w:rPr>
        <w:t>Wzrost efektywności energetycznej budynków zabytkowych</w:t>
      </w:r>
    </w:p>
    <w:p w14:paraId="77864B07" w14:textId="7456123E" w:rsidR="001C3F2D" w:rsidRPr="00384712" w:rsidRDefault="001C3F2D" w:rsidP="001C3F2D">
      <w:pPr>
        <w:spacing w:after="0"/>
        <w:rPr>
          <w:rFonts w:ascii="Arial" w:hAnsi="Arial" w:cs="Arial"/>
          <w:b/>
          <w:bCs/>
          <w:sz w:val="24"/>
          <w:szCs w:val="24"/>
        </w:rPr>
      </w:pPr>
      <w:bookmarkStart w:id="0" w:name="_Hlk161215084"/>
      <w:r w:rsidRPr="00384712">
        <w:rPr>
          <w:rFonts w:ascii="Arial" w:hAnsi="Arial" w:cs="Arial"/>
          <w:b/>
          <w:bCs/>
          <w:sz w:val="24"/>
          <w:szCs w:val="24"/>
        </w:rPr>
        <w:t xml:space="preserve">Schemat 1: </w:t>
      </w:r>
      <w:r w:rsidRPr="00813ACC">
        <w:rPr>
          <w:rFonts w:ascii="Arial" w:hAnsi="Arial" w:cs="Arial"/>
          <w:b/>
          <w:bCs/>
          <w:sz w:val="24"/>
          <w:szCs w:val="24"/>
        </w:rPr>
        <w:t>Wzrost efektywności energetycznej budynków zabytkowych</w:t>
      </w:r>
      <w:r w:rsidRPr="00384712">
        <w:rPr>
          <w:rFonts w:ascii="Arial" w:hAnsi="Arial" w:cs="Arial"/>
          <w:b/>
          <w:bCs/>
          <w:sz w:val="24"/>
          <w:szCs w:val="24"/>
        </w:rPr>
        <w:t xml:space="preserve"> podległ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384712">
        <w:rPr>
          <w:rFonts w:ascii="Arial" w:hAnsi="Arial" w:cs="Arial"/>
          <w:b/>
          <w:bCs/>
          <w:sz w:val="24"/>
          <w:szCs w:val="24"/>
        </w:rPr>
        <w:t xml:space="preserve"> Samorządowi Województwa</w:t>
      </w:r>
    </w:p>
    <w:p w14:paraId="3D6535C7" w14:textId="457EF5D6" w:rsidR="001C3F2D" w:rsidRPr="002B1E8A" w:rsidRDefault="001C3F2D" w:rsidP="001C3F2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 2: </w:t>
      </w:r>
      <w:r w:rsidRPr="00813ACC">
        <w:rPr>
          <w:rFonts w:ascii="Arial" w:hAnsi="Arial" w:cs="Arial"/>
          <w:b/>
          <w:bCs/>
          <w:sz w:val="24"/>
          <w:szCs w:val="24"/>
        </w:rPr>
        <w:t>Wzrost efektywności energetycznej budynków zabytkowych</w:t>
      </w:r>
      <w:r w:rsidRPr="00384712">
        <w:rPr>
          <w:rFonts w:ascii="Arial" w:hAnsi="Arial" w:cs="Arial"/>
          <w:b/>
          <w:bCs/>
          <w:sz w:val="24"/>
          <w:szCs w:val="24"/>
        </w:rPr>
        <w:t xml:space="preserve"> - pozostałe</w:t>
      </w:r>
    </w:p>
    <w:bookmarkEnd w:id="0"/>
    <w:p w14:paraId="10B5E25E" w14:textId="77777777" w:rsidR="00A12E4A" w:rsidRPr="002B1E8A" w:rsidRDefault="00A12E4A" w:rsidP="399D166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6BEB8EEA" w14:textId="7A629A9A" w:rsidR="00333557" w:rsidRPr="002B1E8A" w:rsidRDefault="00333557" w:rsidP="0033355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podmiotów:</w:t>
      </w:r>
    </w:p>
    <w:p w14:paraId="48B6A116" w14:textId="6B3BC61A" w:rsidR="002B1E8A" w:rsidRPr="00663510" w:rsidRDefault="002B1E8A" w:rsidP="00663510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 w:rsidRPr="00663510">
        <w:rPr>
          <w:rFonts w:ascii="Arial" w:hAnsi="Arial" w:cs="Arial"/>
          <w:sz w:val="24"/>
          <w:szCs w:val="24"/>
        </w:rPr>
        <w:t>,</w:t>
      </w:r>
    </w:p>
    <w:p w14:paraId="69795996" w14:textId="6A2C8416" w:rsidR="00024D24" w:rsidRPr="00502180" w:rsidRDefault="00024D24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2180">
        <w:rPr>
          <w:rFonts w:ascii="Arial" w:hAnsi="Arial" w:cs="Arial"/>
          <w:sz w:val="24"/>
          <w:szCs w:val="24"/>
        </w:rPr>
        <w:t>kościołów i związków wyznaniowych,</w:t>
      </w:r>
    </w:p>
    <w:p w14:paraId="3F3DBDA3" w14:textId="77777777" w:rsidR="00773443" w:rsidRDefault="001B5406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E0FA5">
        <w:rPr>
          <w:rFonts w:ascii="Arial" w:hAnsi="Arial" w:cs="Arial"/>
          <w:sz w:val="24"/>
          <w:szCs w:val="24"/>
        </w:rPr>
        <w:t xml:space="preserve">rganizacji </w:t>
      </w:r>
      <w:r w:rsidR="00CE0FA5" w:rsidRPr="00CE0FA5">
        <w:rPr>
          <w:rFonts w:ascii="Arial" w:hAnsi="Arial" w:cs="Arial"/>
          <w:sz w:val="24"/>
          <w:szCs w:val="24"/>
        </w:rPr>
        <w:t>pozarządow</w:t>
      </w:r>
      <w:r w:rsidR="00CE0FA5">
        <w:rPr>
          <w:rFonts w:ascii="Arial" w:hAnsi="Arial" w:cs="Arial"/>
          <w:sz w:val="24"/>
          <w:szCs w:val="24"/>
        </w:rPr>
        <w:t>ych</w:t>
      </w:r>
      <w:r w:rsidR="00773443">
        <w:rPr>
          <w:rFonts w:ascii="Arial" w:hAnsi="Arial" w:cs="Arial"/>
          <w:sz w:val="24"/>
          <w:szCs w:val="24"/>
        </w:rPr>
        <w:t>,</w:t>
      </w:r>
    </w:p>
    <w:p w14:paraId="095364B9" w14:textId="2575B74D" w:rsidR="00CE0FA5" w:rsidRPr="002B1E8A" w:rsidRDefault="00773443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spół</w:t>
      </w:r>
      <w:r w:rsidR="007D140E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 xml:space="preserve"> prawa handlowego ze 100% udziałem jednostek samorządu terytorialnego</w:t>
      </w:r>
      <w:r w:rsidR="00CE0FA5">
        <w:rPr>
          <w:rFonts w:ascii="Arial" w:hAnsi="Arial" w:cs="Arial"/>
          <w:sz w:val="24"/>
          <w:szCs w:val="24"/>
        </w:rPr>
        <w:t>.</w:t>
      </w:r>
    </w:p>
    <w:p w14:paraId="0F9AF31E" w14:textId="77777777" w:rsidR="002B1E8A" w:rsidRDefault="002B1E8A" w:rsidP="002B1E8A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0A3D3B73" w14:textId="3D701323" w:rsidR="002B1E8A" w:rsidRDefault="00333557" w:rsidP="002B1E8A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6A05A809" w14:textId="7B64490D" w:rsidR="002B1E8A" w:rsidRPr="00663510" w:rsidRDefault="001B5406" w:rsidP="002B1E8A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2B1E8A" w:rsidRPr="00663510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2B1E8A">
        <w:rPr>
          <w:rFonts w:ascii="Arial" w:hAnsi="Arial" w:cs="Arial"/>
          <w:sz w:val="24"/>
          <w:szCs w:val="24"/>
        </w:rPr>
        <w:t>przedsięwzięcia</w:t>
      </w:r>
      <w:r w:rsidR="002B1E8A" w:rsidRPr="002B1E8A">
        <w:rPr>
          <w:rFonts w:ascii="Arial" w:hAnsi="Arial" w:cs="Arial"/>
          <w:sz w:val="24"/>
          <w:szCs w:val="24"/>
        </w:rPr>
        <w:t xml:space="preserve"> z zakresu głębokiej i kompleksowej modernizacji energetycznej </w:t>
      </w:r>
      <w:r w:rsidR="00A74A19">
        <w:rPr>
          <w:rFonts w:ascii="Arial" w:hAnsi="Arial" w:cs="Arial"/>
          <w:sz w:val="24"/>
          <w:szCs w:val="24"/>
          <w:lang w:val="pl-PL"/>
        </w:rPr>
        <w:t>zabytkowych</w:t>
      </w:r>
      <w:r w:rsidR="007E178B" w:rsidRPr="007E178B">
        <w:rPr>
          <w:rFonts w:ascii="Arial" w:hAnsi="Arial" w:cs="Arial"/>
          <w:sz w:val="24"/>
          <w:szCs w:val="24"/>
        </w:rPr>
        <w:t xml:space="preserve"> </w:t>
      </w:r>
      <w:r w:rsidR="007E178B" w:rsidRPr="002B1E8A">
        <w:rPr>
          <w:rFonts w:ascii="Arial" w:hAnsi="Arial" w:cs="Arial"/>
          <w:sz w:val="24"/>
          <w:szCs w:val="24"/>
        </w:rPr>
        <w:t>budynków</w:t>
      </w:r>
      <w:r w:rsidR="007E178B">
        <w:rPr>
          <w:rFonts w:ascii="Arial" w:hAnsi="Arial" w:cs="Arial"/>
          <w:sz w:val="24"/>
          <w:szCs w:val="24"/>
          <w:lang w:val="pl-PL"/>
        </w:rPr>
        <w:t xml:space="preserve"> publicznych</w:t>
      </w:r>
      <w:r w:rsidR="00663510">
        <w:rPr>
          <w:rFonts w:ascii="Arial" w:hAnsi="Arial" w:cs="Arial"/>
          <w:sz w:val="24"/>
          <w:szCs w:val="24"/>
          <w:lang w:val="pl-PL"/>
        </w:rPr>
        <w:t>.</w:t>
      </w:r>
    </w:p>
    <w:p w14:paraId="72EE62DA" w14:textId="77777777" w:rsidR="00DA3F0D" w:rsidRPr="002B1E8A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2B1E8A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2B1E8A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2"/>
      <w:tr w:rsidR="00A74A19" w:rsidRPr="002B1E8A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59D14A14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B48321A" w14:textId="77777777" w:rsidR="00A74A19" w:rsidRPr="004D7AF8" w:rsidRDefault="00A74A19" w:rsidP="00A74A1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BB6C5C4" w14:textId="77777777" w:rsidR="00A74A19" w:rsidRPr="004D7AF8" w:rsidRDefault="00A74A19" w:rsidP="00A74A1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5DCDE47E" w14:textId="77777777" w:rsidR="00A74A19" w:rsidRPr="004D7AF8" w:rsidRDefault="00A74A19" w:rsidP="00A74A1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EC38C04" w14:textId="77777777" w:rsidR="00A74A19" w:rsidRPr="004D7AF8" w:rsidRDefault="00A74A19" w:rsidP="00A74A1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 podpisał elektronicznym podpisem kwalifikowanym</w:t>
            </w:r>
            <w:r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6EDF51E9" w14:textId="77777777" w:rsidR="00A74A19" w:rsidRPr="004D7AF8" w:rsidRDefault="00A74A19" w:rsidP="00A74A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08565D65" w:rsidR="00A74A19" w:rsidRPr="002B1E8A" w:rsidRDefault="00A74A19" w:rsidP="00A74A19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994E75D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7CD358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C4BAC7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3E15AD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235DC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27B00A" w14:textId="633B91E2" w:rsidR="00A74A19" w:rsidRPr="002B1E8A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74A19" w:rsidRPr="002B1E8A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2FD871C3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1D910588" w:rsidR="00A74A19" w:rsidRPr="002B1E8A" w:rsidRDefault="00A74A19" w:rsidP="00A74A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Wykluczenia przedmiotowe i podmiotowe</w:t>
            </w:r>
          </w:p>
        </w:tc>
        <w:tc>
          <w:tcPr>
            <w:tcW w:w="7199" w:type="dxa"/>
          </w:tcPr>
          <w:p w14:paraId="5F8DF504" w14:textId="77777777" w:rsidR="00A74A19" w:rsidRPr="004D7AF8" w:rsidRDefault="00A74A19" w:rsidP="00A74A1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wnioskodawców)</w:t>
            </w:r>
            <w:r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3FD86A6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023733D" w14:textId="77777777" w:rsidR="00A74A19" w:rsidRPr="004D7AF8" w:rsidRDefault="00A74A19" w:rsidP="00A74A1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3B0891F9" w14:textId="77777777" w:rsidR="00A74A19" w:rsidRPr="004D7AF8" w:rsidRDefault="00A74A19" w:rsidP="00A74A1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52D4DABE" w14:textId="77777777" w:rsidR="00A74A19" w:rsidRPr="004D7AF8" w:rsidRDefault="00A74A19" w:rsidP="00A74A1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03FBA83" w14:textId="77777777" w:rsidR="00A74A19" w:rsidRPr="00067707" w:rsidRDefault="00A74A19" w:rsidP="00A74A1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2831),</w:t>
            </w:r>
          </w:p>
          <w:p w14:paraId="57E33969" w14:textId="77777777" w:rsidR="00A74A19" w:rsidRPr="004D7AF8" w:rsidRDefault="00A74A19" w:rsidP="00A74A1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4D7AF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431E5ADE" w14:textId="77777777" w:rsidR="00A74A19" w:rsidRPr="004D7AF8" w:rsidRDefault="00A74A19" w:rsidP="00A74A1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2021/1060,</w:t>
            </w:r>
          </w:p>
          <w:p w14:paraId="7E90DBCC" w14:textId="77777777" w:rsidR="00A74A19" w:rsidRPr="004D7AF8" w:rsidRDefault="00A74A19" w:rsidP="00A74A1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257E27DB" w14:textId="77777777" w:rsidR="00563552" w:rsidRDefault="00563552" w:rsidP="00A74A19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4B94D5A5" w14:textId="6A504BF0" w:rsidR="00A74A19" w:rsidRPr="002B1E8A" w:rsidRDefault="00A74A19" w:rsidP="00A74A19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E2C2325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4D1CF5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CA6AA" w14:textId="77777777" w:rsidR="00A74A19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72A26D" w14:textId="77777777" w:rsidR="00A74A19" w:rsidRPr="004D7AF8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87048DF" w14:textId="548F19D6" w:rsidR="00A74A19" w:rsidRPr="002B1E8A" w:rsidRDefault="00A74A19" w:rsidP="00A74A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1922" w:rsidRPr="002B1E8A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132189149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1402E1C" w14:textId="25462264" w:rsidR="00451922" w:rsidRPr="002B1E8A" w:rsidRDefault="00451922" w:rsidP="00451922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2DAC4A2D" w14:textId="77777777" w:rsidR="00451922" w:rsidRPr="003C1527" w:rsidRDefault="00451922" w:rsidP="0045192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45A65F83" w14:textId="77777777" w:rsidR="00451922" w:rsidRPr="003C1527" w:rsidRDefault="00451922" w:rsidP="0045192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1AAB0327" w14:textId="77777777" w:rsidR="00451922" w:rsidRPr="003C1527" w:rsidRDefault="00451922" w:rsidP="0045192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635A697" w14:textId="2DA4AB7D" w:rsidR="00451922" w:rsidRPr="00326CCC" w:rsidRDefault="00451922" w:rsidP="0045192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5"/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28A148C0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E70BFF2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808AB8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568C96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5C24DE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344AE19" w14:textId="66A7F5D7" w:rsidR="00451922" w:rsidRPr="002B1E8A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3"/>
      <w:tr w:rsidR="00451922" w:rsidRPr="002B1E8A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2412DA63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5B4DFA1E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598128CA" w14:textId="77777777" w:rsidR="00451922" w:rsidRDefault="00451922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>
              <w:rPr>
                <w:rFonts w:ascii="Arial" w:hAnsi="Arial" w:cs="Arial"/>
                <w:sz w:val="24"/>
                <w:szCs w:val="24"/>
              </w:rPr>
              <w:t xml:space="preserve"> na terytorium województwa kujawsko-pomorskiego.</w:t>
            </w:r>
          </w:p>
          <w:p w14:paraId="4B06B528" w14:textId="77777777" w:rsidR="00451922" w:rsidRDefault="00451922" w:rsidP="0045192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48D440DE" w:rsidR="00451922" w:rsidRPr="002B1E8A" w:rsidRDefault="00451922" w:rsidP="00024D2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A873DDE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15D3D5F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08498B" w14:textId="77777777" w:rsidR="00451922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FA1FDA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A4DD89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7A8BF7A2" w:rsidR="00451922" w:rsidRPr="002B1E8A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1922" w:rsidRPr="002B1E8A" w14:paraId="26AD5253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5FFB9CD1" w14:textId="3BA6DE03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506760FD" w14:textId="2BE9D860" w:rsidR="00451922" w:rsidRPr="002B1E8A" w:rsidRDefault="00451922" w:rsidP="004519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451EA98D" w14:textId="2936E522" w:rsidR="00451922" w:rsidRPr="004D7AF8" w:rsidRDefault="00451922" w:rsidP="0045192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</w:t>
            </w:r>
            <w:r w:rsidR="00213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3A77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213A77">
              <w:rPr>
                <w:rFonts w:ascii="Arial" w:hAnsi="Arial" w:cs="Arial"/>
                <w:sz w:val="24"/>
                <w:szCs w:val="24"/>
              </w:rPr>
              <w:t>np. o pozwoleniu na budowę)</w:t>
            </w:r>
            <w:r w:rsidRPr="004D7AF8">
              <w:rPr>
                <w:rFonts w:ascii="Arial" w:hAnsi="Arial" w:cs="Arial"/>
                <w:sz w:val="24"/>
                <w:szCs w:val="24"/>
              </w:rPr>
              <w:t>, uzgodnienia i pozwolenia administracyjne</w:t>
            </w:r>
            <w:r w:rsidRPr="004D7AF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4D7AF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45B556C" w14:textId="77777777" w:rsidR="00451922" w:rsidRPr="004D7AF8" w:rsidRDefault="00451922" w:rsidP="0045192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DBEF00" w14:textId="25537AB7" w:rsidR="00451922" w:rsidRPr="002B1E8A" w:rsidRDefault="00451922" w:rsidP="0045192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0ECF0FE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4D7AF8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D7AF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E62413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02EB02" w14:textId="77777777" w:rsidR="00451922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FE7A2E" w14:textId="77777777" w:rsidR="00451922" w:rsidRPr="004D7AF8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9E66BAC" w14:textId="23A1F102" w:rsidR="00451922" w:rsidRPr="002B1E8A" w:rsidRDefault="00451922" w:rsidP="004519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149C3E6" w14:textId="77777777" w:rsidR="004658E0" w:rsidRPr="002B1E8A" w:rsidRDefault="004658E0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2B1E8A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B.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3599"/>
        <w:gridCol w:w="3600"/>
        <w:gridCol w:w="3260"/>
      </w:tblGrid>
      <w:tr w:rsidR="003C40D0" w:rsidRPr="002B1E8A" w14:paraId="5CFAE7FB" w14:textId="77777777" w:rsidTr="000E2251">
        <w:trPr>
          <w:trHeight w:val="283"/>
        </w:trPr>
        <w:tc>
          <w:tcPr>
            <w:tcW w:w="1110" w:type="dxa"/>
            <w:shd w:val="clear" w:color="auto" w:fill="E7E6E6" w:themeFill="background2"/>
            <w:vAlign w:val="center"/>
          </w:tcPr>
          <w:p w14:paraId="3531B1DD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68DA1A52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gridSpan w:val="2"/>
            <w:shd w:val="clear" w:color="auto" w:fill="E7E6E6" w:themeFill="background2"/>
            <w:vAlign w:val="center"/>
          </w:tcPr>
          <w:p w14:paraId="667523C6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76407EAA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C60B8" w:rsidRPr="002B1E8A" w14:paraId="243FA318" w14:textId="77777777" w:rsidTr="002C60B8">
        <w:trPr>
          <w:trHeight w:val="936"/>
        </w:trPr>
        <w:tc>
          <w:tcPr>
            <w:tcW w:w="1110" w:type="dxa"/>
            <w:vMerge w:val="restart"/>
            <w:vAlign w:val="center"/>
          </w:tcPr>
          <w:p w14:paraId="33BC7B23" w14:textId="4BF7DEC4" w:rsidR="002C60B8" w:rsidRPr="002B1E8A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Merge w:val="restart"/>
            <w:vAlign w:val="center"/>
          </w:tcPr>
          <w:p w14:paraId="71C813B9" w14:textId="02255447" w:rsidR="002C60B8" w:rsidRPr="002B1E8A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gridSpan w:val="2"/>
            <w:shd w:val="clear" w:color="auto" w:fill="auto"/>
          </w:tcPr>
          <w:p w14:paraId="0562CB0E" w14:textId="52B8D6A5" w:rsidR="002C60B8" w:rsidRPr="002B1E8A" w:rsidDel="007968FF" w:rsidRDefault="002C60B8" w:rsidP="002C6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</w:tc>
        <w:tc>
          <w:tcPr>
            <w:tcW w:w="3260" w:type="dxa"/>
            <w:vMerge w:val="restart"/>
          </w:tcPr>
          <w:p w14:paraId="3FF60A1D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CEEC935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A9EBD1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C88A8A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77B343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176792C4" w:rsidR="002C60B8" w:rsidRPr="002B1E8A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C60B8" w:rsidRPr="002B1E8A" w14:paraId="68A1EF96" w14:textId="77777777" w:rsidTr="00C80110">
        <w:trPr>
          <w:trHeight w:val="539"/>
        </w:trPr>
        <w:tc>
          <w:tcPr>
            <w:tcW w:w="1110" w:type="dxa"/>
            <w:vMerge/>
            <w:vAlign w:val="center"/>
          </w:tcPr>
          <w:p w14:paraId="7D892CC8" w14:textId="77777777" w:rsidR="002C60B8" w:rsidRPr="005526E5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1287F7C9" w14:textId="77777777" w:rsidR="002C60B8" w:rsidRPr="005526E5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  <w:shd w:val="clear" w:color="auto" w:fill="auto"/>
          </w:tcPr>
          <w:p w14:paraId="75046D4C" w14:textId="556E1818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1:</w:t>
            </w:r>
          </w:p>
        </w:tc>
        <w:tc>
          <w:tcPr>
            <w:tcW w:w="3600" w:type="dxa"/>
            <w:shd w:val="clear" w:color="auto" w:fill="auto"/>
          </w:tcPr>
          <w:p w14:paraId="053988B4" w14:textId="4718D598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2:</w:t>
            </w:r>
          </w:p>
        </w:tc>
        <w:tc>
          <w:tcPr>
            <w:tcW w:w="3260" w:type="dxa"/>
            <w:vMerge/>
          </w:tcPr>
          <w:p w14:paraId="0B3E1B17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60B8" w:rsidRPr="002B1E8A" w14:paraId="5B41F5B0" w14:textId="77777777" w:rsidTr="0000587D">
        <w:trPr>
          <w:trHeight w:val="2060"/>
        </w:trPr>
        <w:tc>
          <w:tcPr>
            <w:tcW w:w="1110" w:type="dxa"/>
            <w:vMerge/>
            <w:vAlign w:val="center"/>
          </w:tcPr>
          <w:p w14:paraId="37C4B86C" w14:textId="77777777" w:rsidR="002C60B8" w:rsidRPr="005526E5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10E3D40A" w14:textId="77777777" w:rsidR="002C60B8" w:rsidRPr="005526E5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  <w:shd w:val="clear" w:color="auto" w:fill="auto"/>
          </w:tcPr>
          <w:p w14:paraId="5169AB08" w14:textId="03BD5665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samorząd województwa</w:t>
            </w:r>
            <w:r w:rsidR="006D38A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5026C3B" w14:textId="2E1FE752" w:rsidR="002C60B8" w:rsidRPr="005526E5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spółki prawa handlowego z</w:t>
            </w:r>
            <w:r w:rsidR="00B66B5F">
              <w:rPr>
                <w:rFonts w:ascii="Arial" w:hAnsi="Arial" w:cs="Arial"/>
                <w:sz w:val="24"/>
                <w:szCs w:val="24"/>
              </w:rPr>
              <w:t xml:space="preserve"> większościowym</w:t>
            </w:r>
            <w:r>
              <w:rPr>
                <w:rFonts w:ascii="Arial" w:hAnsi="Arial" w:cs="Arial"/>
                <w:sz w:val="24"/>
                <w:szCs w:val="24"/>
              </w:rPr>
              <w:t xml:space="preserve"> udziałem samorządu </w:t>
            </w:r>
            <w:r w:rsidR="006D38A3">
              <w:rPr>
                <w:rFonts w:ascii="Arial" w:hAnsi="Arial" w:cs="Arial"/>
                <w:sz w:val="24"/>
                <w:szCs w:val="24"/>
              </w:rPr>
              <w:t>województwa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C27F97C" w14:textId="3FB9A307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6D38A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EFE9BB" w14:textId="6DE39491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14:paraId="52BDD20E" w14:textId="2E48CE09" w:rsidR="002C60B8" w:rsidRPr="006A076E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jednostki samorządu terytorialnego</w:t>
            </w:r>
            <w:r w:rsidR="00DB1A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4D2A">
              <w:rPr>
                <w:rFonts w:ascii="Arial" w:hAnsi="Arial" w:cs="Arial"/>
                <w:sz w:val="24"/>
                <w:szCs w:val="24"/>
              </w:rPr>
              <w:t>(</w:t>
            </w:r>
            <w:r w:rsidR="00DB1A6A">
              <w:rPr>
                <w:rFonts w:ascii="Arial" w:hAnsi="Arial" w:cs="Arial"/>
                <w:sz w:val="24"/>
                <w:szCs w:val="24"/>
              </w:rPr>
              <w:t>inne niż samorząd województwa</w:t>
            </w:r>
            <w:r w:rsidR="00F84D2A">
              <w:rPr>
                <w:rFonts w:ascii="Arial" w:hAnsi="Arial" w:cs="Arial"/>
                <w:sz w:val="24"/>
                <w:szCs w:val="24"/>
              </w:rPr>
              <w:t>)</w:t>
            </w:r>
            <w:r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7303CB3" w14:textId="5942BD4A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  <w:r w:rsidR="00DB1A6A">
              <w:rPr>
                <w:rFonts w:ascii="Arial" w:hAnsi="Arial" w:cs="Arial"/>
                <w:sz w:val="24"/>
                <w:szCs w:val="24"/>
              </w:rPr>
              <w:t xml:space="preserve"> innych niż samorząd województwa</w:t>
            </w:r>
            <w:r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2AF1E49" w14:textId="77777777" w:rsidR="002C60B8" w:rsidRPr="006A076E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6A076E">
              <w:rPr>
                <w:rFonts w:ascii="Arial" w:hAnsi="Arial" w:cs="Arial"/>
                <w:sz w:val="24"/>
                <w:szCs w:val="24"/>
              </w:rPr>
              <w:t>ościoły i związki wyznaniowe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329A3C6" w14:textId="77777777" w:rsid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6A076E">
              <w:rPr>
                <w:rFonts w:ascii="Arial" w:hAnsi="Arial" w:cs="Arial"/>
                <w:sz w:val="24"/>
                <w:szCs w:val="24"/>
              </w:rPr>
              <w:t>rganizacje pozarządowe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F7CA0D1" w14:textId="2CAAA75F" w:rsidR="002C60B8" w:rsidRPr="005526E5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spółki prawa handlowego z</w:t>
            </w:r>
            <w:r w:rsidR="00B66B5F">
              <w:rPr>
                <w:rFonts w:ascii="Arial" w:hAnsi="Arial" w:cs="Arial"/>
                <w:sz w:val="24"/>
                <w:szCs w:val="24"/>
              </w:rPr>
              <w:t xml:space="preserve"> większościowym </w:t>
            </w:r>
            <w:r>
              <w:rPr>
                <w:rFonts w:ascii="Arial" w:hAnsi="Arial" w:cs="Arial"/>
                <w:sz w:val="24"/>
                <w:szCs w:val="24"/>
              </w:rPr>
              <w:t xml:space="preserve">udziałem jednostek samorządu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terytorialnego</w:t>
            </w:r>
            <w:r w:rsidR="00DB1A6A">
              <w:rPr>
                <w:rFonts w:ascii="Arial" w:hAnsi="Arial" w:cs="Arial"/>
                <w:sz w:val="24"/>
                <w:szCs w:val="24"/>
              </w:rPr>
              <w:t xml:space="preserve"> innych niż samorząd województwa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F4A3E15" w14:textId="2E6C9221" w:rsidR="002C60B8" w:rsidRPr="002C60B8" w:rsidRDefault="002C60B8" w:rsidP="002C60B8">
            <w:pPr>
              <w:numPr>
                <w:ilvl w:val="0"/>
                <w:numId w:val="25"/>
              </w:numPr>
              <w:spacing w:after="60" w:line="240" w:lineRule="auto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  <w:vMerge/>
          </w:tcPr>
          <w:p w14:paraId="2E3C52D1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60B8" w:rsidRPr="002B1E8A" w14:paraId="50BD086C" w14:textId="77777777" w:rsidTr="002C60B8">
        <w:trPr>
          <w:trHeight w:val="902"/>
        </w:trPr>
        <w:tc>
          <w:tcPr>
            <w:tcW w:w="1110" w:type="dxa"/>
            <w:vMerge/>
            <w:vAlign w:val="center"/>
          </w:tcPr>
          <w:p w14:paraId="0C7B5202" w14:textId="77777777" w:rsidR="002C60B8" w:rsidRPr="005526E5" w:rsidRDefault="002C60B8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7205CDDF" w14:textId="77777777" w:rsidR="002C60B8" w:rsidRPr="005526E5" w:rsidRDefault="002C60B8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  <w:shd w:val="clear" w:color="auto" w:fill="auto"/>
          </w:tcPr>
          <w:p w14:paraId="63B7D839" w14:textId="6D05ED6A" w:rsidR="002C60B8" w:rsidRPr="005526E5" w:rsidRDefault="002C60B8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  <w:vMerge/>
          </w:tcPr>
          <w:p w14:paraId="1EEEF86C" w14:textId="77777777" w:rsidR="002C60B8" w:rsidRPr="004D7AF8" w:rsidRDefault="002C60B8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6B7B" w:rsidRPr="002B1E8A" w14:paraId="3EF922BE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A6AD98" w14:textId="6527D521" w:rsidR="009B6B7B" w:rsidRPr="005526E5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44283CB6" w14:textId="77777777" w:rsidR="009B6B7B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1E5E556C" w14:textId="56ADF745" w:rsidR="009B6B7B" w:rsidRPr="005526E5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4"/>
          </w:p>
        </w:tc>
        <w:tc>
          <w:tcPr>
            <w:tcW w:w="7199" w:type="dxa"/>
            <w:gridSpan w:val="2"/>
            <w:shd w:val="clear" w:color="auto" w:fill="auto"/>
          </w:tcPr>
          <w:p w14:paraId="6AF3F425" w14:textId="77777777" w:rsidR="009B6B7B" w:rsidRPr="008C3417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5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BEA26BB" w14:textId="77777777" w:rsidR="009B6B7B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FC25D" w14:textId="50DC8E01" w:rsidR="009B6B7B" w:rsidRPr="005526E5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5"/>
          </w:p>
        </w:tc>
        <w:tc>
          <w:tcPr>
            <w:tcW w:w="3260" w:type="dxa"/>
          </w:tcPr>
          <w:p w14:paraId="38408D70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7EC9B2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0C7A7E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C422E5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7B6CFB" w14:textId="77777777" w:rsidR="009B6B7B" w:rsidRPr="00713570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5D0311E" w14:textId="5347A767" w:rsidR="009B6B7B" w:rsidRPr="004D7AF8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51C8996C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D7185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65226FA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do wsparcia w ramach działania</w:t>
            </w:r>
          </w:p>
        </w:tc>
        <w:tc>
          <w:tcPr>
            <w:tcW w:w="7199" w:type="dxa"/>
            <w:gridSpan w:val="2"/>
          </w:tcPr>
          <w:p w14:paraId="52CC8CE0" w14:textId="7DC04228" w:rsidR="00607AEF" w:rsidRDefault="00607AEF" w:rsidP="003366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z zakresu głębokiej i kompleksowej modernizacji energetycznej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zabytkowych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5FBC">
              <w:rPr>
                <w:rFonts w:ascii="Arial" w:hAnsi="Arial" w:cs="Arial"/>
                <w:sz w:val="24"/>
                <w:szCs w:val="24"/>
              </w:rPr>
              <w:t>budynków publiczn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B5FB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FB5FBC">
              <w:rPr>
                <w:rFonts w:ascii="Arial" w:hAnsi="Arial" w:cs="Arial"/>
                <w:sz w:val="24"/>
                <w:szCs w:val="24"/>
              </w:rPr>
              <w:t>. Przedsięwzięcia</w:t>
            </w:r>
            <w:r w:rsidRPr="00B02089">
              <w:rPr>
                <w:rFonts w:ascii="Arial" w:hAnsi="Arial" w:cs="Arial"/>
                <w:sz w:val="24"/>
                <w:szCs w:val="24"/>
              </w:rPr>
              <w:t xml:space="preserve"> mogą dotyczyć m.in.:</w:t>
            </w:r>
          </w:p>
          <w:p w14:paraId="64A0C602" w14:textId="2753BED4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ocieplenia obiektu, wymiany pokrycia dachu, okien, drzwi zewnętrznych oraz oświetlenia na energooszczędne wraz z instalacją,</w:t>
            </w:r>
          </w:p>
          <w:p w14:paraId="06D92B46" w14:textId="2EEDB51A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przebudowy systemów grzewczych (wraz z wymianą i przyłączeniem źródła ciepła), systemów wentylacji i klimatyzacji oraz zastosowanie systemów zarządzania budynkiem,</w:t>
            </w:r>
          </w:p>
          <w:p w14:paraId="545DC929" w14:textId="5BD70B72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 xml:space="preserve">realizacji </w:t>
            </w:r>
            <w:proofErr w:type="spellStart"/>
            <w:r w:rsidRPr="00B02089">
              <w:rPr>
                <w:rFonts w:ascii="Arial" w:hAnsi="Arial" w:cs="Arial"/>
                <w:sz w:val="24"/>
                <w:szCs w:val="24"/>
              </w:rPr>
              <w:t>mikrokogeneracji</w:t>
            </w:r>
            <w:proofErr w:type="spellEnd"/>
            <w:r w:rsidRPr="00B02089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Pr="00B02089">
              <w:rPr>
                <w:rFonts w:ascii="Arial" w:hAnsi="Arial" w:cs="Arial"/>
                <w:sz w:val="24"/>
                <w:szCs w:val="24"/>
              </w:rPr>
              <w:t>mikrotrigeneracji</w:t>
            </w:r>
            <w:proofErr w:type="spellEnd"/>
            <w:r w:rsidRPr="00B02089">
              <w:rPr>
                <w:rFonts w:ascii="Arial" w:hAnsi="Arial" w:cs="Arial"/>
                <w:sz w:val="24"/>
                <w:szCs w:val="24"/>
              </w:rPr>
              <w:t xml:space="preserve"> na potrzeby własne,</w:t>
            </w:r>
          </w:p>
          <w:p w14:paraId="2CFB1498" w14:textId="75B3A474" w:rsidR="009B6B7B" w:rsidRPr="00B02089" w:rsidRDefault="009B6B7B" w:rsidP="009B6B7B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budowy i przebudowy instalacji OZE w modernizowanych energetycznie budynkach na potrzeby własne,</w:t>
            </w:r>
          </w:p>
          <w:p w14:paraId="016A5CDB" w14:textId="10225D3B" w:rsidR="00607AEF" w:rsidRPr="00607AEF" w:rsidRDefault="009B6B7B" w:rsidP="009B6B7B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instalacji systemów chłodzących, w tym również z OZE.</w:t>
            </w:r>
          </w:p>
          <w:p w14:paraId="003FD4EA" w14:textId="77777777" w:rsidR="00607AEF" w:rsidRDefault="00607AEF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F25C4A" w14:textId="7C0B6FDC" w:rsidR="009B6B7B" w:rsidRPr="00B02089" w:rsidRDefault="009B6B7B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wymiany źródeł ciepła nie będą wprowadzane piece węglowe.</w:t>
            </w:r>
          </w:p>
          <w:p w14:paraId="04EB0192" w14:textId="77777777" w:rsidR="009B6B7B" w:rsidRDefault="009B6B7B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8A12B" w14:textId="016923A8" w:rsidR="009B6B7B" w:rsidRPr="002B1E8A" w:rsidRDefault="009B6B7B" w:rsidP="009B6B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2189159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8CDD78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193223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7A55823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32EE17" w14:textId="77777777" w:rsidR="00D71851" w:rsidRPr="00B77EE5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341B2965" w:rsidR="009B6B7B" w:rsidRPr="002B1E8A" w:rsidRDefault="00D71851" w:rsidP="00D718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70DA1" w:rsidRPr="002B1E8A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60ACD4EE" w:rsidR="00170DA1" w:rsidRPr="002B1E8A" w:rsidRDefault="00170DA1" w:rsidP="00170D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236A9DCD" w:rsidR="00170DA1" w:rsidRPr="002B1E8A" w:rsidRDefault="00170DA1" w:rsidP="00170D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  <w:gridSpan w:val="2"/>
          </w:tcPr>
          <w:p w14:paraId="1603E298" w14:textId="77777777" w:rsidR="00170DA1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041CE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</w:t>
            </w:r>
            <w:proofErr w:type="spellStart"/>
            <w:r w:rsidRPr="002041C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2041CE">
              <w:rPr>
                <w:rFonts w:ascii="Arial" w:hAnsi="Arial" w:cs="Arial"/>
                <w:sz w:val="24"/>
                <w:szCs w:val="24"/>
              </w:rPr>
              <w:t>)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18ABD9" w14:textId="77777777" w:rsidR="00170DA1" w:rsidRPr="002B1E8A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E1EA49" w14:textId="03857A61" w:rsidR="00170DA1" w:rsidRPr="002B1E8A" w:rsidRDefault="00170DA1" w:rsidP="00170DA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147D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59D470A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BB17E2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901D5B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C3073F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9D7E6" w14:textId="77777777" w:rsidR="00170DA1" w:rsidRPr="00B77EE5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2CC1A3F7" w:rsidR="00170DA1" w:rsidRPr="002B1E8A" w:rsidRDefault="00170DA1" w:rsidP="00170D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4ABEF5A0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D97F5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  <w:gridSpan w:val="2"/>
          </w:tcPr>
          <w:p w14:paraId="2A1E0111" w14:textId="77777777" w:rsidR="009B6B7B" w:rsidRPr="002B1E8A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0008CBE" w14:textId="77777777" w:rsidR="00B02089" w:rsidRPr="002B1E8A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302402BB" w14:textId="1E74907D" w:rsidR="00B02089" w:rsidRPr="00BA0C9D" w:rsidRDefault="00BA0C9D" w:rsidP="00BA0C9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A0C9D">
              <w:rPr>
                <w:rFonts w:ascii="Arial" w:hAnsi="Arial" w:cs="Arial"/>
                <w:sz w:val="24"/>
                <w:szCs w:val="24"/>
                <w:lang w:val="pl-PL"/>
              </w:rPr>
              <w:t xml:space="preserve">pomoc jest zgodna z rozporządzeniem nr 2023/2831 lub rozporządzeniem ministra właściwego do spraw rozwoju regionalnego, określającym szczegółowe przeznaczenie, warunki i tryb udzielania pomocy de </w:t>
            </w:r>
            <w:proofErr w:type="spellStart"/>
            <w:r w:rsidRPr="00BA0C9D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0899221" w14:textId="77777777" w:rsidR="00B02089" w:rsidRPr="002B1E8A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udzielana jest zgodnie z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14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z dnia 11 października 2022 r. w sprawie udzielania regionalnej pomocy inwestycyjnej w ramach programów regionalnych na lata 2021–2027 (Dz. U. z 2022 r. poz. 2161 i 2657, z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B1E8A">
              <w:rPr>
                <w:rFonts w:ascii="Arial" w:hAnsi="Arial" w:cs="Arial"/>
                <w:sz w:val="24"/>
                <w:szCs w:val="24"/>
              </w:rPr>
              <w:t>. zm.) lub</w:t>
            </w:r>
          </w:p>
          <w:p w14:paraId="68B7ED94" w14:textId="77777777" w:rsidR="00B02089" w:rsidRPr="002B1E8A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38, 39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wspierające efektywność energetyczną w ramach regionalnych programów na lata 2021–2027 (Dz. U. z 2022 r. poz. 2607) lub</w:t>
            </w:r>
          </w:p>
          <w:p w14:paraId="73222EB0" w14:textId="4B021A68" w:rsidR="00B02089" w:rsidRDefault="00B02089" w:rsidP="00B0208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40, 41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>2014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2693)</w:t>
            </w:r>
            <w:r w:rsidR="00BA0C9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DA4ED1" w14:textId="77777777" w:rsidR="00BA0C9D" w:rsidRDefault="00BA0C9D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EB381" w14:textId="24FFA143" w:rsidR="009B6B7B" w:rsidRPr="00B02089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11D637" w14:textId="4DF18DD2" w:rsidR="009B6B7B" w:rsidRPr="00B02089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</w:t>
            </w: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w całym okresie amortyzacji infrastruktury sfinansowanej ze środków FEdKP 2021-2027 będzie miała charakter pomocniczy.</w:t>
            </w:r>
          </w:p>
          <w:p w14:paraId="037B33C2" w14:textId="77777777" w:rsidR="009B6B7B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0CEE5566" w14:textId="77777777" w:rsidR="009B6B7B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76089259" w14:textId="77777777" w:rsidR="009B6B7B" w:rsidRPr="002B1E8A" w:rsidRDefault="009B6B7B" w:rsidP="009B6B7B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9B6B7B" w:rsidRPr="002B1E8A" w:rsidRDefault="009B6B7B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FE9F23F" w14:textId="77777777" w:rsidR="009B6B7B" w:rsidRPr="002B1E8A" w:rsidRDefault="009B6B7B" w:rsidP="009B6B7B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E1023BD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37DC29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05C3D8" w14:textId="77777777" w:rsidR="00D97F55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372317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49F93A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9EE9B" w14:textId="2F5B77DD" w:rsidR="009B6B7B" w:rsidRPr="002B1E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B6B7B" w:rsidRPr="002B1E8A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66E7400D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97F5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  <w:gridSpan w:val="2"/>
          </w:tcPr>
          <w:p w14:paraId="3424495E" w14:textId="77777777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51E6E85" w14:textId="77777777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40EE2969" w14:textId="3CA5AB38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40999D4F" w:rsidR="009B6B7B" w:rsidRPr="00552E99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tym kryterium sprawdzamy, czy w projekcie przewidziano następujące rozwiązania wspierające zgodność z zasadą DNSH:</w:t>
            </w:r>
          </w:p>
          <w:p w14:paraId="09000CC3" w14:textId="422348B4" w:rsidR="009B6B7B" w:rsidRPr="00552E99" w:rsidRDefault="009B6B7B" w:rsidP="009B6B7B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t>w przypadku modernizacji źródeł ciepła wykorzystujących biomasę należy stosować rośliny niebędące gatunkami obcymi,</w:t>
            </w:r>
          </w:p>
          <w:p w14:paraId="08CE6F91" w14:textId="6687188E" w:rsidR="009B6B7B" w:rsidRPr="00552E99" w:rsidRDefault="009B6B7B" w:rsidP="009B6B7B">
            <w:pPr>
              <w:numPr>
                <w:ilvl w:val="0"/>
                <w:numId w:val="1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powietrza.</w:t>
            </w:r>
          </w:p>
          <w:p w14:paraId="2D74EDC9" w14:textId="77777777" w:rsidR="009B6B7B" w:rsidRPr="002B1E8A" w:rsidRDefault="009B6B7B" w:rsidP="009B6B7B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1CDCEAD" w14:textId="18B16CEA" w:rsidR="009B6B7B" w:rsidRPr="002B1E8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04A78BB5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A74113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7830B8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F1F33D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D3051" w14:textId="77777777" w:rsidR="00D97F55" w:rsidRPr="00254A8A" w:rsidRDefault="00D97F55" w:rsidP="00D97F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55A120" w14:textId="4F5A4B47" w:rsidR="009B6B7B" w:rsidRPr="002B1E8A" w:rsidRDefault="00D97F55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43AFF" w:rsidRPr="002B1E8A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25334442" w:rsidR="00343AFF" w:rsidRPr="002B1E8A" w:rsidRDefault="00343AFF" w:rsidP="00343A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7B814839" w:rsidR="00343AFF" w:rsidRPr="002B1E8A" w:rsidRDefault="00343AFF" w:rsidP="00343A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  <w:gridSpan w:val="2"/>
          </w:tcPr>
          <w:p w14:paraId="48FA1171" w14:textId="77777777" w:rsidR="00343AFF" w:rsidRPr="00452FB1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3C7BECF9" w14:textId="77777777" w:rsidR="00343AFF" w:rsidRPr="00452FB1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93EECE3" w14:textId="77777777" w:rsidR="00343AFF" w:rsidRPr="00452FB1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7E12B7E6" w:rsidR="00343AFF" w:rsidRPr="002B1E8A" w:rsidRDefault="00343AFF" w:rsidP="00343A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60" w:type="dxa"/>
          </w:tcPr>
          <w:p w14:paraId="5B386CBE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EB0A2DF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65036C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415234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FB540E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D47BA6" w14:textId="77777777" w:rsidR="00343AFF" w:rsidRPr="00452FB1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29984BC6" w:rsidR="00343AFF" w:rsidRPr="002B1E8A" w:rsidRDefault="00343AFF" w:rsidP="00343A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B6B7B" w:rsidRPr="002B1E8A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2B351D40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02F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64CE834" w14:textId="77777777" w:rsidR="009B6B7B" w:rsidRPr="005526E5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9B6B7B" w:rsidRPr="002B1E8A" w:rsidRDefault="009B6B7B" w:rsidP="009B6B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  <w:gridSpan w:val="2"/>
          </w:tcPr>
          <w:p w14:paraId="732EF92A" w14:textId="77777777" w:rsidR="009B6B7B" w:rsidRPr="005526E5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45DAAB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 U. z 2023 r. poz. 1094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4EE2D372" w14:textId="79463874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</w:t>
            </w:r>
            <w:r w:rsidR="00DB43E5">
              <w:rPr>
                <w:rFonts w:ascii="Arial" w:hAnsi="Arial" w:cs="Arial"/>
                <w:sz w:val="24"/>
                <w:szCs w:val="24"/>
              </w:rPr>
              <w:t>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DB43E5">
              <w:rPr>
                <w:rFonts w:ascii="Arial" w:hAnsi="Arial" w:cs="Arial"/>
                <w:sz w:val="24"/>
                <w:szCs w:val="24"/>
              </w:rPr>
              <w:t xml:space="preserve"> 54</w:t>
            </w:r>
            <w:r w:rsidRPr="00452FB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ED6AA08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452FB1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3C45EB25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1478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 dziedzinie polityki wodnej;</w:t>
            </w:r>
          </w:p>
          <w:p w14:paraId="615AB631" w14:textId="77777777" w:rsidR="008C02FD" w:rsidRPr="00452FB1" w:rsidRDefault="008C02FD" w:rsidP="008C02FD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23A61859" w14:textId="77777777" w:rsidR="009B6B7B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5DBDC7" w14:textId="335A35E8" w:rsidR="009B6B7B" w:rsidRPr="008465BA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465BA">
              <w:rPr>
                <w:rFonts w:ascii="Arial" w:hAnsi="Arial" w:cs="Arial"/>
                <w:sz w:val="24"/>
                <w:szCs w:val="24"/>
              </w:rPr>
              <w:t xml:space="preserve">W odniesieniu do projektów uwzględniających ocieplanie ścian i inne uszczelnianie budynków, niezbędne będzie postępowanie </w:t>
            </w:r>
            <w:r w:rsidRPr="008465BA">
              <w:rPr>
                <w:rFonts w:ascii="Arial" w:hAnsi="Arial" w:cs="Arial"/>
                <w:sz w:val="24"/>
                <w:szCs w:val="24"/>
              </w:rPr>
              <w:lastRenderedPageBreak/>
              <w:t>zgodnie z wymogami dotyczącymi ochrony gatunkowej zwierząt zgodnie z §10 pkt 4 lit. h rozporządzenia Ministra Środowiska z dnia 16 grudnia 2016 r. w sprawie ochrony gatunkowej zwierząt (Dz. U. z 2022 r. poz. 2380) oraz art. 52 ustawy z dnia 16 kwietnia 2004 r. o ochronie przyrody (Dz. U. z 2023 r. poz. 1336), tj. między innymi dostosowaniu sposobów i terminów wykonywania prac budowlanych, remontowych i innych, tak aby zminimalizować ich wpływ na zwierzęta i ich siedliska.</w:t>
            </w:r>
          </w:p>
          <w:p w14:paraId="1ACC6C46" w14:textId="77777777" w:rsidR="009B6B7B" w:rsidRDefault="009B6B7B" w:rsidP="009B6B7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C43FE3" w14:textId="77777777" w:rsidR="008C02FD" w:rsidRDefault="008C02FD" w:rsidP="008C02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6F0FE3EA" w14:textId="77777777" w:rsidR="00507FAF" w:rsidRPr="00452FB1" w:rsidRDefault="00507FAF" w:rsidP="008C02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E56223" w14:textId="48D39399" w:rsidR="009B6B7B" w:rsidRPr="002B1E8A" w:rsidRDefault="008C02FD" w:rsidP="008C02F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3A7AF6CE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5B12B5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E96360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962780" w14:textId="77777777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763A3C" w14:textId="5C27485D" w:rsidR="008C02FD" w:rsidRPr="00452FB1" w:rsidRDefault="008C02FD" w:rsidP="008C0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21032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FD3848" w14:textId="6FD4FCC1" w:rsidR="009B6B7B" w:rsidRPr="002B1E8A" w:rsidRDefault="008C02FD" w:rsidP="009B6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83867" w:rsidRPr="002B1E8A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36A92B58" w:rsidR="00883867" w:rsidRPr="002B1E8A" w:rsidRDefault="00883867" w:rsidP="008838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55DCA6FD" w:rsidR="00883867" w:rsidRPr="002B1E8A" w:rsidRDefault="00883867" w:rsidP="008838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  <w:gridSpan w:val="2"/>
          </w:tcPr>
          <w:p w14:paraId="0CFF295B" w14:textId="77777777" w:rsidR="00883867" w:rsidRPr="00452FB1" w:rsidRDefault="00883867" w:rsidP="0088386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E23BAF" w14:textId="15F0BA6C" w:rsidR="00883867" w:rsidRPr="00452FB1" w:rsidRDefault="00883867" w:rsidP="00883867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09188830" w14:textId="77777777" w:rsidR="00883867" w:rsidRPr="00452FB1" w:rsidRDefault="00883867" w:rsidP="00883867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0D2D443A" w14:textId="77777777" w:rsidR="00883867" w:rsidRPr="00452FB1" w:rsidRDefault="00883867" w:rsidP="00883867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C9F0DAF" w14:textId="77777777" w:rsidR="00883867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DCB749" w14:textId="77777777" w:rsidR="00883867" w:rsidRPr="00452FB1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A7034A6" w14:textId="77777777" w:rsidR="00883867" w:rsidRPr="00452FB1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459315" w14:textId="71C4D4CA" w:rsidR="00883867" w:rsidRPr="002B1E8A" w:rsidRDefault="00883867" w:rsidP="0088386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BE8992E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52F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5495785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AF7309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DD2BC9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E5A03F" w14:textId="77777777" w:rsidR="00883867" w:rsidRPr="00452FB1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52C490" w14:textId="1141961D" w:rsidR="00883867" w:rsidRPr="002B1E8A" w:rsidRDefault="00883867" w:rsidP="008838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EB5FBB" w:rsidRPr="002B1E8A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641C444F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750EF87F" w14:textId="77777777" w:rsidR="00EB5FBB" w:rsidRPr="005A137E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DFB9E20" w14:textId="77777777" w:rsidR="00EB5FBB" w:rsidRPr="002B1E8A" w:rsidRDefault="00EB5FBB" w:rsidP="00EB5FB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</w:tcPr>
          <w:p w14:paraId="5A601B18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FC4468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6FD917B4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66F50FE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783232D" w14:textId="77777777" w:rsidR="00EB5FBB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CE93569" w14:textId="77777777" w:rsidR="00EB5FBB" w:rsidRPr="005A137E" w:rsidRDefault="00EB5FBB" w:rsidP="00EB5FB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9B2E299" w14:textId="77777777" w:rsidR="00EB5FBB" w:rsidRPr="005A137E" w:rsidRDefault="00EB5FBB" w:rsidP="00EB5F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4E871BC" w14:textId="77777777" w:rsidR="00EB5FBB" w:rsidRPr="002B1E8A" w:rsidRDefault="00EB5FBB" w:rsidP="00EB5F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A34187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C15B1E1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FCC6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CF1152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D84504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6FE45914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B5FBB" w:rsidRPr="002B1E8A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253D8323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18BA7F4D" w14:textId="77777777" w:rsidR="00EB5FBB" w:rsidRPr="005A137E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45B25B47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  <w:gridSpan w:val="2"/>
          </w:tcPr>
          <w:p w14:paraId="3BE9A3B6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D3A57DC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2494520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1FEDAAED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C318D1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w analizie finansowej wykorzystano podejście rachunku wartości pieniądza w czasie, tj. wszystkie przyszłe </w:t>
            </w: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przepływy pieniężne są dyskontowane w celu określenia ich wartości bieżącej,</w:t>
            </w:r>
          </w:p>
          <w:p w14:paraId="069BF826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288B84C6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0B7177E6" w:rsidR="00EB5FBB" w:rsidRPr="002B1E8A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6EE4249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7D71AF60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D61F34F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BFD3E0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2FF85D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57E646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51FCF232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EB5FBB" w:rsidRPr="002B1E8A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7EEC89F1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125F09A" w14:textId="7C26024E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  <w:gridSpan w:val="2"/>
          </w:tcPr>
          <w:p w14:paraId="593369CA" w14:textId="77777777" w:rsidR="00EB5FBB" w:rsidRPr="005A137E" w:rsidRDefault="00EB5FBB" w:rsidP="00EB5F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246E432D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A137E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A137E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3513D231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7" w:name="_Hlk126574575"/>
            <w:r w:rsidRPr="005A137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7"/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2"/>
            </w:r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5A137E">
              <w:rPr>
                <w:rFonts w:ascii="Arial" w:hAnsi="Arial" w:cs="Arial"/>
                <w:sz w:val="24"/>
                <w:szCs w:val="24"/>
              </w:rPr>
              <w:t>oraz zapisami dotyczącymi kwalifikowalności wydatków określonymi w regulaminie wyboru projektów,</w:t>
            </w:r>
          </w:p>
          <w:p w14:paraId="54736828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A6FB5DF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AA12911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3B15115" w14:textId="77777777" w:rsidR="00EB5FBB" w:rsidRPr="005A137E" w:rsidRDefault="00EB5FBB" w:rsidP="00EB5FBB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4807FA6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7B4B86" w14:textId="00ADE83D" w:rsidR="00EB5FBB" w:rsidRPr="002B1E8A" w:rsidRDefault="00EB5FBB" w:rsidP="00EB5F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63B48BA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61CBDE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D6DFFF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5C21C1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8879851" w14:textId="77777777" w:rsidR="00EB5FBB" w:rsidRPr="005A137E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8706D0" w14:textId="77D033E2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B5FBB" w:rsidRPr="002B1E8A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4554B188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F98AD3B" w14:textId="77777777" w:rsidR="00EB5FBB" w:rsidRPr="005507E8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5F3A7C1C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  <w:gridSpan w:val="2"/>
          </w:tcPr>
          <w:p w14:paraId="711E9E7F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3EB368A5" w14:textId="77777777" w:rsidR="00EB5FBB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03C25B2F" w:rsidR="00EB5FBB" w:rsidRPr="002B1E8A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735F5C8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C22C4E3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E7FA07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6FB5E8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A27D8B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B70581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0983EB6C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B5FBB" w:rsidRPr="002B1E8A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7269BC16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107BE65F" w14:textId="6AC32045" w:rsidR="00EB5FBB" w:rsidRPr="002B1E8A" w:rsidRDefault="00EB5FBB" w:rsidP="00EB5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  <w:gridSpan w:val="2"/>
          </w:tcPr>
          <w:p w14:paraId="2661FC84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18210D0D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6FE6EEF" w14:textId="77777777" w:rsidR="00EB5FBB" w:rsidRPr="005507E8" w:rsidRDefault="00EB5FBB" w:rsidP="00EB5F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29F29E0B" w:rsidR="00EB5FBB" w:rsidRPr="002B1E8A" w:rsidRDefault="00EB5FBB" w:rsidP="00EB5FB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327BA2E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1E37D3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0506D92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887BAA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FD0BE4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BDE938" w14:textId="77777777" w:rsidR="00EB5FBB" w:rsidRPr="005507E8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0C37A9BC" w:rsidR="00EB5FBB" w:rsidRPr="002B1E8A" w:rsidRDefault="00EB5FBB" w:rsidP="00EB5F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6088A" w:rsidRPr="002B1E8A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4A97B35A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7B1A407" w14:textId="2D57E0F8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  <w:gridSpan w:val="2"/>
          </w:tcPr>
          <w:p w14:paraId="00F652FA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07E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07E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4D9FA12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95B2F53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7A335D9F" w:rsidR="0096088A" w:rsidRPr="002B1E8A" w:rsidRDefault="0096088A" w:rsidP="0096088A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2DC519CB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D7B423B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A8C831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14FC41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E3E94" w14:textId="77777777" w:rsidR="009608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5537C12" w14:textId="77777777" w:rsidR="0096088A" w:rsidRPr="00926F8E" w:rsidRDefault="0096088A" w:rsidP="0096088A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  <w:p w14:paraId="1F05F5F1" w14:textId="75426028" w:rsidR="0096088A" w:rsidRPr="002B1E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6088A" w:rsidRPr="002B1E8A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66925741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CC3B238" w14:textId="63CD8BC8" w:rsidR="0096088A" w:rsidRPr="002B1E8A" w:rsidRDefault="0096088A" w:rsidP="00960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  <w:gridSpan w:val="2"/>
          </w:tcPr>
          <w:p w14:paraId="29B81A52" w14:textId="77777777" w:rsidR="0096088A" w:rsidRPr="005526E5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6D696FB" w14:textId="77777777" w:rsidR="0096088A" w:rsidRPr="005507E8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416AD0D5" w:rsidR="0096088A" w:rsidRPr="002B1E8A" w:rsidRDefault="0096088A" w:rsidP="00960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8549366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FA762C8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856B5F" w14:textId="77777777" w:rsidR="0096088A" w:rsidRPr="00DC4E41" w:rsidRDefault="0096088A" w:rsidP="0096088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074F7BF" w14:textId="77777777" w:rsidR="009608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514B3A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BFDF31" w14:textId="77777777" w:rsidR="0096088A" w:rsidRPr="005507E8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8AA706" w14:textId="776F92C3" w:rsidR="0096088A" w:rsidRPr="002B1E8A" w:rsidRDefault="0096088A" w:rsidP="00960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F04F715" w14:textId="77777777" w:rsidR="001D1648" w:rsidRPr="002B1E8A" w:rsidRDefault="001D1648">
      <w:pPr>
        <w:rPr>
          <w:rFonts w:ascii="Arial" w:hAnsi="Arial" w:cs="Arial"/>
          <w:sz w:val="24"/>
          <w:szCs w:val="24"/>
        </w:rPr>
      </w:pPr>
    </w:p>
    <w:p w14:paraId="1F7D3A97" w14:textId="77777777" w:rsidR="007257F1" w:rsidRPr="002B1E8A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C.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3599"/>
        <w:gridCol w:w="3600"/>
        <w:gridCol w:w="3261"/>
      </w:tblGrid>
      <w:tr w:rsidR="00C742ED" w:rsidRPr="002B1E8A" w14:paraId="15931B07" w14:textId="77777777" w:rsidTr="0092600B">
        <w:tc>
          <w:tcPr>
            <w:tcW w:w="1110" w:type="dxa"/>
            <w:shd w:val="clear" w:color="auto" w:fill="E7E6E6" w:themeFill="background2"/>
            <w:vAlign w:val="center"/>
          </w:tcPr>
          <w:p w14:paraId="00BB38EE" w14:textId="1A81314D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gridSpan w:val="2"/>
            <w:shd w:val="clear" w:color="auto" w:fill="E7E6E6" w:themeFill="background2"/>
            <w:vAlign w:val="center"/>
          </w:tcPr>
          <w:p w14:paraId="6039EE02" w14:textId="77777777" w:rsidR="002844F4" w:rsidRPr="0092600B" w:rsidRDefault="002844F4" w:rsidP="0092600B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14:paraId="0270F92E" w14:textId="77777777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2844F4" w:rsidRPr="0092600B" w:rsidRDefault="002844F4" w:rsidP="009260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600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575A6" w:rsidRPr="002B1E8A" w14:paraId="590455D0" w14:textId="77777777" w:rsidTr="00954093">
        <w:tc>
          <w:tcPr>
            <w:tcW w:w="1110" w:type="dxa"/>
            <w:vAlign w:val="center"/>
          </w:tcPr>
          <w:p w14:paraId="60EF8942" w14:textId="196F6163" w:rsidR="003575A6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AD32D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0719BFD" w14:textId="324FC204" w:rsidR="003575A6" w:rsidRPr="003575A6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Wzrost efektywności energetycznej</w:t>
            </w:r>
          </w:p>
        </w:tc>
        <w:tc>
          <w:tcPr>
            <w:tcW w:w="7199" w:type="dxa"/>
            <w:gridSpan w:val="2"/>
          </w:tcPr>
          <w:p w14:paraId="444AC19D" w14:textId="795461F4" w:rsidR="003575A6" w:rsidRPr="00423A1D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 xml:space="preserve">W kryterium sprawdzamy, czy projekt z zakresu modernizacji energetycznej budynków </w:t>
            </w:r>
            <w:r w:rsidR="003616BE" w:rsidRPr="00423A1D">
              <w:rPr>
                <w:rFonts w:ascii="Arial" w:hAnsi="Arial" w:cs="Arial"/>
                <w:sz w:val="24"/>
                <w:szCs w:val="24"/>
              </w:rPr>
              <w:t>zabytkowych</w:t>
            </w:r>
            <w:r w:rsidR="00BA0C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3A1D">
              <w:rPr>
                <w:rFonts w:ascii="Arial" w:hAnsi="Arial" w:cs="Arial"/>
                <w:sz w:val="24"/>
                <w:szCs w:val="24"/>
              </w:rPr>
              <w:t xml:space="preserve">zapewnia zwiększenie efektywności energetycznej o minimum </w:t>
            </w:r>
            <w:r w:rsidR="003616BE" w:rsidRPr="00423A1D">
              <w:rPr>
                <w:rFonts w:ascii="Arial" w:hAnsi="Arial" w:cs="Arial"/>
                <w:sz w:val="24"/>
                <w:szCs w:val="24"/>
              </w:rPr>
              <w:t>25</w:t>
            </w:r>
            <w:r w:rsidRPr="00423A1D">
              <w:rPr>
                <w:rFonts w:ascii="Arial" w:hAnsi="Arial" w:cs="Arial"/>
                <w:sz w:val="24"/>
                <w:szCs w:val="24"/>
              </w:rPr>
              <w:t>% w odniesieniu do energii pierwotnej.</w:t>
            </w:r>
          </w:p>
          <w:p w14:paraId="2DA856F8" w14:textId="77777777" w:rsidR="00284FC1" w:rsidRPr="00423A1D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A3226" w14:textId="2E1D2DEE" w:rsidR="00284FC1" w:rsidRP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59E36EB" w14:textId="6CE66A3E" w:rsidR="00AD32DE" w:rsidRPr="00194A16" w:rsidRDefault="00AD32DE" w:rsidP="00AD32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1ADC457" w14:textId="77777777" w:rsidR="00AD32DE" w:rsidRPr="00194A16" w:rsidRDefault="00AD32DE" w:rsidP="00AD32D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5217E6" w14:textId="77777777" w:rsidR="00AD32DE" w:rsidRPr="00194A16" w:rsidRDefault="00AD32DE" w:rsidP="00AD32D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ED50D6" w14:textId="50563CF0" w:rsidR="00E96E16" w:rsidRDefault="00AD32DE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7E28B3C" w14:textId="4013ED31" w:rsidR="003575A6" w:rsidRPr="002B1E8A" w:rsidRDefault="00AD32DE" w:rsidP="007136B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742ED" w:rsidRPr="002B1E8A" w14:paraId="323F28C4" w14:textId="77777777" w:rsidTr="399D1660">
        <w:tc>
          <w:tcPr>
            <w:tcW w:w="1110" w:type="dxa"/>
            <w:vAlign w:val="center"/>
          </w:tcPr>
          <w:p w14:paraId="47A957D3" w14:textId="192682CD" w:rsidR="0057057A" w:rsidRPr="002B1E8A" w:rsidRDefault="0057057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60EE426" w14:textId="340BC31B" w:rsidR="0057057A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</w:t>
            </w:r>
          </w:p>
        </w:tc>
        <w:tc>
          <w:tcPr>
            <w:tcW w:w="7199" w:type="dxa"/>
            <w:gridSpan w:val="2"/>
            <w:vAlign w:val="center"/>
          </w:tcPr>
          <w:p w14:paraId="0C252E45" w14:textId="251171AE" w:rsidR="003575A6" w:rsidRPr="003575A6" w:rsidRDefault="006C3F3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>, czy działania zaplanowane w ramach projektu wynikają z przeprowadzonego audytu energetycznego, sporządzonego w oparciu o metodologię wskazaną w rozporządzeniu Ministra Infrastruktury z dnia 17 marca 2009 r. w sprawie szczegółowego zakresu i form audytu energetycznego oraz części audytu remontowego, wzorów kart audytów, a także algorytmu oceny opłacalności przedsięwzięcia termomodernizacyjnego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U. z 2009 r. nr 43 poz. 346 z </w:t>
            </w:r>
            <w:proofErr w:type="spellStart"/>
            <w:r w:rsidR="003575A6" w:rsidRPr="003575A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. zm.). </w:t>
            </w:r>
          </w:p>
          <w:p w14:paraId="096CC5F1" w14:textId="5981C4FF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 xml:space="preserve">Uzupełniająco, w przypadku wystąpienia w projekcie elementów oświetleniowych, należy stosować metody obliczeń określone w rozporządzeniu Ministra Energii z dnia 5 października 2017 r. w sprawie szczegółowego zakresu i sposobu sporządzania audytu </w:t>
            </w:r>
            <w:r w:rsidRPr="003575A6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efektywności energetycznej oraz metod obliczania oszczędności energii (Dz. U. z </w:t>
            </w:r>
            <w:r w:rsidR="0057636D">
              <w:rPr>
                <w:rFonts w:ascii="Arial" w:hAnsi="Arial" w:cs="Arial"/>
                <w:sz w:val="24"/>
                <w:szCs w:val="24"/>
              </w:rPr>
              <w:t>2023</w:t>
            </w:r>
            <w:r w:rsidRPr="003575A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7636D">
              <w:rPr>
                <w:rFonts w:ascii="Arial" w:hAnsi="Arial" w:cs="Arial"/>
                <w:sz w:val="24"/>
                <w:szCs w:val="24"/>
              </w:rPr>
              <w:t>1220</w:t>
            </w:r>
            <w:r w:rsidRPr="003575A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CF25CDC" w14:textId="77777777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19836" w14:textId="61926E35" w:rsidR="00EC5E19" w:rsidRPr="002B1E8A" w:rsidRDefault="003575A6" w:rsidP="003575A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 sporządzony dla projektu musi dodatkowo zawierać analizę efektu ekologicznego oraz wyliczenia redukcji wartości stężeń pyłu zawieszonego PM 10</w:t>
            </w:r>
            <w:r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3575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8C173C" w14:textId="77777777" w:rsidR="00284FC1" w:rsidRDefault="00284FC1" w:rsidP="00F572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FEF7D" w14:textId="45642393" w:rsidR="0057057A" w:rsidRPr="002B1E8A" w:rsidRDefault="0057057A" w:rsidP="0057057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822107" w14:textId="4314980F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F1972C5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E4DA65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A06FD2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361939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2B106" w14:textId="176CB1A2" w:rsidR="00307726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59B96CF" w14:textId="20BC5BB8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60145320" w14:textId="71B8EC7F" w:rsidR="0057057A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Przyznanie wartości „NIE” oznacza, iż kryterium nie jest spełnione.</w:t>
            </w:r>
          </w:p>
        </w:tc>
      </w:tr>
      <w:tr w:rsidR="006C3F31" w:rsidRPr="002B1E8A" w14:paraId="133DF303" w14:textId="77777777" w:rsidTr="00AA29DB">
        <w:tc>
          <w:tcPr>
            <w:tcW w:w="1110" w:type="dxa"/>
            <w:vAlign w:val="center"/>
          </w:tcPr>
          <w:p w14:paraId="7A9067DD" w14:textId="1690B2A4" w:rsidR="006C3F31" w:rsidRPr="002B1E8A" w:rsidRDefault="00AA29D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0ED93E8" w14:textId="1F7CC2E3" w:rsidR="006C3F31" w:rsidRPr="003575A6" w:rsidRDefault="00AF2F34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Europejski Zielony Ład</w:t>
            </w:r>
          </w:p>
        </w:tc>
        <w:tc>
          <w:tcPr>
            <w:tcW w:w="7199" w:type="dxa"/>
            <w:gridSpan w:val="2"/>
          </w:tcPr>
          <w:p w14:paraId="2AF02D39" w14:textId="77777777" w:rsidR="001910DC" w:rsidRDefault="00AA29DB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08429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 przypadku występowania elementów niewynikających z audytu energetycznego, realizują 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>szersze cele Europejskiego Zielonego Ładu jak np. rozwiązania przyczyniające się do zwiększenia powierzchni zielonych (zielone dachy, ściany) lub rozwiązania na rzecz gospodarki o obiegu zamkniętym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06E1F66" w14:textId="04361C81" w:rsidR="00AF2F34" w:rsidRDefault="00AF2F34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AA29DB">
              <w:rPr>
                <w:rFonts w:ascii="Arial" w:hAnsi="Arial" w:cs="Arial"/>
                <w:sz w:val="24"/>
                <w:szCs w:val="24"/>
              </w:rPr>
              <w:t>odatkowe elementy wykraczające poza koszty wynikające z rekomendacji audytu energetycznego nie będą mogły stanowić więcej niż 15% wydatków kwalifikowalnych projektu, ponadto dodatkowe elementy niewynikające z audytu energetycznego, a dedykowane wyłącznie aspektom estetycznym i społecznym nie będą mogły stanowić kosztów kwalifikowalnych.</w:t>
            </w:r>
          </w:p>
          <w:p w14:paraId="5AA74FC6" w14:textId="77777777" w:rsidR="00AA29DB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4FE042" w14:textId="5FAC56D0" w:rsidR="00AA29DB" w:rsidRPr="003575A6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A7315DC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1C1A50D2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265D82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9B4F19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A4165E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63E82" w14:textId="77777777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5B078F" w14:textId="6F0E8E1B" w:rsidR="006C3F31" w:rsidRPr="002B1E8A" w:rsidRDefault="005E04C4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4143" w:rsidRPr="002B1E8A" w14:paraId="1CA153AF" w14:textId="77777777" w:rsidTr="399D1660">
        <w:tc>
          <w:tcPr>
            <w:tcW w:w="1110" w:type="dxa"/>
            <w:vAlign w:val="center"/>
          </w:tcPr>
          <w:p w14:paraId="57A942FD" w14:textId="5D4B482A" w:rsidR="00A84143" w:rsidRPr="00394248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394248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394248">
              <w:rPr>
                <w:rFonts w:ascii="Arial" w:hAnsi="Arial" w:cs="Arial"/>
                <w:sz w:val="24"/>
                <w:szCs w:val="24"/>
              </w:rPr>
              <w:t>ć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394248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gridSpan w:val="2"/>
            <w:vAlign w:val="center"/>
          </w:tcPr>
          <w:p w14:paraId="0D27F26C" w14:textId="73EA58F5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C6C1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394248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394248" w:rsidRPr="00394248">
              <w:rPr>
                <w:rFonts w:ascii="Arial" w:hAnsi="Arial" w:cs="Arial"/>
                <w:sz w:val="24"/>
                <w:szCs w:val="24"/>
              </w:rPr>
              <w:t>projektów dotyczących inwestycji w źródła ciepła</w:t>
            </w:r>
            <w:r w:rsidR="004061E7">
              <w:rPr>
                <w:rFonts w:ascii="Arial" w:hAnsi="Arial" w:cs="Arial"/>
                <w:sz w:val="24"/>
                <w:szCs w:val="24"/>
              </w:rPr>
              <w:t>,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394248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>na obszarze, na którym realizowany jest projekt nie jest planowane podłączenie do sieci ciepłowniczej lub</w:t>
            </w:r>
          </w:p>
          <w:p w14:paraId="7AF73D55" w14:textId="77777777" w:rsidR="00A92248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394248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istnieje możliwość przyłączenia i dostarczenia ciepła z sieci ciepłowniczej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394248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87FC0D" w14:textId="77777777" w:rsidR="00F613DF" w:rsidRDefault="00F613DF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3C5476" w14:textId="7EB58A4F" w:rsidR="00A84143" w:rsidRPr="00394248" w:rsidRDefault="001C6C1B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powyższym zakresie w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nioskodawca składa zaświadczeni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/oświadczeni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odpowiedniego organu odpowiedzialnego na danym obszarze za zaopatrzenie w ciepło</w:t>
            </w:r>
            <w:r w:rsidR="0061299A">
              <w:rPr>
                <w:rFonts w:ascii="Arial" w:hAnsi="Arial" w:cs="Arial"/>
                <w:sz w:val="24"/>
                <w:szCs w:val="24"/>
              </w:rPr>
              <w:t>,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sieci.</w:t>
            </w:r>
          </w:p>
          <w:p w14:paraId="30D7AA69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9D46FA6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45CC1250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BAA13E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E76D31" w14:textId="77777777" w:rsidR="005E04C4" w:rsidRPr="00194A16" w:rsidRDefault="005E04C4" w:rsidP="005E04C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954BA62" w14:textId="5E55ACE3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1ED80CA" w14:textId="7098697F" w:rsidR="00A84143" w:rsidRPr="00394248" w:rsidRDefault="005E04C4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E3AD8" w:rsidRPr="002B1E8A" w14:paraId="173216D5" w14:textId="77777777" w:rsidTr="399D1660">
        <w:tc>
          <w:tcPr>
            <w:tcW w:w="1110" w:type="dxa"/>
            <w:vAlign w:val="center"/>
          </w:tcPr>
          <w:p w14:paraId="30B5A44C" w14:textId="57672B7E" w:rsidR="00DE3AD8" w:rsidRPr="002B1E8A" w:rsidRDefault="004061E7" w:rsidP="00DE3A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94AA471" w14:textId="626F51AA" w:rsidR="00DE3AD8" w:rsidRPr="002B1E8A" w:rsidRDefault="000433B9" w:rsidP="00DE3A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" w:name="_Hlk143685498"/>
            <w:r w:rsidRPr="000433B9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  <w:bookmarkEnd w:id="9"/>
          </w:p>
        </w:tc>
        <w:tc>
          <w:tcPr>
            <w:tcW w:w="7199" w:type="dxa"/>
            <w:gridSpan w:val="2"/>
          </w:tcPr>
          <w:p w14:paraId="663C2BFD" w14:textId="77777777" w:rsidR="000433B9" w:rsidRPr="000433B9" w:rsidRDefault="000433B9" w:rsidP="000433B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 pyłu zawieszonego PM 10 i PM 2,5 w odniesieniu do istniejących instalacji objętych projektem.</w:t>
            </w:r>
          </w:p>
          <w:p w14:paraId="2D7071D0" w14:textId="77777777" w:rsidR="000433B9" w:rsidRPr="000433B9" w:rsidRDefault="000433B9" w:rsidP="000433B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23349" w14:textId="15B87243" w:rsidR="00696ED9" w:rsidRPr="00954093" w:rsidRDefault="00021FEC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54093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wymiany źródła ciepła.</w:t>
            </w:r>
          </w:p>
          <w:p w14:paraId="7588EBFB" w14:textId="77777777" w:rsidR="00696ED9" w:rsidRDefault="00696ED9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AC567E" w14:textId="2BAD6D4B" w:rsidR="00DE3AD8" w:rsidRPr="002B1E8A" w:rsidRDefault="000433B9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88FB1A2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B9E7C01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D68A992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07F86C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F1B230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D21AB5" w14:textId="17D657E9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206C65B7" w14:textId="02C416F1" w:rsidR="00DE3AD8" w:rsidRPr="002B1E8A" w:rsidRDefault="005E04C4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F6406" w:rsidRPr="002B1E8A" w14:paraId="58E3D28D" w14:textId="77777777" w:rsidTr="399D1660">
        <w:tc>
          <w:tcPr>
            <w:tcW w:w="1110" w:type="dxa"/>
            <w:vAlign w:val="center"/>
          </w:tcPr>
          <w:p w14:paraId="3EBD7AA6" w14:textId="0A52948A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6170CF9" w14:textId="09FA2A51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790F2F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  <w:gridSpan w:val="2"/>
          </w:tcPr>
          <w:p w14:paraId="1E65E409" w14:textId="77777777" w:rsidR="006F6406" w:rsidRPr="00790F2F" w:rsidRDefault="006F6406" w:rsidP="006F64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5E9F773" w14:textId="77777777" w:rsidR="006F6406" w:rsidRPr="00790F2F" w:rsidRDefault="006F6406" w:rsidP="006F6406">
            <w:pPr>
              <w:numPr>
                <w:ilvl w:val="0"/>
                <w:numId w:val="3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3BC6D560" w14:textId="77777777" w:rsidR="006F6406" w:rsidRPr="00790F2F" w:rsidRDefault="006F6406" w:rsidP="006F6406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55F496E5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234DB2EC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D5D881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4DFC5BA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7B12399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1AF72D0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2D43AF4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957B1" w14:textId="62E66E9E" w:rsidR="006F6406" w:rsidRPr="002B1E8A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261" w:type="dxa"/>
          </w:tcPr>
          <w:p w14:paraId="131D5E12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68AEA723" w14:textId="77777777" w:rsidR="005E04C4" w:rsidRDefault="005E04C4" w:rsidP="00E96E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6032A2" w14:textId="77777777" w:rsidR="00E96E16" w:rsidRPr="00194A16" w:rsidRDefault="00E96E16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5D0E45" w14:textId="0DF9E77A" w:rsidR="002E76D7" w:rsidRDefault="005E04C4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818FCE" w14:textId="77777777" w:rsidR="002E76D7" w:rsidRPr="00194A16" w:rsidRDefault="002E76D7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CD2C6F" w14:textId="14F73826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85F3B9" w14:textId="0D49EDFF" w:rsidR="006F6406" w:rsidRPr="002B1E8A" w:rsidRDefault="005E04C4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B2711" w:rsidRPr="002B1E8A" w14:paraId="1108E5BF" w14:textId="77777777" w:rsidTr="399D1660">
        <w:tc>
          <w:tcPr>
            <w:tcW w:w="1110" w:type="dxa"/>
            <w:vAlign w:val="center"/>
          </w:tcPr>
          <w:p w14:paraId="47A5EC1C" w14:textId="69A4D941" w:rsidR="005B2711" w:rsidRDefault="005B2711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435FBA00" w14:textId="37469B42" w:rsidR="005B2711" w:rsidRPr="00790F2F" w:rsidRDefault="00327557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Gazowe źródło ciepła</w:t>
            </w:r>
          </w:p>
        </w:tc>
        <w:tc>
          <w:tcPr>
            <w:tcW w:w="7199" w:type="dxa"/>
            <w:gridSpan w:val="2"/>
          </w:tcPr>
          <w:p w14:paraId="2BAC71B1" w14:textId="7164DA30" w:rsidR="00327557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sprawdzamy, czy w przypadku projektu obejmującego modernizację lub wymianę źródła ciepła</w:t>
            </w:r>
            <w:r w:rsidR="00327557">
              <w:rPr>
                <w:rFonts w:ascii="Arial" w:hAnsi="Arial" w:cs="Arial"/>
                <w:sz w:val="24"/>
                <w:szCs w:val="24"/>
              </w:rPr>
              <w:t xml:space="preserve"> na gazowe:</w:t>
            </w:r>
          </w:p>
          <w:p w14:paraId="0EADEE7C" w14:textId="61FF16F9" w:rsidR="00327557" w:rsidRPr="00227332" w:rsidRDefault="00327557" w:rsidP="00227332">
            <w:pPr>
              <w:pStyle w:val="Akapitzlist"/>
              <w:numPr>
                <w:ilvl w:val="0"/>
                <w:numId w:val="34"/>
              </w:numPr>
              <w:spacing w:before="60" w:after="120" w:line="240" w:lineRule="auto"/>
              <w:ind w:left="45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brak </w:t>
            </w:r>
            <w:r w:rsidR="000D3151"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możliwości wykorzystania ciepła systemowego - spełnione zostały warunki określone w kryterium C.</w:t>
            </w:r>
            <w:r w:rsidR="00423A1D">
              <w:rPr>
                <w:rFonts w:ascii="Arial" w:hAnsi="Arial" w:cs="Arial"/>
                <w:sz w:val="24"/>
                <w:szCs w:val="24"/>
                <w:lang w:val="pl-PL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03107655" w14:textId="1CF90A3B" w:rsidR="005B2711" w:rsidRPr="00D917D8" w:rsidRDefault="005B2711" w:rsidP="00227332">
            <w:pPr>
              <w:pStyle w:val="Akapitzlist"/>
              <w:numPr>
                <w:ilvl w:val="0"/>
                <w:numId w:val="34"/>
              </w:numPr>
              <w:spacing w:before="60" w:after="0" w:line="240" w:lineRule="auto"/>
              <w:ind w:left="457"/>
              <w:rPr>
                <w:rFonts w:ascii="Arial" w:hAnsi="Arial" w:cs="Arial"/>
                <w:sz w:val="24"/>
                <w:szCs w:val="24"/>
              </w:rPr>
            </w:pPr>
            <w:r w:rsidRPr="00227332">
              <w:rPr>
                <w:rFonts w:ascii="Arial" w:hAnsi="Arial" w:cs="Arial"/>
                <w:sz w:val="24"/>
                <w:szCs w:val="24"/>
              </w:rPr>
              <w:t xml:space="preserve">brak </w:t>
            </w:r>
            <w:r w:rsidR="000D3151"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 w:rsidRPr="00227332">
              <w:rPr>
                <w:rFonts w:ascii="Arial" w:hAnsi="Arial" w:cs="Arial"/>
                <w:sz w:val="24"/>
                <w:szCs w:val="24"/>
              </w:rPr>
              <w:t xml:space="preserve">technicznych i ekonomicznych </w:t>
            </w:r>
            <w:r w:rsidR="00227332"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 </w:t>
            </w:r>
            <w:r w:rsidR="00227332">
              <w:rPr>
                <w:rFonts w:ascii="Arial" w:hAnsi="Arial" w:cs="Arial"/>
                <w:sz w:val="24"/>
                <w:szCs w:val="24"/>
              </w:rPr>
              <w:t>wymiany</w:t>
            </w:r>
            <w:r w:rsidR="00227332">
              <w:rPr>
                <w:rFonts w:ascii="Arial" w:hAnsi="Arial" w:cs="Arial"/>
                <w:sz w:val="24"/>
                <w:szCs w:val="24"/>
                <w:lang w:val="pl-PL"/>
              </w:rPr>
              <w:t xml:space="preserve"> źródła ciepła</w:t>
            </w:r>
            <w:r w:rsidRPr="009540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FB0">
              <w:rPr>
                <w:rFonts w:ascii="Arial" w:hAnsi="Arial" w:cs="Arial"/>
                <w:sz w:val="24"/>
                <w:szCs w:val="24"/>
                <w:lang w:val="pl-PL"/>
              </w:rPr>
              <w:t xml:space="preserve">na </w:t>
            </w:r>
            <w:r w:rsidRPr="00D917D8">
              <w:rPr>
                <w:rFonts w:ascii="Arial" w:hAnsi="Arial" w:cs="Arial"/>
                <w:sz w:val="24"/>
                <w:szCs w:val="24"/>
              </w:rPr>
              <w:t>OZE</w:t>
            </w:r>
            <w:r w:rsidR="00F40FB0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F40FB0" w:rsidRPr="00394248">
              <w:rPr>
                <w:rFonts w:ascii="Arial" w:hAnsi="Arial" w:cs="Arial"/>
                <w:sz w:val="24"/>
                <w:szCs w:val="24"/>
              </w:rPr>
              <w:t>(Wnioskodawca zobowiązany jest to uzasadnić)</w:t>
            </w:r>
            <w:r w:rsidRPr="00D917D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985C85" w14:textId="77777777" w:rsidR="005B2711" w:rsidRPr="005B2711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22124A" w14:textId="77777777" w:rsidR="005B2711" w:rsidRPr="00227332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27332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gazowe źródła ciepła.</w:t>
            </w:r>
          </w:p>
          <w:p w14:paraId="172485AA" w14:textId="77777777" w:rsidR="005B2711" w:rsidRPr="005B2711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6F64F2" w14:textId="6F2889FF" w:rsidR="005B2711" w:rsidRPr="00790F2F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00B6FD2" w14:textId="77777777" w:rsidR="005E04C4" w:rsidRPr="00194A16" w:rsidRDefault="005E04C4" w:rsidP="005E04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1CDAA00" w14:textId="77777777" w:rsidR="005E04C4" w:rsidRDefault="005E04C4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9FB21C" w14:textId="77777777" w:rsidR="002E76D7" w:rsidRPr="00194A16" w:rsidRDefault="002E76D7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FF8C41" w14:textId="77777777" w:rsidR="005E04C4" w:rsidRDefault="005E04C4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B0EF0A" w14:textId="77777777" w:rsidR="002E76D7" w:rsidRPr="00194A16" w:rsidRDefault="002E76D7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B473AE" w14:textId="6B31CD9D" w:rsidR="005E04C4" w:rsidRPr="00194A16" w:rsidRDefault="005E04C4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E8074AD" w14:textId="1FAEC641" w:rsidR="005B2711" w:rsidRPr="00790F2F" w:rsidRDefault="005E04C4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D106D" w:rsidRPr="002B1E8A" w14:paraId="6FB9FC92" w14:textId="77777777" w:rsidTr="00D601D8">
        <w:trPr>
          <w:trHeight w:val="689"/>
        </w:trPr>
        <w:tc>
          <w:tcPr>
            <w:tcW w:w="1110" w:type="dxa"/>
            <w:vMerge w:val="restart"/>
            <w:vAlign w:val="center"/>
          </w:tcPr>
          <w:p w14:paraId="5350B761" w14:textId="03E2D04D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C.8</w:t>
            </w:r>
          </w:p>
        </w:tc>
        <w:tc>
          <w:tcPr>
            <w:tcW w:w="2856" w:type="dxa"/>
            <w:vMerge w:val="restart"/>
            <w:vAlign w:val="center"/>
          </w:tcPr>
          <w:p w14:paraId="5A97EDD0" w14:textId="62B1E995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199" w:type="dxa"/>
            <w:gridSpan w:val="2"/>
          </w:tcPr>
          <w:p w14:paraId="118B1BC8" w14:textId="7669EF17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B4614E">
              <w:rPr>
                <w:rFonts w:ascii="Arial" w:hAnsi="Arial" w:cs="Arial"/>
                <w:sz w:val="24"/>
                <w:szCs w:val="24"/>
              </w:rPr>
              <w:t>:</w:t>
            </w:r>
            <w:r w:rsidRPr="005B27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</w:tcPr>
          <w:p w14:paraId="14EC37A6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51FA33C" w14:textId="77777777" w:rsidR="006D106D" w:rsidRDefault="006D106D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9A80881" w14:textId="77777777" w:rsidR="006D106D" w:rsidRPr="00194A16" w:rsidRDefault="006D106D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C61D05" w14:textId="77777777" w:rsidR="006D106D" w:rsidRDefault="006D106D" w:rsidP="002E76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480BDD" w14:textId="77777777" w:rsidR="006D106D" w:rsidRPr="00194A16" w:rsidRDefault="006D106D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543C0E" w14:textId="70A9E8A2" w:rsidR="006D106D" w:rsidRPr="00194A16" w:rsidRDefault="006D106D" w:rsidP="007136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B58B9E" w14:textId="6A90CCDC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D106D" w:rsidRPr="002B1E8A" w14:paraId="12AC5242" w14:textId="77777777" w:rsidTr="00F37C5F">
        <w:trPr>
          <w:trHeight w:val="664"/>
        </w:trPr>
        <w:tc>
          <w:tcPr>
            <w:tcW w:w="1110" w:type="dxa"/>
            <w:vMerge/>
            <w:vAlign w:val="center"/>
          </w:tcPr>
          <w:p w14:paraId="48B6DE86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2A8385C2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</w:tcPr>
          <w:p w14:paraId="6E85BE5D" w14:textId="6EC7ED84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1:</w:t>
            </w:r>
          </w:p>
        </w:tc>
        <w:tc>
          <w:tcPr>
            <w:tcW w:w="3600" w:type="dxa"/>
          </w:tcPr>
          <w:p w14:paraId="12AF3D78" w14:textId="717EA309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Schemat 2:</w:t>
            </w:r>
          </w:p>
        </w:tc>
        <w:tc>
          <w:tcPr>
            <w:tcW w:w="3261" w:type="dxa"/>
            <w:vMerge/>
          </w:tcPr>
          <w:p w14:paraId="67D5DDD6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06D" w:rsidRPr="002B1E8A" w14:paraId="0712DE3E" w14:textId="77777777" w:rsidTr="00806388">
        <w:trPr>
          <w:trHeight w:val="1110"/>
        </w:trPr>
        <w:tc>
          <w:tcPr>
            <w:tcW w:w="1110" w:type="dxa"/>
            <w:vMerge/>
            <w:vAlign w:val="center"/>
          </w:tcPr>
          <w:p w14:paraId="44883751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38BEF5CB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9" w:type="dxa"/>
          </w:tcPr>
          <w:p w14:paraId="7E03322B" w14:textId="086F3589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  <w:tc>
          <w:tcPr>
            <w:tcW w:w="3600" w:type="dxa"/>
          </w:tcPr>
          <w:p w14:paraId="10E83EA5" w14:textId="04700E7A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0" w:name="_Hlk161216161"/>
            <w:r w:rsidRPr="005B2711">
              <w:rPr>
                <w:rFonts w:ascii="Arial" w:hAnsi="Arial" w:cs="Arial"/>
                <w:sz w:val="24"/>
                <w:szCs w:val="24"/>
              </w:rPr>
              <w:t>czy</w:t>
            </w:r>
            <w:r>
              <w:rPr>
                <w:rFonts w:ascii="Arial" w:hAnsi="Arial" w:cs="Arial"/>
                <w:sz w:val="24"/>
                <w:szCs w:val="24"/>
              </w:rPr>
              <w:t xml:space="preserve"> wnioskowana wartość dofinansowania nie przekracza 2 mln zł.</w:t>
            </w:r>
            <w:bookmarkEnd w:id="10"/>
          </w:p>
        </w:tc>
        <w:tc>
          <w:tcPr>
            <w:tcW w:w="3261" w:type="dxa"/>
            <w:vMerge/>
          </w:tcPr>
          <w:p w14:paraId="38B807E0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06D" w:rsidRPr="002B1E8A" w14:paraId="2523A64F" w14:textId="77777777" w:rsidTr="399D1660">
        <w:trPr>
          <w:trHeight w:val="1102"/>
        </w:trPr>
        <w:tc>
          <w:tcPr>
            <w:tcW w:w="1110" w:type="dxa"/>
            <w:vMerge/>
            <w:vAlign w:val="center"/>
          </w:tcPr>
          <w:p w14:paraId="5E2BC82A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vAlign w:val="center"/>
          </w:tcPr>
          <w:p w14:paraId="50AACD8C" w14:textId="77777777" w:rsidR="006D106D" w:rsidRDefault="006D106D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  <w:gridSpan w:val="2"/>
          </w:tcPr>
          <w:p w14:paraId="439C48FA" w14:textId="6CBDCEC4" w:rsidR="006D106D" w:rsidRPr="005B2711" w:rsidRDefault="006D106D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  <w:vMerge/>
          </w:tcPr>
          <w:p w14:paraId="5DA885D8" w14:textId="77777777" w:rsidR="006D106D" w:rsidRPr="00194A16" w:rsidRDefault="006D106D" w:rsidP="00CB24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81DC21" w14:textId="77777777" w:rsidR="002E76D7" w:rsidRDefault="002E76D7" w:rsidP="009F4A95">
      <w:pPr>
        <w:rPr>
          <w:rFonts w:ascii="Arial" w:hAnsi="Arial" w:cs="Arial"/>
          <w:sz w:val="24"/>
          <w:szCs w:val="24"/>
        </w:rPr>
      </w:pPr>
    </w:p>
    <w:p w14:paraId="4AED7BFF" w14:textId="6E5CF0EB" w:rsidR="007828C1" w:rsidRPr="007828C1" w:rsidRDefault="007828C1" w:rsidP="007828C1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828C1">
        <w:rPr>
          <w:rFonts w:ascii="Arial" w:hAnsi="Arial" w:cs="Arial"/>
          <w:bCs w:val="0"/>
          <w:sz w:val="24"/>
          <w:szCs w:val="24"/>
        </w:rPr>
        <w:t>D. KRYTERIA MERYTORYCZNE PUNKTOWE, W TYM ROZ</w:t>
      </w:r>
      <w:r w:rsidR="00305353">
        <w:rPr>
          <w:rFonts w:ascii="Arial" w:hAnsi="Arial" w:cs="Arial"/>
          <w:bCs w:val="0"/>
          <w:sz w:val="24"/>
          <w:szCs w:val="24"/>
        </w:rPr>
        <w:t>S</w:t>
      </w:r>
      <w:r w:rsidRPr="007828C1">
        <w:rPr>
          <w:rFonts w:ascii="Arial" w:hAnsi="Arial" w:cs="Arial"/>
          <w:bCs w:val="0"/>
          <w:sz w:val="24"/>
          <w:szCs w:val="24"/>
        </w:rPr>
        <w:t xml:space="preserve">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7828C1" w:rsidRPr="001F56F8" w14:paraId="4DF4F7F5" w14:textId="77777777" w:rsidTr="00941549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BAD462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7278EA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955D29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23B18E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F7AC0" w14:textId="77777777" w:rsidR="007828C1" w:rsidRPr="001F56F8" w:rsidRDefault="007828C1" w:rsidP="009415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6637C9" w:rsidRPr="001F56F8" w14:paraId="3BAE76CE" w14:textId="77777777" w:rsidTr="00586A8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1DCF" w14:textId="2EE37A96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>D.</w:t>
            </w:r>
            <w:r w:rsidR="0068278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4CB1" w14:textId="283EA3C0" w:rsidR="006637C9" w:rsidRPr="0031364C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Stopień w jakim projekt przyczyni się do zwiększenia efektywności energetycznej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B4BA" w14:textId="01E2DC02" w:rsidR="006637C9" w:rsidRPr="006637C9" w:rsidRDefault="008E2138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oceniamy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, czy projekt przyczynia się do zwiększenia efektywności energetycznej rozumianej jako redukcja zużycia energii [%]. Punktacja jest przydzielana w następujący sposób:</w:t>
            </w:r>
          </w:p>
          <w:p w14:paraId="164DEAFC" w14:textId="6C77E682" w:rsidR="006637C9" w:rsidRPr="0062630D" w:rsidRDefault="006637C9" w:rsidP="0062630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30D">
              <w:rPr>
                <w:rFonts w:ascii="Arial" w:hAnsi="Arial" w:cs="Arial"/>
                <w:sz w:val="24"/>
                <w:szCs w:val="24"/>
              </w:rPr>
              <w:t xml:space="preserve">od 25% do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35</w:t>
            </w:r>
            <w:r w:rsidRPr="0062630D">
              <w:rPr>
                <w:rFonts w:ascii="Arial" w:hAnsi="Arial" w:cs="Arial"/>
                <w:sz w:val="24"/>
                <w:szCs w:val="24"/>
              </w:rPr>
              <w:t>% -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62630D">
              <w:rPr>
                <w:rFonts w:ascii="Arial" w:hAnsi="Arial" w:cs="Arial"/>
                <w:sz w:val="24"/>
                <w:szCs w:val="24"/>
              </w:rPr>
              <w:t>2 pkt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63C8DDA" w14:textId="654A7684" w:rsidR="006637C9" w:rsidRPr="0062630D" w:rsidRDefault="006637C9" w:rsidP="008E2138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30D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35</w:t>
            </w:r>
            <w:r w:rsidRPr="0062630D">
              <w:rPr>
                <w:rFonts w:ascii="Arial" w:hAnsi="Arial" w:cs="Arial"/>
                <w:sz w:val="24"/>
                <w:szCs w:val="24"/>
              </w:rPr>
              <w:t xml:space="preserve">% do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45</w:t>
            </w:r>
            <w:r w:rsidRPr="0062630D">
              <w:rPr>
                <w:rFonts w:ascii="Arial" w:hAnsi="Arial" w:cs="Arial"/>
                <w:sz w:val="24"/>
                <w:szCs w:val="24"/>
              </w:rPr>
              <w:t>% -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2630D">
              <w:rPr>
                <w:rFonts w:ascii="Arial" w:hAnsi="Arial" w:cs="Arial"/>
                <w:sz w:val="24"/>
                <w:szCs w:val="24"/>
              </w:rPr>
              <w:t>5</w:t>
            </w:r>
            <w:r w:rsidRPr="0062630D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CA7793E" w14:textId="265064AB" w:rsidR="008E2138" w:rsidRPr="0062630D" w:rsidRDefault="008E2138" w:rsidP="0062630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ED5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1C7ED5">
              <w:rPr>
                <w:rFonts w:ascii="Arial" w:hAnsi="Arial" w:cs="Arial"/>
                <w:sz w:val="24"/>
                <w:szCs w:val="24"/>
              </w:rPr>
              <w:t xml:space="preserve">% do </w:t>
            </w:r>
            <w:r w:rsidR="0062630D">
              <w:rPr>
                <w:rFonts w:ascii="Arial" w:hAnsi="Arial" w:cs="Arial"/>
                <w:sz w:val="24"/>
                <w:szCs w:val="24"/>
              </w:rPr>
              <w:t>60</w:t>
            </w:r>
            <w:r w:rsidRPr="001C7ED5">
              <w:rPr>
                <w:rFonts w:ascii="Arial" w:hAnsi="Arial" w:cs="Arial"/>
                <w:sz w:val="24"/>
                <w:szCs w:val="24"/>
              </w:rPr>
              <w:t>% -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2630D">
              <w:rPr>
                <w:rFonts w:ascii="Arial" w:hAnsi="Arial" w:cs="Arial"/>
                <w:sz w:val="24"/>
                <w:szCs w:val="24"/>
              </w:rPr>
              <w:t>8</w:t>
            </w:r>
            <w:r w:rsidRPr="001C7ED5">
              <w:rPr>
                <w:rFonts w:ascii="Arial" w:hAnsi="Arial" w:cs="Arial"/>
                <w:sz w:val="24"/>
                <w:szCs w:val="24"/>
              </w:rPr>
              <w:t xml:space="preserve"> pkt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C1AC8E7" w14:textId="34100EC6" w:rsidR="006637C9" w:rsidRPr="0062630D" w:rsidRDefault="006637C9" w:rsidP="0062630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30D">
              <w:rPr>
                <w:rFonts w:ascii="Arial" w:hAnsi="Arial" w:cs="Arial"/>
                <w:sz w:val="24"/>
                <w:szCs w:val="24"/>
              </w:rPr>
              <w:t>powyżej 60%</w:t>
            </w:r>
            <w:r w:rsidR="0062630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-</w:t>
            </w:r>
            <w:r w:rsidRPr="0062630D">
              <w:rPr>
                <w:rFonts w:ascii="Arial" w:hAnsi="Arial" w:cs="Arial"/>
                <w:sz w:val="24"/>
                <w:szCs w:val="24"/>
              </w:rPr>
              <w:t xml:space="preserve"> 10 pkt</w:t>
            </w:r>
            <w:r w:rsidR="008E213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0B96117" w14:textId="77777777" w:rsidR="006637C9" w:rsidRPr="006637C9" w:rsidRDefault="006637C9" w:rsidP="00663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CE672E" w14:textId="77777777" w:rsidR="006637C9" w:rsidRPr="00682782" w:rsidRDefault="006637C9" w:rsidP="006637C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W przypadku projektu obejmującego kilka budynków należy dokonać obliczeń wskaźnika dla każdego budynku, gdyż każdy z nich musi spełniać warunek zwiększenia efektywności energetycznej o przynajmniej 25%. Następnie należy przyrównać wartość obliczonego wskaźnika do odpowiedniego przedziału i na tym etapie obliczyć średnią arytmetyczną z uzyskanych punktów </w:t>
            </w:r>
            <w:r w:rsidRPr="00682782">
              <w:rPr>
                <w:rFonts w:ascii="Arial" w:hAnsi="Arial" w:cs="Arial"/>
                <w:sz w:val="24"/>
                <w:szCs w:val="24"/>
              </w:rPr>
              <w:t>przez każdy z budynków objętych projektem.</w:t>
            </w:r>
          </w:p>
          <w:p w14:paraId="33590F8D" w14:textId="36815A51" w:rsidR="006637C9" w:rsidRPr="00682782" w:rsidRDefault="006637C9" w:rsidP="00663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na podstawie audytu energetycznego sporządzonego dla projektu, zawierającego analizę efektu ekologicznego oraz wyliczenia redukcji wartości stężeń pyłu zawieszonego PM 10</w:t>
            </w:r>
            <w:r w:rsidR="003467E8" w:rsidRPr="00682782"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6827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37B359" w14:textId="77777777" w:rsidR="008E2138" w:rsidRDefault="008E2138" w:rsidP="006637C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1C3332F" w14:textId="6477ABDF" w:rsidR="008E2138" w:rsidRPr="001F56F8" w:rsidRDefault="008E2138" w:rsidP="006637C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1BCA" w14:textId="1F492252" w:rsidR="006637C9" w:rsidRPr="006637C9" w:rsidRDefault="006637C9" w:rsidP="00886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2-10 pkt </w:t>
            </w:r>
          </w:p>
          <w:p w14:paraId="186FA785" w14:textId="77777777" w:rsid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321A29F2" w14:textId="77777777" w:rsidR="00CB275D" w:rsidRDefault="00CB275D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9A58D8" w14:textId="7B5A7A48" w:rsidR="00282F51" w:rsidRPr="001F56F8" w:rsidRDefault="00CB275D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282F51">
              <w:rPr>
                <w:rFonts w:ascii="Arial" w:hAnsi="Arial" w:cs="Arial"/>
                <w:sz w:val="24"/>
                <w:szCs w:val="24"/>
              </w:rPr>
              <w:t>ryterium 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564B" w14:textId="0412E812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637C9" w:rsidRPr="001F56F8" w14:paraId="1E467164" w14:textId="77777777" w:rsidTr="00586A8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E2C9" w14:textId="6249BC2D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68278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1688" w14:textId="0F78C918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Stopień redukcji gazów cieplarnianych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674D" w14:textId="727B6D81" w:rsidR="006637C9" w:rsidRPr="006637C9" w:rsidRDefault="00682782" w:rsidP="007136B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oceniamy 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w jakim stopniu projekt przyczynia się do redukcji gazów cieplarnianych, w szczególności CO2 w odniesieniu do wielkości zaangażowanych środków w realizację projektu. W ramach oceny kryterium należy obliczyć wartość wskaźnika w następujący sposób: redukcja CO2 (t/rok)/wartość całkowitą projektu.</w:t>
            </w:r>
          </w:p>
          <w:p w14:paraId="71AA24AB" w14:textId="0DC0A095" w:rsidR="003467E8" w:rsidRDefault="006637C9" w:rsidP="003467E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Redukcję CO2 w projekcie określa</w:t>
            </w:r>
            <w:r w:rsidR="003467E8">
              <w:rPr>
                <w:rFonts w:ascii="Arial" w:hAnsi="Arial" w:cs="Arial"/>
                <w:sz w:val="24"/>
                <w:szCs w:val="24"/>
              </w:rPr>
              <w:t>ją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wskaźnik</w:t>
            </w:r>
            <w:r w:rsidR="003467E8">
              <w:rPr>
                <w:rFonts w:ascii="Arial" w:hAnsi="Arial" w:cs="Arial"/>
                <w:sz w:val="24"/>
                <w:szCs w:val="24"/>
              </w:rPr>
              <w:t>i:</w:t>
            </w:r>
          </w:p>
          <w:p w14:paraId="45C32BE7" w14:textId="274D99CD" w:rsidR="003467E8" w:rsidRPr="003467E8" w:rsidRDefault="003467E8" w:rsidP="003467E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WLWK-RCR029 - Szacowana emisja gazów cieplarnianych,</w:t>
            </w:r>
          </w:p>
          <w:p w14:paraId="27D2B6B0" w14:textId="4F146B0A" w:rsidR="006637C9" w:rsidRPr="003467E8" w:rsidRDefault="003467E8" w:rsidP="003467E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WLWK-RCR105 - Szacowana emisja gazów cieplarnianych z kotłów i systemów ciepłowniczych przekształconych z zasilania stałymi paliwami kopalnymi na zasilanie gazem.</w:t>
            </w:r>
          </w:p>
          <w:p w14:paraId="59B73CE0" w14:textId="48E04C6E" w:rsidR="006637C9" w:rsidRPr="00682782" w:rsidRDefault="006637C9" w:rsidP="006637C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badane w oparciu o wniosek o dofinansowanie projektu oraz audyt energetyczny sporządzony dla projektu, zawierający analizę efektu ekologicznego oraz wyliczenia redukcji wartości stężeń pyłu zawieszonego PM 10</w:t>
            </w:r>
            <w:r w:rsidR="003467E8" w:rsidRPr="00682782"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6827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3C6651" w14:textId="77777777" w:rsidR="000A14D9" w:rsidRDefault="000A14D9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A74D64" w14:textId="17E75BD5" w:rsidR="006637C9" w:rsidRPr="00682782" w:rsidRDefault="006637C9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jest w całej populacji wniosków.</w:t>
            </w:r>
          </w:p>
          <w:p w14:paraId="3E83C833" w14:textId="77777777" w:rsidR="006637C9" w:rsidRDefault="006637C9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576204" w14:textId="4F7F82FF" w:rsidR="00914A07" w:rsidRDefault="00914A07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3F6C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24C3FC" w14:textId="77777777" w:rsidR="00914A07" w:rsidRDefault="00914A07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4A94FF" w14:textId="12582233" w:rsidR="00682782" w:rsidRDefault="00682782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14D42D42" w14:textId="69D1526A" w:rsidR="00B63F6C" w:rsidRPr="006637C9" w:rsidRDefault="00B63F6C" w:rsidP="00663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03B1" w14:textId="77777777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 kryterium można uzyskać maksymalnie 10 punktów. Punkty liczone będą w następujący sposób:</w:t>
            </w:r>
          </w:p>
          <w:p w14:paraId="2AD90C41" w14:textId="396888D3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(Wart.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 xml:space="preserve">.)/(max. 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>.)*10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D3D5" w14:textId="591214CA" w:rsidR="006637C9" w:rsidRPr="006637C9" w:rsidRDefault="00AC6E61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1B7329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6637C9" w:rsidRPr="001F56F8" w14:paraId="61D8AC6C" w14:textId="77777777" w:rsidTr="00586A8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397C" w14:textId="2FD839F3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68278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E8FF" w14:textId="505BA3F1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Lokalizacja projektu na obszarze chronionym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464A" w14:textId="175E737A" w:rsidR="006637C9" w:rsidRPr="006637C9" w:rsidRDefault="00682782" w:rsidP="006637C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oceniamy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 xml:space="preserve">, czy projekt jest realizowany na obszarze chronionym w rozumieniu art. 6 ustawy o ochronie przyrody z dnia 16 kwietnia 2004 r. (Dz. U. z 2022 r. poz. 916 z </w:t>
            </w:r>
            <w:proofErr w:type="spellStart"/>
            <w:r w:rsidR="006637C9" w:rsidRPr="006637C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6637C9" w:rsidRPr="006637C9">
              <w:rPr>
                <w:rFonts w:ascii="Arial" w:hAnsi="Arial" w:cs="Arial"/>
                <w:sz w:val="24"/>
                <w:szCs w:val="24"/>
              </w:rPr>
              <w:t>. zm.). Przy czym projekt powinien być traktowany jako zlokalizowany na obszarze chronionym, gdy większość budynków jest zlokalizowana na tym obszarze.</w:t>
            </w:r>
          </w:p>
          <w:p w14:paraId="673A04C9" w14:textId="77777777" w:rsidR="00682782" w:rsidRDefault="00682782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51F114" w14:textId="1A133409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3F6C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025F69" w14:textId="77777777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A0BDD14" w14:textId="77777777" w:rsidR="00682782" w:rsidRDefault="00682782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E1932CA" w14:textId="6DBFFE88" w:rsidR="00B63F6C" w:rsidRPr="00B63F6C" w:rsidRDefault="00B63F6C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C90C" w14:textId="77777777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07BE4A0D" w14:textId="74B190CC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400D03">
              <w:rPr>
                <w:rFonts w:ascii="Arial" w:hAnsi="Arial" w:cs="Arial"/>
                <w:sz w:val="24"/>
                <w:szCs w:val="24"/>
              </w:rPr>
              <w:t>2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pkt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7FF5" w14:textId="25B4744F" w:rsidR="006637C9" w:rsidRPr="006637C9" w:rsidRDefault="00AC6E61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1B7329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6637C9" w:rsidRPr="001F56F8" w14:paraId="41ECB503" w14:textId="77777777" w:rsidTr="009906B8">
        <w:trPr>
          <w:trHeight w:val="122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12E3" w14:textId="5D20341C" w:rsidR="006637C9" w:rsidRPr="001F56F8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9906B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319C" w14:textId="30E90384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Dodatkowe prace wynikające z audytu podnoszące standard techniczny budynku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A71B" w14:textId="2695C005" w:rsidR="006637C9" w:rsidRPr="006637C9" w:rsidRDefault="009906B8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</w:t>
            </w:r>
            <w:r w:rsidR="008E018F">
              <w:rPr>
                <w:rFonts w:ascii="Arial" w:hAnsi="Arial" w:cs="Arial"/>
                <w:sz w:val="24"/>
                <w:szCs w:val="24"/>
              </w:rPr>
              <w:t xml:space="preserve"> oceniamy</w:t>
            </w:r>
            <w:r w:rsidR="006637C9" w:rsidRPr="006637C9">
              <w:rPr>
                <w:rFonts w:ascii="Arial" w:hAnsi="Arial" w:cs="Arial"/>
                <w:sz w:val="24"/>
                <w:szCs w:val="24"/>
              </w:rPr>
              <w:t>, czy projekt przewiduje zastosowanie systemów zarządzania energią w budynku.</w:t>
            </w:r>
          </w:p>
          <w:p w14:paraId="766FB3F0" w14:textId="77777777" w:rsidR="006637C9" w:rsidRPr="006637C9" w:rsidRDefault="006637C9" w:rsidP="006637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62B1DF" w14:textId="0C0B3AEA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3F6C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6F332D" w14:textId="77777777" w:rsidR="00914A07" w:rsidRDefault="00914A07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1FE97" w14:textId="2F4E8C75" w:rsidR="006637C9" w:rsidRDefault="009906B8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0B85E86B" w14:textId="25DFD656" w:rsidR="00B63F6C" w:rsidRPr="00B63F6C" w:rsidRDefault="00B63F6C" w:rsidP="006637C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01FF" w14:textId="77777777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2B3213EF" w14:textId="53277950" w:rsidR="006637C9" w:rsidRPr="006637C9" w:rsidRDefault="006637C9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Tak – 4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811B" w14:textId="16DEB5E5" w:rsidR="006637C9" w:rsidRPr="006637C9" w:rsidRDefault="00AC6E61" w:rsidP="006637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1B7329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</w:tbl>
    <w:p w14:paraId="06B0E27D" w14:textId="77777777" w:rsidR="007828C1" w:rsidRPr="002B1E8A" w:rsidRDefault="007828C1" w:rsidP="009F4A95">
      <w:pPr>
        <w:rPr>
          <w:rFonts w:ascii="Arial" w:hAnsi="Arial" w:cs="Arial"/>
          <w:sz w:val="24"/>
          <w:szCs w:val="24"/>
        </w:rPr>
      </w:pPr>
    </w:p>
    <w:sectPr w:rsidR="007828C1" w:rsidRPr="002B1E8A" w:rsidSect="005A7884">
      <w:pgSz w:w="16838" w:h="11906" w:orient="landscape"/>
      <w:pgMar w:top="709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Pr="00846DEA" w:rsidRDefault="002D61A4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  <w:p w14:paraId="16DEB4A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7449A801" w14:textId="77777777" w:rsidR="00A74A19" w:rsidRPr="00384712" w:rsidRDefault="00A74A19" w:rsidP="00A51D2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48BF3708" w14:textId="77777777" w:rsidR="00A74A19" w:rsidRPr="00AB4539" w:rsidRDefault="00A74A19" w:rsidP="00A51D24">
      <w:pPr>
        <w:pStyle w:val="Tekstprzypisudolnego"/>
        <w:ind w:left="142" w:hanging="142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293FFD96" w14:textId="77777777" w:rsidR="00A74A19" w:rsidRPr="00384712" w:rsidRDefault="00A74A19" w:rsidP="00A51D24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4">
    <w:p w14:paraId="16F02488" w14:textId="77777777" w:rsidR="00A74A19" w:rsidRPr="008D4EBB" w:rsidRDefault="00A74A19" w:rsidP="00AA06DD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  <w:p w14:paraId="15B6425C" w14:textId="77777777" w:rsidR="00A74A19" w:rsidRPr="00384712" w:rsidRDefault="00A74A19" w:rsidP="00067707">
      <w:pPr>
        <w:pStyle w:val="Tekstprzypisudolnego"/>
        <w:rPr>
          <w:rFonts w:ascii="Arial" w:hAnsi="Arial" w:cs="Arial"/>
          <w:sz w:val="24"/>
          <w:szCs w:val="24"/>
        </w:rPr>
      </w:pPr>
    </w:p>
  </w:footnote>
  <w:footnote w:id="5">
    <w:p w14:paraId="2153965B" w14:textId="77777777" w:rsidR="00451922" w:rsidRDefault="00451922" w:rsidP="004045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27DE1F32" w14:textId="4F2C7383" w:rsidR="00451922" w:rsidRPr="00384712" w:rsidRDefault="0045192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213A77" w:rsidRPr="00213A77">
        <w:rPr>
          <w:rFonts w:ascii="Arial" w:hAnsi="Arial" w:cs="Arial"/>
          <w:sz w:val="24"/>
          <w:szCs w:val="24"/>
          <w:lang w:val="pl-PL"/>
        </w:rPr>
        <w:t>Opatrzone klauzulą ostateczności decyzje trzeba będzie przedłożyć najpóźniej na etapie podpisania umowy o dofinansowanie projektu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7">
    <w:p w14:paraId="213A42FF" w14:textId="77777777" w:rsidR="00607AEF" w:rsidRPr="00342680" w:rsidRDefault="00607AEF" w:rsidP="00607AEF">
      <w:pPr>
        <w:pStyle w:val="Tekstprzypisudolnego"/>
      </w:pPr>
      <w:r w:rsidRPr="0034268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42680">
        <w:rPr>
          <w:rFonts w:ascii="Arial" w:hAnsi="Arial" w:cs="Arial"/>
          <w:sz w:val="24"/>
          <w:szCs w:val="24"/>
        </w:rPr>
        <w:t xml:space="preserve"> Jako obiekt zabytkowy należy rozumieć obiekt wpisany do rejestru zabytków na podstawie decyzji wydanej przez wojewódzkiego konserwatora zabytków lub wpisany do ewidencji zabytków, o której mowa w art. 22 ustawy z dnia 23 lipca 2003 r. o ochronie zabytków i opiece nad zabytkami (Dz. U. z 2022 r. poz</w:t>
      </w:r>
      <w:r w:rsidRPr="00603C73">
        <w:rPr>
          <w:rFonts w:ascii="Arial" w:hAnsi="Arial" w:cs="Arial"/>
          <w:sz w:val="24"/>
          <w:szCs w:val="24"/>
        </w:rPr>
        <w:t>. 840 z późn. zm.). Definicja zabytku w rozumieniu ww. ustawy.</w:t>
      </w:r>
    </w:p>
  </w:footnote>
  <w:footnote w:id="8">
    <w:p w14:paraId="5328EDA1" w14:textId="77777777" w:rsidR="00607AEF" w:rsidRPr="004B5ADF" w:rsidRDefault="00607AEF" w:rsidP="00607AEF">
      <w:pPr>
        <w:pStyle w:val="Tekstprzypisudolnego"/>
        <w:rPr>
          <w:rFonts w:ascii="Arial" w:hAnsi="Arial" w:cs="Arial"/>
          <w:sz w:val="24"/>
          <w:szCs w:val="24"/>
        </w:rPr>
      </w:pPr>
      <w:r w:rsidRPr="004B5A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B5A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  <w:lang w:val="pl-PL" w:eastAsia="en-US"/>
        </w:rPr>
        <w:t>Przez</w:t>
      </w:r>
      <w:r w:rsidRPr="004B5ADF">
        <w:rPr>
          <w:rFonts w:ascii="Arial" w:hAnsi="Arial" w:cs="Arial"/>
          <w:iCs/>
          <w:sz w:val="24"/>
          <w:szCs w:val="24"/>
          <w:lang w:eastAsia="en-US"/>
        </w:rPr>
        <w:t xml:space="preserve"> budyn</w:t>
      </w:r>
      <w:r>
        <w:rPr>
          <w:rFonts w:ascii="Arial" w:hAnsi="Arial" w:cs="Arial"/>
          <w:iCs/>
          <w:sz w:val="24"/>
          <w:szCs w:val="24"/>
          <w:lang w:val="pl-PL" w:eastAsia="en-US"/>
        </w:rPr>
        <w:t>ek</w:t>
      </w:r>
      <w:r w:rsidRPr="004B5ADF">
        <w:rPr>
          <w:rFonts w:ascii="Arial" w:hAnsi="Arial" w:cs="Arial"/>
          <w:iCs/>
          <w:sz w:val="24"/>
          <w:szCs w:val="24"/>
          <w:lang w:eastAsia="en-US"/>
        </w:rPr>
        <w:t xml:space="preserve"> użyteczności publicznej należy rozumieć budynek przeznaczony na potrzeby administracji publicznej, wymiaru sprawiedliwości, kultury, kultu religijnego, oświaty, szkolnictwa wyższego, nauki, wychowania, opieki zdrowotnej (z wyłączeniem obiektów szpitali, których funkcjonowanie w publicznym systemie zdrowia nie wynika z map potrzeb zdrowotnych), społecznej lub socjalnej, sportu oraz prowadzenia pozostałych zadań własnych samorządu terytorialnego, z wyłączeniem obiektów przeznaczonych na cele mieszkalne np.: akademiki, internaty, bursy, domy zakonne, domy nauczycielskie. Ponadto wspierane mogą być budynki, w których działalność inna niż ww. zajmuje nie więcej niż 50% powierzchni wewnętrznej budynku.</w:t>
      </w:r>
    </w:p>
  </w:footnote>
  <w:footnote w:id="9">
    <w:p w14:paraId="32B486D9" w14:textId="77777777" w:rsidR="00170DA1" w:rsidRPr="00FC32E4" w:rsidRDefault="00170DA1" w:rsidP="00B77EE5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6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6"/>
    </w:p>
  </w:footnote>
  <w:footnote w:id="10">
    <w:p w14:paraId="5FE87102" w14:textId="158C7A83" w:rsidR="009B6B7B" w:rsidRPr="007007E7" w:rsidRDefault="009B6B7B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1">
    <w:p w14:paraId="3CC14CBC" w14:textId="7D4254F0" w:rsidR="009B6B7B" w:rsidRPr="009C7AD5" w:rsidRDefault="009B6B7B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2AB3130D" w14:textId="77777777" w:rsidR="00EB5FBB" w:rsidRPr="00384712" w:rsidRDefault="00EB5FB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bookmarkStart w:id="8" w:name="_Hlk150864652"/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5E95" w14:textId="7E91AF91" w:rsidR="00897320" w:rsidRPr="001F6F0F" w:rsidRDefault="00897320" w:rsidP="00897320">
    <w:pPr>
      <w:tabs>
        <w:tab w:val="left" w:pos="9923"/>
      </w:tabs>
      <w:spacing w:after="0" w:line="240" w:lineRule="auto"/>
      <w:rPr>
        <w:sz w:val="24"/>
        <w:szCs w:val="24"/>
      </w:rPr>
    </w:pPr>
    <w:bookmarkStart w:id="1" w:name="_Hlk144370334"/>
    <w:r w:rsidRPr="001F6F0F">
      <w:rPr>
        <w:rFonts w:ascii="Arial" w:hAnsi="Arial" w:cs="Arial"/>
        <w:sz w:val="24"/>
        <w:szCs w:val="24"/>
      </w:rPr>
      <w:t>FUNDUSZE EUROPEJSKIE DLA KUJAW I POMORZA 2021-2027</w:t>
    </w:r>
    <w:r w:rsidRPr="001F6F0F">
      <w:rPr>
        <w:rFonts w:ascii="Arial" w:hAnsi="Arial" w:cs="Arial"/>
        <w:bCs/>
        <w:sz w:val="24"/>
        <w:szCs w:val="24"/>
      </w:rPr>
      <w:t xml:space="preserve"> </w:t>
    </w:r>
  </w:p>
  <w:bookmarkEnd w:id="1"/>
  <w:p w14:paraId="11C9F1DB" w14:textId="1DBEB826" w:rsidR="004F25E4" w:rsidRDefault="004F25E4" w:rsidP="004F25E4">
    <w:pPr>
      <w:tabs>
        <w:tab w:val="left" w:pos="5103"/>
        <w:tab w:val="left" w:pos="9923"/>
      </w:tabs>
      <w:spacing w:after="0" w:line="240" w:lineRule="auto"/>
      <w:ind w:left="9498"/>
      <w:rPr>
        <w:rFonts w:ascii="Arial" w:hAnsi="Arial" w:cs="Arial"/>
        <w:bCs/>
        <w:lang w:val="x-none"/>
      </w:rPr>
    </w:pPr>
    <w:r>
      <w:rPr>
        <w:rFonts w:ascii="Arial" w:hAnsi="Arial" w:cs="Arial"/>
        <w:bCs/>
        <w:lang w:val="x-none"/>
      </w:rPr>
      <w:t>Załącznik do uchwały nr 40/2024</w:t>
    </w:r>
  </w:p>
  <w:p w14:paraId="0B500B4B" w14:textId="77777777" w:rsidR="004F25E4" w:rsidRDefault="004F25E4" w:rsidP="004F25E4">
    <w:pPr>
      <w:tabs>
        <w:tab w:val="left" w:pos="5103"/>
        <w:tab w:val="left" w:pos="9923"/>
      </w:tabs>
      <w:spacing w:after="0" w:line="240" w:lineRule="auto"/>
      <w:ind w:left="9498"/>
      <w:rPr>
        <w:rFonts w:ascii="Arial" w:hAnsi="Arial" w:cs="Arial"/>
        <w:bCs/>
      </w:rPr>
    </w:pPr>
    <w:r>
      <w:rPr>
        <w:rFonts w:ascii="Arial" w:hAnsi="Arial" w:cs="Arial"/>
        <w:bCs/>
        <w:lang w:val="x-none"/>
      </w:rPr>
      <w:t>Komitetu Monitorującego FEdKP 2021-2027</w:t>
    </w:r>
  </w:p>
  <w:p w14:paraId="73085188" w14:textId="36C8AEF2" w:rsidR="003C40D0" w:rsidRPr="008C619C" w:rsidRDefault="004F25E4" w:rsidP="004F25E4">
    <w:pPr>
      <w:tabs>
        <w:tab w:val="left" w:pos="5103"/>
        <w:tab w:val="left" w:pos="9923"/>
      </w:tabs>
      <w:spacing w:after="0" w:line="240" w:lineRule="auto"/>
      <w:ind w:left="9498"/>
      <w:rPr>
        <w:rFonts w:ascii="Arial" w:hAnsi="Arial" w:cs="Arial"/>
        <w:bCs/>
      </w:rPr>
    </w:pPr>
    <w:r>
      <w:rPr>
        <w:rFonts w:ascii="Arial" w:hAnsi="Arial" w:cs="Arial"/>
        <w:bCs/>
      </w:rPr>
      <w:t xml:space="preserve">z dnia 19 marca 2024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7C030F"/>
    <w:multiLevelType w:val="hybridMultilevel"/>
    <w:tmpl w:val="1AD6F46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29"/>
  </w:num>
  <w:num w:numId="2" w16cid:durableId="1558316882">
    <w:abstractNumId w:val="38"/>
  </w:num>
  <w:num w:numId="3" w16cid:durableId="283730786">
    <w:abstractNumId w:val="8"/>
  </w:num>
  <w:num w:numId="4" w16cid:durableId="228731417">
    <w:abstractNumId w:val="1"/>
  </w:num>
  <w:num w:numId="5" w16cid:durableId="970476649">
    <w:abstractNumId w:val="30"/>
  </w:num>
  <w:num w:numId="6" w16cid:durableId="491529595">
    <w:abstractNumId w:val="5"/>
  </w:num>
  <w:num w:numId="7" w16cid:durableId="1747606102">
    <w:abstractNumId w:val="13"/>
  </w:num>
  <w:num w:numId="8" w16cid:durableId="41516962">
    <w:abstractNumId w:val="26"/>
  </w:num>
  <w:num w:numId="9" w16cid:durableId="642538186">
    <w:abstractNumId w:val="24"/>
  </w:num>
  <w:num w:numId="10" w16cid:durableId="1151023340">
    <w:abstractNumId w:val="22"/>
  </w:num>
  <w:num w:numId="11" w16cid:durableId="2062705513">
    <w:abstractNumId w:val="10"/>
  </w:num>
  <w:num w:numId="12" w16cid:durableId="341470690">
    <w:abstractNumId w:val="14"/>
  </w:num>
  <w:num w:numId="13" w16cid:durableId="1194732508">
    <w:abstractNumId w:val="31"/>
  </w:num>
  <w:num w:numId="14" w16cid:durableId="1314676677">
    <w:abstractNumId w:val="19"/>
  </w:num>
  <w:num w:numId="15" w16cid:durableId="1250456925">
    <w:abstractNumId w:val="35"/>
  </w:num>
  <w:num w:numId="16" w16cid:durableId="1913654838">
    <w:abstractNumId w:val="33"/>
  </w:num>
  <w:num w:numId="17" w16cid:durableId="512840268">
    <w:abstractNumId w:val="9"/>
  </w:num>
  <w:num w:numId="18" w16cid:durableId="136728004">
    <w:abstractNumId w:val="18"/>
  </w:num>
  <w:num w:numId="19" w16cid:durableId="1760712996">
    <w:abstractNumId w:val="28"/>
  </w:num>
  <w:num w:numId="20" w16cid:durableId="724376284">
    <w:abstractNumId w:val="34"/>
  </w:num>
  <w:num w:numId="21" w16cid:durableId="44766216">
    <w:abstractNumId w:val="25"/>
  </w:num>
  <w:num w:numId="22" w16cid:durableId="513035798">
    <w:abstractNumId w:val="36"/>
  </w:num>
  <w:num w:numId="23" w16cid:durableId="2142722700">
    <w:abstractNumId w:val="21"/>
  </w:num>
  <w:num w:numId="24" w16cid:durableId="314843383">
    <w:abstractNumId w:val="37"/>
  </w:num>
  <w:num w:numId="25" w16cid:durableId="52389348">
    <w:abstractNumId w:val="7"/>
  </w:num>
  <w:num w:numId="26" w16cid:durableId="1479999517">
    <w:abstractNumId w:val="11"/>
  </w:num>
  <w:num w:numId="27" w16cid:durableId="885146038">
    <w:abstractNumId w:val="20"/>
  </w:num>
  <w:num w:numId="28" w16cid:durableId="1805004995">
    <w:abstractNumId w:val="2"/>
  </w:num>
  <w:num w:numId="29" w16cid:durableId="1672290955">
    <w:abstractNumId w:val="16"/>
  </w:num>
  <w:num w:numId="30" w16cid:durableId="753744561">
    <w:abstractNumId w:val="12"/>
  </w:num>
  <w:num w:numId="31" w16cid:durableId="1666398632">
    <w:abstractNumId w:val="23"/>
  </w:num>
  <w:num w:numId="32" w16cid:durableId="1977176889">
    <w:abstractNumId w:val="6"/>
  </w:num>
  <w:num w:numId="33" w16cid:durableId="2006393694">
    <w:abstractNumId w:val="17"/>
  </w:num>
  <w:num w:numId="34" w16cid:durableId="2056083278">
    <w:abstractNumId w:val="15"/>
  </w:num>
  <w:num w:numId="35" w16cid:durableId="688995715">
    <w:abstractNumId w:val="3"/>
  </w:num>
  <w:num w:numId="36" w16cid:durableId="1180897140">
    <w:abstractNumId w:val="32"/>
  </w:num>
  <w:num w:numId="37" w16cid:durableId="1615095698">
    <w:abstractNumId w:val="4"/>
  </w:num>
  <w:num w:numId="38" w16cid:durableId="657808865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3802"/>
    <w:rsid w:val="00014DF0"/>
    <w:rsid w:val="00016679"/>
    <w:rsid w:val="0002063F"/>
    <w:rsid w:val="00021FEC"/>
    <w:rsid w:val="00022525"/>
    <w:rsid w:val="00022E78"/>
    <w:rsid w:val="00023781"/>
    <w:rsid w:val="00023A45"/>
    <w:rsid w:val="0002428B"/>
    <w:rsid w:val="00024D24"/>
    <w:rsid w:val="000257C7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B9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99E"/>
    <w:rsid w:val="00066F88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429B"/>
    <w:rsid w:val="00084400"/>
    <w:rsid w:val="00085328"/>
    <w:rsid w:val="000856D3"/>
    <w:rsid w:val="000863EA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A0227"/>
    <w:rsid w:val="000A0C10"/>
    <w:rsid w:val="000A0CD3"/>
    <w:rsid w:val="000A11EC"/>
    <w:rsid w:val="000A14D9"/>
    <w:rsid w:val="000A23C7"/>
    <w:rsid w:val="000A29D0"/>
    <w:rsid w:val="000A34D3"/>
    <w:rsid w:val="000A3AC5"/>
    <w:rsid w:val="000A406B"/>
    <w:rsid w:val="000A484B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2F6E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D0297"/>
    <w:rsid w:val="000D033A"/>
    <w:rsid w:val="000D10D1"/>
    <w:rsid w:val="000D315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7C"/>
    <w:rsid w:val="000E14E8"/>
    <w:rsid w:val="000E2130"/>
    <w:rsid w:val="000E2251"/>
    <w:rsid w:val="000E24DF"/>
    <w:rsid w:val="000E29B4"/>
    <w:rsid w:val="000E308B"/>
    <w:rsid w:val="000E3E20"/>
    <w:rsid w:val="000E6EA0"/>
    <w:rsid w:val="000E7C54"/>
    <w:rsid w:val="000F0F5C"/>
    <w:rsid w:val="000F14ED"/>
    <w:rsid w:val="000F1D24"/>
    <w:rsid w:val="000F1E04"/>
    <w:rsid w:val="000F2C45"/>
    <w:rsid w:val="000F5B20"/>
    <w:rsid w:val="000F7BB0"/>
    <w:rsid w:val="0010120E"/>
    <w:rsid w:val="001021F9"/>
    <w:rsid w:val="00102431"/>
    <w:rsid w:val="00103484"/>
    <w:rsid w:val="001041B4"/>
    <w:rsid w:val="00106B5D"/>
    <w:rsid w:val="001070AB"/>
    <w:rsid w:val="001116C5"/>
    <w:rsid w:val="00111B37"/>
    <w:rsid w:val="00112544"/>
    <w:rsid w:val="00112638"/>
    <w:rsid w:val="0011265D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13F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579CA"/>
    <w:rsid w:val="00160766"/>
    <w:rsid w:val="0016162D"/>
    <w:rsid w:val="00161724"/>
    <w:rsid w:val="00161734"/>
    <w:rsid w:val="0016180A"/>
    <w:rsid w:val="00162792"/>
    <w:rsid w:val="0016356D"/>
    <w:rsid w:val="00163E5D"/>
    <w:rsid w:val="00164996"/>
    <w:rsid w:val="00165D28"/>
    <w:rsid w:val="00166515"/>
    <w:rsid w:val="001666A5"/>
    <w:rsid w:val="001673C1"/>
    <w:rsid w:val="00167EE8"/>
    <w:rsid w:val="001706E8"/>
    <w:rsid w:val="00170DA1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CBC"/>
    <w:rsid w:val="00187F30"/>
    <w:rsid w:val="00190AC4"/>
    <w:rsid w:val="00190DE6"/>
    <w:rsid w:val="001910DC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E8D"/>
    <w:rsid w:val="001B3207"/>
    <w:rsid w:val="001B3C79"/>
    <w:rsid w:val="001B453B"/>
    <w:rsid w:val="001B5028"/>
    <w:rsid w:val="001B5406"/>
    <w:rsid w:val="001B6062"/>
    <w:rsid w:val="001B6BB3"/>
    <w:rsid w:val="001B7329"/>
    <w:rsid w:val="001B7756"/>
    <w:rsid w:val="001B7EFF"/>
    <w:rsid w:val="001B7F6E"/>
    <w:rsid w:val="001C0732"/>
    <w:rsid w:val="001C17D7"/>
    <w:rsid w:val="001C1F5B"/>
    <w:rsid w:val="001C27B3"/>
    <w:rsid w:val="001C2DD2"/>
    <w:rsid w:val="001C3F2D"/>
    <w:rsid w:val="001C660A"/>
    <w:rsid w:val="001C6A54"/>
    <w:rsid w:val="001C6B99"/>
    <w:rsid w:val="001C6C1B"/>
    <w:rsid w:val="001C778C"/>
    <w:rsid w:val="001C7CBD"/>
    <w:rsid w:val="001D03FB"/>
    <w:rsid w:val="001D04F9"/>
    <w:rsid w:val="001D1648"/>
    <w:rsid w:val="001D2BA8"/>
    <w:rsid w:val="001D3AF0"/>
    <w:rsid w:val="001D46CD"/>
    <w:rsid w:val="001D4CD9"/>
    <w:rsid w:val="001D4EFF"/>
    <w:rsid w:val="001D5770"/>
    <w:rsid w:val="001D73F9"/>
    <w:rsid w:val="001D7DF8"/>
    <w:rsid w:val="001E2370"/>
    <w:rsid w:val="001E23BF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F0F"/>
    <w:rsid w:val="001F763D"/>
    <w:rsid w:val="00200E12"/>
    <w:rsid w:val="00200ED8"/>
    <w:rsid w:val="002017C5"/>
    <w:rsid w:val="00203B67"/>
    <w:rsid w:val="0020416A"/>
    <w:rsid w:val="00204DC2"/>
    <w:rsid w:val="00205C2B"/>
    <w:rsid w:val="00205D12"/>
    <w:rsid w:val="00206686"/>
    <w:rsid w:val="00210329"/>
    <w:rsid w:val="00211DF1"/>
    <w:rsid w:val="00212CB3"/>
    <w:rsid w:val="00213A77"/>
    <w:rsid w:val="0021502A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682"/>
    <w:rsid w:val="00226BFB"/>
    <w:rsid w:val="00226E0A"/>
    <w:rsid w:val="00226F0A"/>
    <w:rsid w:val="00227332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746D"/>
    <w:rsid w:val="00247510"/>
    <w:rsid w:val="00250E8E"/>
    <w:rsid w:val="00251FA2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4544"/>
    <w:rsid w:val="002646C9"/>
    <w:rsid w:val="00265574"/>
    <w:rsid w:val="00265BB2"/>
    <w:rsid w:val="00266A2F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2F51"/>
    <w:rsid w:val="002844F4"/>
    <w:rsid w:val="00284BE9"/>
    <w:rsid w:val="00284FC1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69"/>
    <w:rsid w:val="002C3BB2"/>
    <w:rsid w:val="002C435E"/>
    <w:rsid w:val="002C4843"/>
    <w:rsid w:val="002C4FE0"/>
    <w:rsid w:val="002C50E4"/>
    <w:rsid w:val="002C5DB6"/>
    <w:rsid w:val="002C60B8"/>
    <w:rsid w:val="002C66D6"/>
    <w:rsid w:val="002D0017"/>
    <w:rsid w:val="002D18C1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6D7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5353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590D"/>
    <w:rsid w:val="00326CCC"/>
    <w:rsid w:val="003271C4"/>
    <w:rsid w:val="00327557"/>
    <w:rsid w:val="00327A62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366B9"/>
    <w:rsid w:val="00342680"/>
    <w:rsid w:val="00342DB1"/>
    <w:rsid w:val="00343082"/>
    <w:rsid w:val="00343AFF"/>
    <w:rsid w:val="00343BEA"/>
    <w:rsid w:val="00345D0F"/>
    <w:rsid w:val="00345DDF"/>
    <w:rsid w:val="00346152"/>
    <w:rsid w:val="003467E8"/>
    <w:rsid w:val="00346879"/>
    <w:rsid w:val="003475A3"/>
    <w:rsid w:val="00347BEC"/>
    <w:rsid w:val="00347DB2"/>
    <w:rsid w:val="00347EA3"/>
    <w:rsid w:val="00350347"/>
    <w:rsid w:val="003504C7"/>
    <w:rsid w:val="003509E9"/>
    <w:rsid w:val="0035648F"/>
    <w:rsid w:val="00356D81"/>
    <w:rsid w:val="003575A6"/>
    <w:rsid w:val="00357B85"/>
    <w:rsid w:val="003604E5"/>
    <w:rsid w:val="003606C2"/>
    <w:rsid w:val="00360FA9"/>
    <w:rsid w:val="003616BE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0280"/>
    <w:rsid w:val="00371DE3"/>
    <w:rsid w:val="00373881"/>
    <w:rsid w:val="00374692"/>
    <w:rsid w:val="00375206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792"/>
    <w:rsid w:val="00386E53"/>
    <w:rsid w:val="0039070B"/>
    <w:rsid w:val="003910CA"/>
    <w:rsid w:val="00392003"/>
    <w:rsid w:val="00392ABD"/>
    <w:rsid w:val="00392B6F"/>
    <w:rsid w:val="003931EF"/>
    <w:rsid w:val="0039375D"/>
    <w:rsid w:val="00394248"/>
    <w:rsid w:val="00395AF1"/>
    <w:rsid w:val="00396072"/>
    <w:rsid w:val="00396865"/>
    <w:rsid w:val="00397489"/>
    <w:rsid w:val="00397CAD"/>
    <w:rsid w:val="003A0754"/>
    <w:rsid w:val="003A1610"/>
    <w:rsid w:val="003A17CF"/>
    <w:rsid w:val="003A1F38"/>
    <w:rsid w:val="003A32E8"/>
    <w:rsid w:val="003A3E90"/>
    <w:rsid w:val="003A4AC4"/>
    <w:rsid w:val="003A6E3C"/>
    <w:rsid w:val="003A74C5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1527"/>
    <w:rsid w:val="003C28BB"/>
    <w:rsid w:val="003C2B44"/>
    <w:rsid w:val="003C357A"/>
    <w:rsid w:val="003C397F"/>
    <w:rsid w:val="003C40D0"/>
    <w:rsid w:val="003C49C1"/>
    <w:rsid w:val="003C5171"/>
    <w:rsid w:val="003C70B7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5988"/>
    <w:rsid w:val="003D6454"/>
    <w:rsid w:val="003D6456"/>
    <w:rsid w:val="003D679A"/>
    <w:rsid w:val="003D6993"/>
    <w:rsid w:val="003D6ABA"/>
    <w:rsid w:val="003D703E"/>
    <w:rsid w:val="003D77BA"/>
    <w:rsid w:val="003E039B"/>
    <w:rsid w:val="003E0D1F"/>
    <w:rsid w:val="003E1574"/>
    <w:rsid w:val="003E1D1F"/>
    <w:rsid w:val="003E24EA"/>
    <w:rsid w:val="003E3F6B"/>
    <w:rsid w:val="003E3FB9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7C2"/>
    <w:rsid w:val="00400CE7"/>
    <w:rsid w:val="00400D03"/>
    <w:rsid w:val="00401459"/>
    <w:rsid w:val="00401E35"/>
    <w:rsid w:val="00401FE8"/>
    <w:rsid w:val="00402E7D"/>
    <w:rsid w:val="00402FD8"/>
    <w:rsid w:val="004052E3"/>
    <w:rsid w:val="0040586D"/>
    <w:rsid w:val="004058B8"/>
    <w:rsid w:val="00405A71"/>
    <w:rsid w:val="004061E7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2FD6"/>
    <w:rsid w:val="00423A1D"/>
    <w:rsid w:val="004240B9"/>
    <w:rsid w:val="00424B68"/>
    <w:rsid w:val="0042567E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31AC"/>
    <w:rsid w:val="00434209"/>
    <w:rsid w:val="0043429B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5FCD"/>
    <w:rsid w:val="004478E4"/>
    <w:rsid w:val="0045011D"/>
    <w:rsid w:val="004503CC"/>
    <w:rsid w:val="00451922"/>
    <w:rsid w:val="00452541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87921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98C"/>
    <w:rsid w:val="004E1DFA"/>
    <w:rsid w:val="004E3A6D"/>
    <w:rsid w:val="004E3FAD"/>
    <w:rsid w:val="004E45FE"/>
    <w:rsid w:val="004E495D"/>
    <w:rsid w:val="004E4B6C"/>
    <w:rsid w:val="004E509D"/>
    <w:rsid w:val="004E6C0B"/>
    <w:rsid w:val="004F01D6"/>
    <w:rsid w:val="004F0E3F"/>
    <w:rsid w:val="004F1CD9"/>
    <w:rsid w:val="004F25E4"/>
    <w:rsid w:val="004F30DB"/>
    <w:rsid w:val="004F3F95"/>
    <w:rsid w:val="004F50EA"/>
    <w:rsid w:val="004F62B3"/>
    <w:rsid w:val="004F6AE9"/>
    <w:rsid w:val="004F6D9D"/>
    <w:rsid w:val="004F7D75"/>
    <w:rsid w:val="00500076"/>
    <w:rsid w:val="00500FB0"/>
    <w:rsid w:val="005013B3"/>
    <w:rsid w:val="005018EC"/>
    <w:rsid w:val="00502027"/>
    <w:rsid w:val="00502180"/>
    <w:rsid w:val="00503168"/>
    <w:rsid w:val="00503C69"/>
    <w:rsid w:val="00505150"/>
    <w:rsid w:val="005051ED"/>
    <w:rsid w:val="00505803"/>
    <w:rsid w:val="00507B1D"/>
    <w:rsid w:val="00507FAF"/>
    <w:rsid w:val="00510313"/>
    <w:rsid w:val="00511230"/>
    <w:rsid w:val="005115B8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6636"/>
    <w:rsid w:val="00526A2E"/>
    <w:rsid w:val="00526F68"/>
    <w:rsid w:val="00527F64"/>
    <w:rsid w:val="0053003E"/>
    <w:rsid w:val="00530A76"/>
    <w:rsid w:val="00531BE2"/>
    <w:rsid w:val="00532C11"/>
    <w:rsid w:val="0053316D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2E99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552"/>
    <w:rsid w:val="00563C25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36D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062"/>
    <w:rsid w:val="00587219"/>
    <w:rsid w:val="0058728E"/>
    <w:rsid w:val="005874D7"/>
    <w:rsid w:val="00587919"/>
    <w:rsid w:val="00590541"/>
    <w:rsid w:val="00590C62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50D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A7884"/>
    <w:rsid w:val="005B0B7A"/>
    <w:rsid w:val="005B1122"/>
    <w:rsid w:val="005B1181"/>
    <w:rsid w:val="005B1A3F"/>
    <w:rsid w:val="005B2711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4C4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3C73"/>
    <w:rsid w:val="00604068"/>
    <w:rsid w:val="006054D7"/>
    <w:rsid w:val="006067A1"/>
    <w:rsid w:val="00607343"/>
    <w:rsid w:val="00607386"/>
    <w:rsid w:val="00607AEF"/>
    <w:rsid w:val="00607BF0"/>
    <w:rsid w:val="0061003F"/>
    <w:rsid w:val="00612233"/>
    <w:rsid w:val="0061299A"/>
    <w:rsid w:val="006131FD"/>
    <w:rsid w:val="00613DA5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2FD5"/>
    <w:rsid w:val="0062353A"/>
    <w:rsid w:val="006255EB"/>
    <w:rsid w:val="0062630D"/>
    <w:rsid w:val="00626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CB2"/>
    <w:rsid w:val="00660214"/>
    <w:rsid w:val="00661597"/>
    <w:rsid w:val="00663510"/>
    <w:rsid w:val="00663773"/>
    <w:rsid w:val="006637C9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782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230"/>
    <w:rsid w:val="00695547"/>
    <w:rsid w:val="00696085"/>
    <w:rsid w:val="00696ED9"/>
    <w:rsid w:val="006A076E"/>
    <w:rsid w:val="006A0B64"/>
    <w:rsid w:val="006A0DCE"/>
    <w:rsid w:val="006A1076"/>
    <w:rsid w:val="006A1FAC"/>
    <w:rsid w:val="006A2711"/>
    <w:rsid w:val="006A2D70"/>
    <w:rsid w:val="006A3675"/>
    <w:rsid w:val="006A36A9"/>
    <w:rsid w:val="006A5A6F"/>
    <w:rsid w:val="006A64AF"/>
    <w:rsid w:val="006A7054"/>
    <w:rsid w:val="006A7899"/>
    <w:rsid w:val="006B0DC7"/>
    <w:rsid w:val="006B1661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3F31"/>
    <w:rsid w:val="006C4CF1"/>
    <w:rsid w:val="006C55B4"/>
    <w:rsid w:val="006C5E80"/>
    <w:rsid w:val="006C660C"/>
    <w:rsid w:val="006C7682"/>
    <w:rsid w:val="006C7E4E"/>
    <w:rsid w:val="006D0AE6"/>
    <w:rsid w:val="006D106D"/>
    <w:rsid w:val="006D2375"/>
    <w:rsid w:val="006D2EB3"/>
    <w:rsid w:val="006D388E"/>
    <w:rsid w:val="006D38A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5C8A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206"/>
    <w:rsid w:val="006F6406"/>
    <w:rsid w:val="006F6464"/>
    <w:rsid w:val="006F6B66"/>
    <w:rsid w:val="006F7150"/>
    <w:rsid w:val="006F728E"/>
    <w:rsid w:val="006F7491"/>
    <w:rsid w:val="006F7AFF"/>
    <w:rsid w:val="007007E7"/>
    <w:rsid w:val="007038CC"/>
    <w:rsid w:val="00704036"/>
    <w:rsid w:val="00704206"/>
    <w:rsid w:val="007048E1"/>
    <w:rsid w:val="00704905"/>
    <w:rsid w:val="00705A6C"/>
    <w:rsid w:val="00706592"/>
    <w:rsid w:val="00706CCF"/>
    <w:rsid w:val="007071EF"/>
    <w:rsid w:val="00707D40"/>
    <w:rsid w:val="00710AEE"/>
    <w:rsid w:val="00711481"/>
    <w:rsid w:val="00713002"/>
    <w:rsid w:val="007136B4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4549"/>
    <w:rsid w:val="007552E8"/>
    <w:rsid w:val="00755716"/>
    <w:rsid w:val="00755A5C"/>
    <w:rsid w:val="00756C80"/>
    <w:rsid w:val="00757170"/>
    <w:rsid w:val="00760331"/>
    <w:rsid w:val="0076166B"/>
    <w:rsid w:val="0076175A"/>
    <w:rsid w:val="00761C21"/>
    <w:rsid w:val="00762867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443"/>
    <w:rsid w:val="007738A0"/>
    <w:rsid w:val="00773A9F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28C1"/>
    <w:rsid w:val="007835F1"/>
    <w:rsid w:val="00783B0C"/>
    <w:rsid w:val="00784623"/>
    <w:rsid w:val="0078496A"/>
    <w:rsid w:val="00785797"/>
    <w:rsid w:val="00785D34"/>
    <w:rsid w:val="00787DA2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59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140E"/>
    <w:rsid w:val="007D1DBB"/>
    <w:rsid w:val="007D394F"/>
    <w:rsid w:val="007D3A25"/>
    <w:rsid w:val="007D4D18"/>
    <w:rsid w:val="007D66E4"/>
    <w:rsid w:val="007E008A"/>
    <w:rsid w:val="007E0407"/>
    <w:rsid w:val="007E0BF4"/>
    <w:rsid w:val="007E1633"/>
    <w:rsid w:val="007E178B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3ACC"/>
    <w:rsid w:val="00814235"/>
    <w:rsid w:val="00814909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27661"/>
    <w:rsid w:val="0083087A"/>
    <w:rsid w:val="00831400"/>
    <w:rsid w:val="008332FF"/>
    <w:rsid w:val="008339B6"/>
    <w:rsid w:val="00833FFD"/>
    <w:rsid w:val="00834DA6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65BA"/>
    <w:rsid w:val="00846DE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0134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867"/>
    <w:rsid w:val="0088392D"/>
    <w:rsid w:val="00883F10"/>
    <w:rsid w:val="008860D0"/>
    <w:rsid w:val="0088690D"/>
    <w:rsid w:val="00887289"/>
    <w:rsid w:val="00887298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320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02FD"/>
    <w:rsid w:val="008C1A85"/>
    <w:rsid w:val="008C3652"/>
    <w:rsid w:val="008C3C41"/>
    <w:rsid w:val="008C3EA4"/>
    <w:rsid w:val="008C4C3D"/>
    <w:rsid w:val="008C514F"/>
    <w:rsid w:val="008C5E9C"/>
    <w:rsid w:val="008C61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18F"/>
    <w:rsid w:val="008E02A2"/>
    <w:rsid w:val="008E0DA2"/>
    <w:rsid w:val="008E2138"/>
    <w:rsid w:val="008E26F3"/>
    <w:rsid w:val="008E2E90"/>
    <w:rsid w:val="008E39C7"/>
    <w:rsid w:val="008E3F86"/>
    <w:rsid w:val="008E4C8F"/>
    <w:rsid w:val="008E77DA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C1C"/>
    <w:rsid w:val="00911E61"/>
    <w:rsid w:val="009124B7"/>
    <w:rsid w:val="00912C34"/>
    <w:rsid w:val="00913BEA"/>
    <w:rsid w:val="00914A07"/>
    <w:rsid w:val="00915ACA"/>
    <w:rsid w:val="00916558"/>
    <w:rsid w:val="009166FA"/>
    <w:rsid w:val="0092270E"/>
    <w:rsid w:val="00922DD3"/>
    <w:rsid w:val="0092600B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B0A"/>
    <w:rsid w:val="00953238"/>
    <w:rsid w:val="00954093"/>
    <w:rsid w:val="009553E6"/>
    <w:rsid w:val="009558CD"/>
    <w:rsid w:val="00955E08"/>
    <w:rsid w:val="00956616"/>
    <w:rsid w:val="009573A9"/>
    <w:rsid w:val="00957EFE"/>
    <w:rsid w:val="0096078C"/>
    <w:rsid w:val="00960873"/>
    <w:rsid w:val="0096088A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06B8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1E02"/>
    <w:rsid w:val="009B2E78"/>
    <w:rsid w:val="009B33E2"/>
    <w:rsid w:val="009B377D"/>
    <w:rsid w:val="009B3B61"/>
    <w:rsid w:val="009B517B"/>
    <w:rsid w:val="009B5A30"/>
    <w:rsid w:val="009B5E48"/>
    <w:rsid w:val="009B6B7B"/>
    <w:rsid w:val="009C1A33"/>
    <w:rsid w:val="009C289C"/>
    <w:rsid w:val="009C3B05"/>
    <w:rsid w:val="009C3CF4"/>
    <w:rsid w:val="009C4AF9"/>
    <w:rsid w:val="009C6054"/>
    <w:rsid w:val="009C6F1C"/>
    <w:rsid w:val="009C76E8"/>
    <w:rsid w:val="009C7AD5"/>
    <w:rsid w:val="009D082E"/>
    <w:rsid w:val="009D10E7"/>
    <w:rsid w:val="009D19AB"/>
    <w:rsid w:val="009D20E2"/>
    <w:rsid w:val="009D2574"/>
    <w:rsid w:val="009D2840"/>
    <w:rsid w:val="009D374B"/>
    <w:rsid w:val="009D4A53"/>
    <w:rsid w:val="009D5920"/>
    <w:rsid w:val="009D5D2D"/>
    <w:rsid w:val="009D6128"/>
    <w:rsid w:val="009D6610"/>
    <w:rsid w:val="009D762B"/>
    <w:rsid w:val="009E0C6E"/>
    <w:rsid w:val="009E3B6D"/>
    <w:rsid w:val="009E4060"/>
    <w:rsid w:val="009E5917"/>
    <w:rsid w:val="009E5AAA"/>
    <w:rsid w:val="009E71FA"/>
    <w:rsid w:val="009F014C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017"/>
    <w:rsid w:val="00A55944"/>
    <w:rsid w:val="00A57111"/>
    <w:rsid w:val="00A579BA"/>
    <w:rsid w:val="00A60673"/>
    <w:rsid w:val="00A61686"/>
    <w:rsid w:val="00A61E8A"/>
    <w:rsid w:val="00A62014"/>
    <w:rsid w:val="00A623D7"/>
    <w:rsid w:val="00A62ECC"/>
    <w:rsid w:val="00A62F71"/>
    <w:rsid w:val="00A6441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749"/>
    <w:rsid w:val="00A74A19"/>
    <w:rsid w:val="00A75A73"/>
    <w:rsid w:val="00A77266"/>
    <w:rsid w:val="00A77F67"/>
    <w:rsid w:val="00A826AD"/>
    <w:rsid w:val="00A84143"/>
    <w:rsid w:val="00A842C5"/>
    <w:rsid w:val="00A8449B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102D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18FF"/>
    <w:rsid w:val="00AA237B"/>
    <w:rsid w:val="00AA2521"/>
    <w:rsid w:val="00AA29DB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17E0"/>
    <w:rsid w:val="00AB7CCB"/>
    <w:rsid w:val="00AC03EE"/>
    <w:rsid w:val="00AC0CC1"/>
    <w:rsid w:val="00AC11AB"/>
    <w:rsid w:val="00AC1D0A"/>
    <w:rsid w:val="00AC3F9A"/>
    <w:rsid w:val="00AC4B7B"/>
    <w:rsid w:val="00AC5333"/>
    <w:rsid w:val="00AC56D9"/>
    <w:rsid w:val="00AC5F0C"/>
    <w:rsid w:val="00AC60F0"/>
    <w:rsid w:val="00AC65E1"/>
    <w:rsid w:val="00AC6E61"/>
    <w:rsid w:val="00AC76D2"/>
    <w:rsid w:val="00AD0E48"/>
    <w:rsid w:val="00AD0E75"/>
    <w:rsid w:val="00AD312E"/>
    <w:rsid w:val="00AD32DE"/>
    <w:rsid w:val="00AD3671"/>
    <w:rsid w:val="00AD44C5"/>
    <w:rsid w:val="00AD48A7"/>
    <w:rsid w:val="00AD4975"/>
    <w:rsid w:val="00AD68AC"/>
    <w:rsid w:val="00AD7C78"/>
    <w:rsid w:val="00AD7EE0"/>
    <w:rsid w:val="00AE0128"/>
    <w:rsid w:val="00AE0DA2"/>
    <w:rsid w:val="00AE3EC9"/>
    <w:rsid w:val="00AE42A5"/>
    <w:rsid w:val="00AE4B44"/>
    <w:rsid w:val="00AE60B2"/>
    <w:rsid w:val="00AE65F9"/>
    <w:rsid w:val="00AE6BB6"/>
    <w:rsid w:val="00AF007E"/>
    <w:rsid w:val="00AF01EA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B00362"/>
    <w:rsid w:val="00B004B8"/>
    <w:rsid w:val="00B009D8"/>
    <w:rsid w:val="00B01A85"/>
    <w:rsid w:val="00B01E91"/>
    <w:rsid w:val="00B02089"/>
    <w:rsid w:val="00B046FE"/>
    <w:rsid w:val="00B0486B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14E"/>
    <w:rsid w:val="00B4636C"/>
    <w:rsid w:val="00B466DA"/>
    <w:rsid w:val="00B47085"/>
    <w:rsid w:val="00B47407"/>
    <w:rsid w:val="00B47966"/>
    <w:rsid w:val="00B50CB1"/>
    <w:rsid w:val="00B512C5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3F6C"/>
    <w:rsid w:val="00B6403B"/>
    <w:rsid w:val="00B648A8"/>
    <w:rsid w:val="00B64927"/>
    <w:rsid w:val="00B656BE"/>
    <w:rsid w:val="00B65765"/>
    <w:rsid w:val="00B65D35"/>
    <w:rsid w:val="00B66B5F"/>
    <w:rsid w:val="00B677A8"/>
    <w:rsid w:val="00B70729"/>
    <w:rsid w:val="00B70748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0157"/>
    <w:rsid w:val="00B910C2"/>
    <w:rsid w:val="00B92652"/>
    <w:rsid w:val="00B92845"/>
    <w:rsid w:val="00B94B53"/>
    <w:rsid w:val="00B94BC5"/>
    <w:rsid w:val="00B950EA"/>
    <w:rsid w:val="00B951FA"/>
    <w:rsid w:val="00B96705"/>
    <w:rsid w:val="00B972BA"/>
    <w:rsid w:val="00BA0402"/>
    <w:rsid w:val="00BA0C9D"/>
    <w:rsid w:val="00BA2786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C7A57"/>
    <w:rsid w:val="00BD0C91"/>
    <w:rsid w:val="00BD0E15"/>
    <w:rsid w:val="00BD0F81"/>
    <w:rsid w:val="00BD101D"/>
    <w:rsid w:val="00BD54BE"/>
    <w:rsid w:val="00BD5EE0"/>
    <w:rsid w:val="00BD667B"/>
    <w:rsid w:val="00BD68D0"/>
    <w:rsid w:val="00BD6D20"/>
    <w:rsid w:val="00BD6E48"/>
    <w:rsid w:val="00BE1C32"/>
    <w:rsid w:val="00BE2041"/>
    <w:rsid w:val="00BE2737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5B2"/>
    <w:rsid w:val="00C15AFE"/>
    <w:rsid w:val="00C15CFF"/>
    <w:rsid w:val="00C164C1"/>
    <w:rsid w:val="00C165B1"/>
    <w:rsid w:val="00C168B9"/>
    <w:rsid w:val="00C16AF9"/>
    <w:rsid w:val="00C172F2"/>
    <w:rsid w:val="00C17D81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471E"/>
    <w:rsid w:val="00C3568E"/>
    <w:rsid w:val="00C356BA"/>
    <w:rsid w:val="00C36C4F"/>
    <w:rsid w:val="00C404A6"/>
    <w:rsid w:val="00C41B31"/>
    <w:rsid w:val="00C43526"/>
    <w:rsid w:val="00C43624"/>
    <w:rsid w:val="00C43EFB"/>
    <w:rsid w:val="00C44C0F"/>
    <w:rsid w:val="00C450D9"/>
    <w:rsid w:val="00C46194"/>
    <w:rsid w:val="00C466DF"/>
    <w:rsid w:val="00C5271E"/>
    <w:rsid w:val="00C52D21"/>
    <w:rsid w:val="00C52F78"/>
    <w:rsid w:val="00C531B0"/>
    <w:rsid w:val="00C5390C"/>
    <w:rsid w:val="00C53B86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1A25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0110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6D97"/>
    <w:rsid w:val="00CB2421"/>
    <w:rsid w:val="00CB2520"/>
    <w:rsid w:val="00CB275D"/>
    <w:rsid w:val="00CB2AA8"/>
    <w:rsid w:val="00CB2B1E"/>
    <w:rsid w:val="00CB2F59"/>
    <w:rsid w:val="00CB3560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0FA5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7045"/>
    <w:rsid w:val="00CE747D"/>
    <w:rsid w:val="00CF0989"/>
    <w:rsid w:val="00CF175B"/>
    <w:rsid w:val="00CF1C12"/>
    <w:rsid w:val="00CF1CA8"/>
    <w:rsid w:val="00CF26E8"/>
    <w:rsid w:val="00CF36C7"/>
    <w:rsid w:val="00CF4E4A"/>
    <w:rsid w:val="00CF53F3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14A3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90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49F"/>
    <w:rsid w:val="00D407C9"/>
    <w:rsid w:val="00D40E5C"/>
    <w:rsid w:val="00D42AC1"/>
    <w:rsid w:val="00D43721"/>
    <w:rsid w:val="00D45DD8"/>
    <w:rsid w:val="00D50C77"/>
    <w:rsid w:val="00D50E7E"/>
    <w:rsid w:val="00D515CA"/>
    <w:rsid w:val="00D53630"/>
    <w:rsid w:val="00D549FA"/>
    <w:rsid w:val="00D55123"/>
    <w:rsid w:val="00D57797"/>
    <w:rsid w:val="00D601D8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1851"/>
    <w:rsid w:val="00D72348"/>
    <w:rsid w:val="00D7247B"/>
    <w:rsid w:val="00D72599"/>
    <w:rsid w:val="00D72D89"/>
    <w:rsid w:val="00D73F2B"/>
    <w:rsid w:val="00D741A9"/>
    <w:rsid w:val="00D743D6"/>
    <w:rsid w:val="00D75338"/>
    <w:rsid w:val="00D756F3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908C9"/>
    <w:rsid w:val="00D917D8"/>
    <w:rsid w:val="00D92276"/>
    <w:rsid w:val="00D92F97"/>
    <w:rsid w:val="00D936DC"/>
    <w:rsid w:val="00D93775"/>
    <w:rsid w:val="00D93EBC"/>
    <w:rsid w:val="00D94220"/>
    <w:rsid w:val="00D953C0"/>
    <w:rsid w:val="00D96307"/>
    <w:rsid w:val="00D967E4"/>
    <w:rsid w:val="00D97854"/>
    <w:rsid w:val="00D97F55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A6A"/>
    <w:rsid w:val="00DB369E"/>
    <w:rsid w:val="00DB398F"/>
    <w:rsid w:val="00DB3C6D"/>
    <w:rsid w:val="00DB3EEA"/>
    <w:rsid w:val="00DB4361"/>
    <w:rsid w:val="00DB43E5"/>
    <w:rsid w:val="00DB48EE"/>
    <w:rsid w:val="00DB4D7F"/>
    <w:rsid w:val="00DB5103"/>
    <w:rsid w:val="00DB5DA2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491A"/>
    <w:rsid w:val="00DE5C1C"/>
    <w:rsid w:val="00DE5C55"/>
    <w:rsid w:val="00DF07BD"/>
    <w:rsid w:val="00DF1247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17E81"/>
    <w:rsid w:val="00E215A2"/>
    <w:rsid w:val="00E231FC"/>
    <w:rsid w:val="00E24703"/>
    <w:rsid w:val="00E24D54"/>
    <w:rsid w:val="00E24ED2"/>
    <w:rsid w:val="00E25ED2"/>
    <w:rsid w:val="00E2687A"/>
    <w:rsid w:val="00E26E35"/>
    <w:rsid w:val="00E3109B"/>
    <w:rsid w:val="00E31FC9"/>
    <w:rsid w:val="00E332EC"/>
    <w:rsid w:val="00E3341C"/>
    <w:rsid w:val="00E33792"/>
    <w:rsid w:val="00E33BBC"/>
    <w:rsid w:val="00E33D3B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0F9D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0DF5"/>
    <w:rsid w:val="00E612B4"/>
    <w:rsid w:val="00E62675"/>
    <w:rsid w:val="00E63370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49F4"/>
    <w:rsid w:val="00E77196"/>
    <w:rsid w:val="00E776EB"/>
    <w:rsid w:val="00E7796D"/>
    <w:rsid w:val="00E80122"/>
    <w:rsid w:val="00E80FBA"/>
    <w:rsid w:val="00E81432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6E16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D94"/>
    <w:rsid w:val="00EB5FBB"/>
    <w:rsid w:val="00EC38E0"/>
    <w:rsid w:val="00EC5377"/>
    <w:rsid w:val="00EC5E19"/>
    <w:rsid w:val="00EC61A5"/>
    <w:rsid w:val="00EC7093"/>
    <w:rsid w:val="00EC742C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4D1A"/>
    <w:rsid w:val="00EF53EA"/>
    <w:rsid w:val="00EF60BB"/>
    <w:rsid w:val="00EF6910"/>
    <w:rsid w:val="00EF7D35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3F72"/>
    <w:rsid w:val="00F26B6B"/>
    <w:rsid w:val="00F276CF"/>
    <w:rsid w:val="00F276DE"/>
    <w:rsid w:val="00F31355"/>
    <w:rsid w:val="00F31C41"/>
    <w:rsid w:val="00F33B85"/>
    <w:rsid w:val="00F3572E"/>
    <w:rsid w:val="00F359C6"/>
    <w:rsid w:val="00F36442"/>
    <w:rsid w:val="00F36846"/>
    <w:rsid w:val="00F3699A"/>
    <w:rsid w:val="00F37C5F"/>
    <w:rsid w:val="00F404F7"/>
    <w:rsid w:val="00F409D7"/>
    <w:rsid w:val="00F40FB0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12"/>
    <w:rsid w:val="00F536FA"/>
    <w:rsid w:val="00F554EE"/>
    <w:rsid w:val="00F559C3"/>
    <w:rsid w:val="00F56C5B"/>
    <w:rsid w:val="00F57248"/>
    <w:rsid w:val="00F61295"/>
    <w:rsid w:val="00F613DF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88B"/>
    <w:rsid w:val="00F81E33"/>
    <w:rsid w:val="00F84078"/>
    <w:rsid w:val="00F84D2A"/>
    <w:rsid w:val="00F8760D"/>
    <w:rsid w:val="00F90BAD"/>
    <w:rsid w:val="00F90C9C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5FBC"/>
    <w:rsid w:val="00FB6530"/>
    <w:rsid w:val="00FB67F7"/>
    <w:rsid w:val="00FB7BE9"/>
    <w:rsid w:val="00FB7C1B"/>
    <w:rsid w:val="00FC005E"/>
    <w:rsid w:val="00FC1D97"/>
    <w:rsid w:val="00FC278E"/>
    <w:rsid w:val="00FC32E4"/>
    <w:rsid w:val="00FC3806"/>
    <w:rsid w:val="00FC3E7A"/>
    <w:rsid w:val="00FC4417"/>
    <w:rsid w:val="00FC4985"/>
    <w:rsid w:val="00FC5BDD"/>
    <w:rsid w:val="00FC607A"/>
    <w:rsid w:val="00FC63D9"/>
    <w:rsid w:val="00FC7BE9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EB1"/>
    <w:rsid w:val="00FE69AA"/>
    <w:rsid w:val="00FE7489"/>
    <w:rsid w:val="00FF0240"/>
    <w:rsid w:val="00FF0C2A"/>
    <w:rsid w:val="00FF1633"/>
    <w:rsid w:val="00FF1F50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0B8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qFormat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link w:val="FootnotesymbolCarZchn"/>
    <w:uiPriority w:val="99"/>
    <w:unhideWhenUsed/>
    <w:qFormat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32E4"/>
    <w:rPr>
      <w:lang w:val="pl-PL" w:eastAsia="en-US"/>
    </w:rPr>
  </w:style>
  <w:style w:type="paragraph" w:customStyle="1" w:styleId="FootnotesymbolCarZchn">
    <w:name w:val="Footnote symbol Car Zchn"/>
    <w:basedOn w:val="Normalny"/>
    <w:link w:val="Odwoanieprzypisudolnego"/>
    <w:uiPriority w:val="99"/>
    <w:qFormat/>
    <w:rsid w:val="007E178B"/>
    <w:pPr>
      <w:spacing w:after="160" w:line="240" w:lineRule="exact"/>
      <w:jc w:val="both"/>
    </w:pPr>
    <w:rPr>
      <w:sz w:val="20"/>
      <w:szCs w:val="20"/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26</Pages>
  <Words>5689</Words>
  <Characters>34137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134</cp:revision>
  <cp:lastPrinted>2023-07-25T08:15:00Z</cp:lastPrinted>
  <dcterms:created xsi:type="dcterms:W3CDTF">2024-01-09T12:58:00Z</dcterms:created>
  <dcterms:modified xsi:type="dcterms:W3CDTF">2024-03-25T13:20:00Z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