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2B32F743">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44B46078" w14:textId="13E06222" w:rsidR="005842A3" w:rsidRPr="005842A3" w:rsidRDefault="005842A3">
          <w:pPr>
            <w:pStyle w:val="Spistreci1"/>
            <w:tabs>
              <w:tab w:val="right" w:leader="dot" w:pos="9062"/>
            </w:tabs>
            <w:rPr>
              <w:rFonts w:ascii="Arial" w:hAnsi="Arial" w:cs="Arial"/>
              <w:noProof/>
              <w:sz w:val="24"/>
              <w:szCs w:val="24"/>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35215250" w:history="1">
            <w:r w:rsidRPr="005842A3">
              <w:rPr>
                <w:rStyle w:val="Hipercze"/>
                <w:rFonts w:ascii="Arial" w:eastAsia="Times New Roman" w:hAnsi="Arial" w:cs="Arial"/>
                <w:noProof/>
                <w:sz w:val="24"/>
                <w:szCs w:val="24"/>
                <w:lang w:eastAsia="pl-PL"/>
              </w:rPr>
              <w:t>Wprowadzenie</w:t>
            </w:r>
            <w:r w:rsidRPr="005842A3">
              <w:rPr>
                <w:rFonts w:ascii="Arial" w:hAnsi="Arial" w:cs="Arial"/>
                <w:noProof/>
                <w:webHidden/>
                <w:sz w:val="24"/>
                <w:szCs w:val="24"/>
              </w:rPr>
              <w:tab/>
            </w:r>
            <w:r w:rsidRPr="005842A3">
              <w:rPr>
                <w:rFonts w:ascii="Arial" w:hAnsi="Arial" w:cs="Arial"/>
                <w:noProof/>
                <w:webHidden/>
                <w:sz w:val="24"/>
                <w:szCs w:val="24"/>
              </w:rPr>
              <w:fldChar w:fldCharType="begin"/>
            </w:r>
            <w:r w:rsidRPr="005842A3">
              <w:rPr>
                <w:rFonts w:ascii="Arial" w:hAnsi="Arial" w:cs="Arial"/>
                <w:noProof/>
                <w:webHidden/>
                <w:sz w:val="24"/>
                <w:szCs w:val="24"/>
              </w:rPr>
              <w:instrText xml:space="preserve"> PAGEREF _Toc135215250 \h </w:instrText>
            </w:r>
            <w:r w:rsidRPr="005842A3">
              <w:rPr>
                <w:rFonts w:ascii="Arial" w:hAnsi="Arial" w:cs="Arial"/>
                <w:noProof/>
                <w:webHidden/>
                <w:sz w:val="24"/>
                <w:szCs w:val="24"/>
              </w:rPr>
            </w:r>
            <w:r w:rsidRPr="005842A3">
              <w:rPr>
                <w:rFonts w:ascii="Arial" w:hAnsi="Arial" w:cs="Arial"/>
                <w:noProof/>
                <w:webHidden/>
                <w:sz w:val="24"/>
                <w:szCs w:val="24"/>
              </w:rPr>
              <w:fldChar w:fldCharType="separate"/>
            </w:r>
            <w:r w:rsidR="009D1C0A">
              <w:rPr>
                <w:rFonts w:ascii="Arial" w:hAnsi="Arial" w:cs="Arial"/>
                <w:noProof/>
                <w:webHidden/>
                <w:sz w:val="24"/>
                <w:szCs w:val="24"/>
              </w:rPr>
              <w:t>3</w:t>
            </w:r>
            <w:r w:rsidRPr="005842A3">
              <w:rPr>
                <w:rFonts w:ascii="Arial" w:hAnsi="Arial" w:cs="Arial"/>
                <w:noProof/>
                <w:webHidden/>
                <w:sz w:val="24"/>
                <w:szCs w:val="24"/>
              </w:rPr>
              <w:fldChar w:fldCharType="end"/>
            </w:r>
          </w:hyperlink>
        </w:p>
        <w:p w14:paraId="56E5A612" w14:textId="4C52FD42" w:rsidR="005842A3" w:rsidRPr="005842A3" w:rsidRDefault="00BC7382">
          <w:pPr>
            <w:pStyle w:val="Spistreci1"/>
            <w:tabs>
              <w:tab w:val="right" w:leader="dot" w:pos="9062"/>
            </w:tabs>
            <w:rPr>
              <w:rFonts w:ascii="Arial" w:hAnsi="Arial" w:cs="Arial"/>
              <w:noProof/>
              <w:sz w:val="24"/>
              <w:szCs w:val="24"/>
            </w:rPr>
          </w:pPr>
          <w:hyperlink w:anchor="_Toc135215251" w:history="1">
            <w:r w:rsidR="005842A3" w:rsidRPr="005842A3">
              <w:rPr>
                <w:rStyle w:val="Hipercze"/>
                <w:rFonts w:ascii="Arial" w:eastAsia="Times New Roman" w:hAnsi="Arial" w:cs="Arial"/>
                <w:noProof/>
                <w:sz w:val="24"/>
                <w:szCs w:val="24"/>
                <w:lang w:eastAsia="pl-PL"/>
              </w:rPr>
              <w:t>Struktura Studium wykonalności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_Toc135215251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4320EF82" w14:textId="469F7AE9" w:rsidR="005842A3" w:rsidRPr="005842A3" w:rsidRDefault="00BC7382">
          <w:pPr>
            <w:pStyle w:val="Spistreci1"/>
            <w:tabs>
              <w:tab w:val="right" w:leader="dot" w:pos="9062"/>
            </w:tabs>
            <w:rPr>
              <w:rFonts w:ascii="Arial" w:hAnsi="Arial" w:cs="Arial"/>
              <w:noProof/>
              <w:sz w:val="24"/>
              <w:szCs w:val="24"/>
            </w:rPr>
          </w:pPr>
          <w:hyperlink w:anchor="_Toc135215252" w:history="1">
            <w:r w:rsidR="005842A3" w:rsidRPr="005842A3">
              <w:rPr>
                <w:rStyle w:val="Hipercze"/>
                <w:rFonts w:ascii="Arial" w:eastAsia="Times New Roman" w:hAnsi="Arial" w:cs="Arial"/>
                <w:noProof/>
                <w:sz w:val="24"/>
                <w:szCs w:val="24"/>
                <w:lang w:eastAsia="pl-PL"/>
              </w:rPr>
              <w:t>Definicja celów projektu</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_Toc135215252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61912870" w14:textId="47423715" w:rsidR="005842A3" w:rsidRPr="005842A3" w:rsidRDefault="00BC7382">
          <w:pPr>
            <w:pStyle w:val="Spistreci1"/>
            <w:tabs>
              <w:tab w:val="right" w:leader="dot" w:pos="9062"/>
            </w:tabs>
            <w:rPr>
              <w:rFonts w:ascii="Arial" w:hAnsi="Arial" w:cs="Arial"/>
              <w:noProof/>
              <w:sz w:val="24"/>
              <w:szCs w:val="24"/>
            </w:rPr>
          </w:pPr>
          <w:hyperlink w:anchor="_Toc135215253" w:history="1">
            <w:r w:rsidR="005842A3" w:rsidRPr="005842A3">
              <w:rPr>
                <w:rStyle w:val="Hipercze"/>
                <w:rFonts w:ascii="Arial" w:eastAsia="Times New Roman" w:hAnsi="Arial" w:cs="Arial"/>
                <w:noProof/>
                <w:sz w:val="24"/>
                <w:szCs w:val="24"/>
                <w:lang w:eastAsia="pl-PL"/>
              </w:rPr>
              <w:t>Identyfikacja projektu</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_Toc135215253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18C94534" w14:textId="2FC50F3B" w:rsidR="005842A3" w:rsidRPr="005842A3" w:rsidRDefault="00BC7382">
          <w:pPr>
            <w:pStyle w:val="Spistreci1"/>
            <w:tabs>
              <w:tab w:val="right" w:leader="dot" w:pos="9062"/>
            </w:tabs>
            <w:rPr>
              <w:rFonts w:ascii="Arial" w:hAnsi="Arial" w:cs="Arial"/>
              <w:noProof/>
              <w:sz w:val="24"/>
              <w:szCs w:val="24"/>
            </w:rPr>
          </w:pPr>
          <w:hyperlink w:anchor="_Toc135215254" w:history="1">
            <w:r w:rsidR="005842A3" w:rsidRPr="005842A3">
              <w:rPr>
                <w:rStyle w:val="Hipercze"/>
                <w:rFonts w:ascii="Arial" w:eastAsia="Times New Roman" w:hAnsi="Arial" w:cs="Arial"/>
                <w:noProof/>
                <w:sz w:val="24"/>
                <w:szCs w:val="24"/>
                <w:lang w:eastAsia="pl-PL"/>
              </w:rPr>
              <w:t>Analiza wykonalności, popytu i opcji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_Toc135215254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5</w:t>
            </w:r>
            <w:r w:rsidR="005842A3" w:rsidRPr="005842A3">
              <w:rPr>
                <w:rFonts w:ascii="Arial" w:hAnsi="Arial" w:cs="Arial"/>
                <w:noProof/>
                <w:webHidden/>
                <w:sz w:val="24"/>
                <w:szCs w:val="24"/>
              </w:rPr>
              <w:fldChar w:fldCharType="end"/>
            </w:r>
          </w:hyperlink>
        </w:p>
        <w:p w14:paraId="7C70A0AC" w14:textId="5721B916" w:rsidR="005842A3" w:rsidRPr="005842A3" w:rsidRDefault="00BC7382">
          <w:pPr>
            <w:pStyle w:val="Spistreci1"/>
            <w:tabs>
              <w:tab w:val="right" w:leader="dot" w:pos="9062"/>
            </w:tabs>
            <w:rPr>
              <w:rFonts w:ascii="Arial" w:hAnsi="Arial" w:cs="Arial"/>
              <w:noProof/>
              <w:sz w:val="24"/>
              <w:szCs w:val="24"/>
            </w:rPr>
          </w:pPr>
          <w:hyperlink w:anchor="_Toc135215255" w:history="1">
            <w:r w:rsidR="005842A3" w:rsidRPr="005842A3">
              <w:rPr>
                <w:rStyle w:val="Hipercze"/>
                <w:rFonts w:ascii="Arial" w:eastAsia="Times New Roman" w:hAnsi="Arial" w:cs="Arial"/>
                <w:noProof/>
                <w:sz w:val="24"/>
                <w:szCs w:val="24"/>
                <w:lang w:eastAsia="pl-PL"/>
              </w:rPr>
              <w:t>Analiza oddziaływania na środowisko</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_Toc135215255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5</w:t>
            </w:r>
            <w:r w:rsidR="005842A3" w:rsidRPr="005842A3">
              <w:rPr>
                <w:rFonts w:ascii="Arial" w:hAnsi="Arial" w:cs="Arial"/>
                <w:noProof/>
                <w:webHidden/>
                <w:sz w:val="24"/>
                <w:szCs w:val="24"/>
              </w:rPr>
              <w:fldChar w:fldCharType="end"/>
            </w:r>
          </w:hyperlink>
        </w:p>
        <w:p w14:paraId="07D0DCF3" w14:textId="2D075E80" w:rsidR="005842A3" w:rsidRPr="005842A3" w:rsidRDefault="00BC7382">
          <w:pPr>
            <w:pStyle w:val="Spistreci1"/>
            <w:tabs>
              <w:tab w:val="right" w:leader="dot" w:pos="9062"/>
            </w:tabs>
            <w:rPr>
              <w:rFonts w:ascii="Arial" w:hAnsi="Arial" w:cs="Arial"/>
              <w:noProof/>
              <w:sz w:val="24"/>
              <w:szCs w:val="24"/>
            </w:rPr>
          </w:pPr>
          <w:hyperlink w:anchor="_Toc135215256" w:history="1">
            <w:r w:rsidR="005842A3" w:rsidRPr="005842A3">
              <w:rPr>
                <w:rStyle w:val="Hipercze"/>
                <w:rFonts w:ascii="Arial" w:eastAsia="Times New Roman" w:hAnsi="Arial" w:cs="Arial"/>
                <w:noProof/>
                <w:sz w:val="24"/>
                <w:szCs w:val="24"/>
                <w:lang w:eastAsia="pl-PL"/>
              </w:rPr>
              <w:t>Pomoc publiczna</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_Toc135215256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6</w:t>
            </w:r>
            <w:r w:rsidR="005842A3" w:rsidRPr="005842A3">
              <w:rPr>
                <w:rFonts w:ascii="Arial" w:hAnsi="Arial" w:cs="Arial"/>
                <w:noProof/>
                <w:webHidden/>
                <w:sz w:val="24"/>
                <w:szCs w:val="24"/>
              </w:rPr>
              <w:fldChar w:fldCharType="end"/>
            </w:r>
          </w:hyperlink>
        </w:p>
        <w:p w14:paraId="72B9107E" w14:textId="1FBA83B7" w:rsidR="005842A3" w:rsidRPr="005842A3" w:rsidRDefault="00BC7382">
          <w:pPr>
            <w:pStyle w:val="Spistreci1"/>
            <w:tabs>
              <w:tab w:val="right" w:leader="dot" w:pos="9062"/>
            </w:tabs>
            <w:rPr>
              <w:rFonts w:ascii="Arial" w:hAnsi="Arial" w:cs="Arial"/>
              <w:noProof/>
              <w:sz w:val="24"/>
              <w:szCs w:val="24"/>
            </w:rPr>
          </w:pPr>
          <w:hyperlink w:anchor="_Toc135215257" w:history="1">
            <w:r w:rsidR="005842A3" w:rsidRPr="005842A3">
              <w:rPr>
                <w:rStyle w:val="Hipercze"/>
                <w:rFonts w:ascii="Arial" w:eastAsia="Times New Roman" w:hAnsi="Arial" w:cs="Arial"/>
                <w:noProof/>
                <w:sz w:val="24"/>
                <w:szCs w:val="24"/>
                <w:lang w:eastAsia="pl-PL"/>
              </w:rPr>
              <w:t>Analiza finansowa</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_Toc135215257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8</w:t>
            </w:r>
            <w:r w:rsidR="005842A3" w:rsidRPr="005842A3">
              <w:rPr>
                <w:rFonts w:ascii="Arial" w:hAnsi="Arial" w:cs="Arial"/>
                <w:noProof/>
                <w:webHidden/>
                <w:sz w:val="24"/>
                <w:szCs w:val="24"/>
              </w:rPr>
              <w:fldChar w:fldCharType="end"/>
            </w:r>
          </w:hyperlink>
        </w:p>
        <w:p w14:paraId="40BAB725" w14:textId="4B99EC38" w:rsidR="005842A3" w:rsidRPr="005842A3" w:rsidRDefault="00BC7382">
          <w:pPr>
            <w:pStyle w:val="Spistreci1"/>
            <w:tabs>
              <w:tab w:val="right" w:leader="dot" w:pos="9062"/>
            </w:tabs>
            <w:rPr>
              <w:rFonts w:ascii="Arial" w:hAnsi="Arial" w:cs="Arial"/>
              <w:noProof/>
              <w:sz w:val="24"/>
              <w:szCs w:val="24"/>
            </w:rPr>
          </w:pPr>
          <w:hyperlink w:anchor="_Toc135215258" w:history="1">
            <w:r w:rsidR="005842A3" w:rsidRPr="005842A3">
              <w:rPr>
                <w:rStyle w:val="Hipercze"/>
                <w:rFonts w:ascii="Arial" w:eastAsia="Times New Roman" w:hAnsi="Arial" w:cs="Arial"/>
                <w:noProof/>
                <w:sz w:val="24"/>
                <w:szCs w:val="24"/>
                <w:lang w:eastAsia="pl-PL"/>
              </w:rPr>
              <w:t>Analiza kosztów i korzyści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_Toc135215258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12</w:t>
            </w:r>
            <w:r w:rsidR="005842A3" w:rsidRPr="005842A3">
              <w:rPr>
                <w:rFonts w:ascii="Arial" w:hAnsi="Arial" w:cs="Arial"/>
                <w:noProof/>
                <w:webHidden/>
                <w:sz w:val="24"/>
                <w:szCs w:val="24"/>
              </w:rPr>
              <w:fldChar w:fldCharType="end"/>
            </w:r>
          </w:hyperlink>
        </w:p>
        <w:p w14:paraId="5610EC91" w14:textId="2E93D209" w:rsidR="005842A3" w:rsidRPr="005842A3" w:rsidRDefault="00BC7382">
          <w:pPr>
            <w:pStyle w:val="Spistreci1"/>
            <w:tabs>
              <w:tab w:val="right" w:leader="dot" w:pos="9062"/>
            </w:tabs>
            <w:rPr>
              <w:rFonts w:ascii="Arial" w:hAnsi="Arial" w:cs="Arial"/>
              <w:noProof/>
              <w:sz w:val="24"/>
              <w:szCs w:val="24"/>
            </w:rPr>
          </w:pPr>
          <w:hyperlink w:anchor="_Toc135215259" w:history="1">
            <w:r w:rsidR="005842A3" w:rsidRPr="005842A3">
              <w:rPr>
                <w:rStyle w:val="Hipercze"/>
                <w:rFonts w:ascii="Arial" w:eastAsia="Times New Roman" w:hAnsi="Arial" w:cs="Arial"/>
                <w:noProof/>
                <w:sz w:val="24"/>
                <w:szCs w:val="24"/>
                <w:lang w:eastAsia="pl-PL"/>
              </w:rPr>
              <w:t>Analiza ryzyka i wrażliwości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_Toc135215259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13</w:t>
            </w:r>
            <w:r w:rsidR="005842A3" w:rsidRPr="005842A3">
              <w:rPr>
                <w:rFonts w:ascii="Arial" w:hAnsi="Arial" w:cs="Arial"/>
                <w:noProof/>
                <w:webHidden/>
                <w:sz w:val="24"/>
                <w:szCs w:val="24"/>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bookmarkStart w:id="0" w:name="_GoBack"/>
      <w:bookmarkEnd w:id="0"/>
    </w:p>
    <w:p w14:paraId="058C2086" w14:textId="26E6527B" w:rsidR="00FA3D56" w:rsidRPr="00772C17" w:rsidRDefault="00FA3D56" w:rsidP="00772C17">
      <w:pPr>
        <w:pStyle w:val="Nagwek1"/>
        <w:rPr>
          <w:rFonts w:ascii="Arial" w:eastAsia="Times New Roman" w:hAnsi="Arial" w:cs="Arial"/>
          <w:lang w:eastAsia="pl-PL"/>
        </w:rPr>
      </w:pPr>
      <w:bookmarkStart w:id="1" w:name="_Toc135215250"/>
      <w:r w:rsidRPr="00772C17">
        <w:rPr>
          <w:rFonts w:ascii="Arial" w:eastAsia="Times New Roman" w:hAnsi="Arial" w:cs="Arial"/>
          <w:lang w:eastAsia="pl-PL"/>
        </w:rPr>
        <w:lastRenderedPageBreak/>
        <w:t>Wprowadzenie</w:t>
      </w:r>
      <w:bookmarkEnd w:id="1"/>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r w:rsidRPr="00E03469">
        <w:rPr>
          <w:rFonts w:ascii="Arial" w:eastAsia="Times New Roman" w:hAnsi="Arial" w:cs="Arial"/>
          <w:sz w:val="24"/>
          <w:szCs w:val="24"/>
          <w:lang w:eastAsia="pl-PL"/>
        </w:rPr>
        <w:t>MFiPR/2021-2027/15(1)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2" w:name="_Toc135215251"/>
      <w:r w:rsidRPr="00772C17">
        <w:rPr>
          <w:rFonts w:ascii="Arial" w:eastAsia="Times New Roman" w:hAnsi="Arial" w:cs="Arial"/>
          <w:lang w:eastAsia="pl-PL"/>
        </w:rPr>
        <w:lastRenderedPageBreak/>
        <w:t>Struktura Studium wykonalności</w:t>
      </w:r>
      <w:bookmarkEnd w:id="2"/>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3"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3"/>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4" w:name="_Toc135215252"/>
      <w:r w:rsidRPr="00772C17">
        <w:rPr>
          <w:rFonts w:ascii="Arial" w:eastAsia="Times New Roman" w:hAnsi="Arial" w:cs="Arial"/>
          <w:lang w:eastAsia="pl-PL"/>
        </w:rPr>
        <w:t>Definicja celów projektu</w:t>
      </w:r>
      <w:bookmarkEnd w:id="4"/>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5"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6" w:name="_Toc135215253"/>
      <w:r w:rsidRPr="00772C17">
        <w:rPr>
          <w:rFonts w:ascii="Arial" w:eastAsia="Times New Roman" w:hAnsi="Arial" w:cs="Arial"/>
          <w:lang w:eastAsia="pl-PL"/>
        </w:rPr>
        <w:t>Identyfikacja projektu</w:t>
      </w:r>
      <w:bookmarkEnd w:id="6"/>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5"/>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7" w:name="_Toc135215254"/>
      <w:r w:rsidRPr="00772C17">
        <w:rPr>
          <w:rFonts w:ascii="Arial" w:eastAsia="Times New Roman" w:hAnsi="Arial" w:cs="Arial"/>
          <w:lang w:eastAsia="pl-PL"/>
        </w:rPr>
        <w:t>Analiza wykonalności, popytu i opcji</w:t>
      </w:r>
      <w:bookmarkEnd w:id="7"/>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8" w:name="_Toc135215255"/>
      <w:r w:rsidRPr="00772C17">
        <w:rPr>
          <w:rFonts w:ascii="Arial" w:eastAsia="Times New Roman" w:hAnsi="Arial" w:cs="Arial"/>
          <w:lang w:eastAsia="pl-PL"/>
        </w:rPr>
        <w:t>Analiza oddziaływania na środowisko</w:t>
      </w:r>
      <w:bookmarkEnd w:id="8"/>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Do No Significant Harm)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7EB9E2A0" w14:textId="63339F79" w:rsidR="00FA3D56" w:rsidRPr="00772C17" w:rsidRDefault="00FA3D56" w:rsidP="00772C17">
      <w:pPr>
        <w:pStyle w:val="Nagwek1"/>
        <w:rPr>
          <w:rFonts w:ascii="Arial" w:eastAsia="Times New Roman" w:hAnsi="Arial" w:cs="Arial"/>
          <w:lang w:eastAsia="pl-PL"/>
        </w:rPr>
      </w:pPr>
      <w:bookmarkStart w:id="9" w:name="_Toc135215256"/>
      <w:r w:rsidRPr="00772C17">
        <w:rPr>
          <w:rFonts w:ascii="Arial" w:eastAsia="Times New Roman" w:hAnsi="Arial" w:cs="Arial"/>
          <w:lang w:eastAsia="pl-PL"/>
        </w:rPr>
        <w:t>Pomoc publiczna</w:t>
      </w:r>
      <w:bookmarkEnd w:id="9"/>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lastRenderedPageBreak/>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0"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0"/>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1" w:name="_Toc135215257"/>
      <w:r w:rsidRPr="00772C17">
        <w:rPr>
          <w:rFonts w:ascii="Arial" w:eastAsia="Times New Roman" w:hAnsi="Arial" w:cs="Arial"/>
          <w:lang w:eastAsia="pl-PL"/>
        </w:rPr>
        <w:t>Analiza finansowa</w:t>
      </w:r>
      <w:bookmarkEnd w:id="11"/>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2" w:name="_Toc135215258"/>
      <w:r w:rsidRPr="00772C17">
        <w:rPr>
          <w:rFonts w:ascii="Arial" w:eastAsia="Times New Roman" w:hAnsi="Arial" w:cs="Arial"/>
          <w:lang w:eastAsia="pl-PL"/>
        </w:rPr>
        <w:t>Analiza kosztów i korzyści</w:t>
      </w:r>
      <w:bookmarkEnd w:id="12"/>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3" w:name="_Toc135215259"/>
      <w:r w:rsidRPr="00772C17">
        <w:rPr>
          <w:rFonts w:ascii="Arial" w:eastAsia="Times New Roman" w:hAnsi="Arial" w:cs="Arial"/>
          <w:lang w:eastAsia="pl-PL"/>
        </w:rPr>
        <w:lastRenderedPageBreak/>
        <w:t>Analiza ryzyka i wrażliwości</w:t>
      </w:r>
      <w:bookmarkEnd w:id="13"/>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E1B51" w14:textId="77777777" w:rsidR="00BC7382" w:rsidRDefault="00BC7382" w:rsidP="006D08C8">
      <w:pPr>
        <w:spacing w:after="0" w:line="240" w:lineRule="auto"/>
      </w:pPr>
      <w:r>
        <w:separator/>
      </w:r>
    </w:p>
  </w:endnote>
  <w:endnote w:type="continuationSeparator" w:id="0">
    <w:p w14:paraId="5B763208" w14:textId="77777777" w:rsidR="00BC7382" w:rsidRDefault="00BC7382"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6438C018" w:rsidR="003B3CBC" w:rsidRDefault="003B3CBC">
        <w:pPr>
          <w:pStyle w:val="Stopka"/>
          <w:jc w:val="right"/>
        </w:pPr>
        <w:r>
          <w:fldChar w:fldCharType="begin"/>
        </w:r>
        <w:r>
          <w:instrText>PAGE   \* MERGEFORMAT</w:instrText>
        </w:r>
        <w:r>
          <w:fldChar w:fldCharType="separate"/>
        </w:r>
        <w:r w:rsidR="00BF4324">
          <w:rPr>
            <w:noProof/>
          </w:rP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DEFA" w14:textId="77777777" w:rsidR="00BC7382" w:rsidRDefault="00BC7382" w:rsidP="006D08C8">
      <w:pPr>
        <w:spacing w:after="0" w:line="240" w:lineRule="auto"/>
      </w:pPr>
      <w:r>
        <w:separator/>
      </w:r>
    </w:p>
  </w:footnote>
  <w:footnote w:type="continuationSeparator" w:id="0">
    <w:p w14:paraId="1B9927CC" w14:textId="77777777" w:rsidR="00BC7382" w:rsidRDefault="00BC7382"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7"/>
  </w:num>
  <w:num w:numId="2">
    <w:abstractNumId w:val="1"/>
  </w:num>
  <w:num w:numId="3">
    <w:abstractNumId w:val="7"/>
  </w:num>
  <w:num w:numId="4">
    <w:abstractNumId w:val="26"/>
  </w:num>
  <w:num w:numId="5">
    <w:abstractNumId w:val="28"/>
  </w:num>
  <w:num w:numId="6">
    <w:abstractNumId w:val="23"/>
  </w:num>
  <w:num w:numId="7">
    <w:abstractNumId w:val="18"/>
  </w:num>
  <w:num w:numId="8">
    <w:abstractNumId w:val="12"/>
  </w:num>
  <w:num w:numId="9">
    <w:abstractNumId w:val="8"/>
  </w:num>
  <w:num w:numId="10">
    <w:abstractNumId w:val="14"/>
  </w:num>
  <w:num w:numId="11">
    <w:abstractNumId w:val="3"/>
  </w:num>
  <w:num w:numId="12">
    <w:abstractNumId w:val="17"/>
  </w:num>
  <w:num w:numId="13">
    <w:abstractNumId w:val="6"/>
  </w:num>
  <w:num w:numId="14">
    <w:abstractNumId w:val="0"/>
  </w:num>
  <w:num w:numId="15">
    <w:abstractNumId w:val="9"/>
  </w:num>
  <w:num w:numId="16">
    <w:abstractNumId w:val="4"/>
  </w:num>
  <w:num w:numId="17">
    <w:abstractNumId w:val="2"/>
  </w:num>
  <w:num w:numId="18">
    <w:abstractNumId w:val="20"/>
  </w:num>
  <w:num w:numId="19">
    <w:abstractNumId w:val="21"/>
  </w:num>
  <w:num w:numId="20">
    <w:abstractNumId w:val="15"/>
  </w:num>
  <w:num w:numId="21">
    <w:abstractNumId w:val="25"/>
  </w:num>
  <w:num w:numId="22">
    <w:abstractNumId w:val="11"/>
  </w:num>
  <w:num w:numId="23">
    <w:abstractNumId w:val="22"/>
  </w:num>
  <w:num w:numId="24">
    <w:abstractNumId w:val="10"/>
  </w:num>
  <w:num w:numId="25">
    <w:abstractNumId w:val="5"/>
  </w:num>
  <w:num w:numId="26">
    <w:abstractNumId w:val="13"/>
  </w:num>
  <w:num w:numId="27">
    <w:abstractNumId w:val="24"/>
  </w:num>
  <w:num w:numId="28">
    <w:abstractNumId w:val="1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13716"/>
    <w:rsid w:val="0002374E"/>
    <w:rsid w:val="0003652D"/>
    <w:rsid w:val="00056A7D"/>
    <w:rsid w:val="00061842"/>
    <w:rsid w:val="000A67A7"/>
    <w:rsid w:val="000E77AB"/>
    <w:rsid w:val="00112708"/>
    <w:rsid w:val="001264D5"/>
    <w:rsid w:val="001428C9"/>
    <w:rsid w:val="00155EEB"/>
    <w:rsid w:val="001A1284"/>
    <w:rsid w:val="001B3782"/>
    <w:rsid w:val="001E7498"/>
    <w:rsid w:val="001F14C4"/>
    <w:rsid w:val="001F4CF0"/>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F23CC"/>
    <w:rsid w:val="003F7ADD"/>
    <w:rsid w:val="00434FF6"/>
    <w:rsid w:val="004B28FD"/>
    <w:rsid w:val="004C2FEF"/>
    <w:rsid w:val="004C68F7"/>
    <w:rsid w:val="004E17D4"/>
    <w:rsid w:val="0050559B"/>
    <w:rsid w:val="00526777"/>
    <w:rsid w:val="00540D8C"/>
    <w:rsid w:val="005837B5"/>
    <w:rsid w:val="005842A3"/>
    <w:rsid w:val="005921C5"/>
    <w:rsid w:val="005B7BB8"/>
    <w:rsid w:val="005C39AA"/>
    <w:rsid w:val="0061018E"/>
    <w:rsid w:val="006636B2"/>
    <w:rsid w:val="006B28FC"/>
    <w:rsid w:val="006D08C8"/>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73DC"/>
    <w:rsid w:val="008C32F1"/>
    <w:rsid w:val="00900581"/>
    <w:rsid w:val="00943E9A"/>
    <w:rsid w:val="00947457"/>
    <w:rsid w:val="00982D32"/>
    <w:rsid w:val="00985961"/>
    <w:rsid w:val="0099676E"/>
    <w:rsid w:val="009A0A47"/>
    <w:rsid w:val="009D1C0A"/>
    <w:rsid w:val="009E693A"/>
    <w:rsid w:val="009F2C14"/>
    <w:rsid w:val="00A34E12"/>
    <w:rsid w:val="00A66008"/>
    <w:rsid w:val="00A908A4"/>
    <w:rsid w:val="00A91F21"/>
    <w:rsid w:val="00A96F1F"/>
    <w:rsid w:val="00AB6CE3"/>
    <w:rsid w:val="00AD7BBB"/>
    <w:rsid w:val="00AE67A0"/>
    <w:rsid w:val="00AF5F28"/>
    <w:rsid w:val="00B04ADD"/>
    <w:rsid w:val="00B12E7F"/>
    <w:rsid w:val="00B46519"/>
    <w:rsid w:val="00B64A32"/>
    <w:rsid w:val="00BB58ED"/>
    <w:rsid w:val="00BC378C"/>
    <w:rsid w:val="00BC7382"/>
    <w:rsid w:val="00BE2F5D"/>
    <w:rsid w:val="00BF4324"/>
    <w:rsid w:val="00C3602B"/>
    <w:rsid w:val="00C84238"/>
    <w:rsid w:val="00C84B99"/>
    <w:rsid w:val="00C93658"/>
    <w:rsid w:val="00CB25F9"/>
    <w:rsid w:val="00CC19C3"/>
    <w:rsid w:val="00CC3445"/>
    <w:rsid w:val="00D0112F"/>
    <w:rsid w:val="00D11B51"/>
    <w:rsid w:val="00D26E48"/>
    <w:rsid w:val="00D41121"/>
    <w:rsid w:val="00D50973"/>
    <w:rsid w:val="00D50F79"/>
    <w:rsid w:val="00D7706B"/>
    <w:rsid w:val="00DD4A7B"/>
    <w:rsid w:val="00E03469"/>
    <w:rsid w:val="00E07A7F"/>
    <w:rsid w:val="00E10BBE"/>
    <w:rsid w:val="00E17553"/>
    <w:rsid w:val="00E177F6"/>
    <w:rsid w:val="00E45D29"/>
    <w:rsid w:val="00E52402"/>
    <w:rsid w:val="00E53BCC"/>
    <w:rsid w:val="00EA34BE"/>
    <w:rsid w:val="00EE1877"/>
    <w:rsid w:val="00EE601E"/>
    <w:rsid w:val="00EF788E"/>
    <w:rsid w:val="00F45471"/>
    <w:rsid w:val="00FA3D56"/>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E68DD-09F7-4201-8E9E-38094A1BC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2911</Words>
  <Characters>17469</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Arleta Tyma</cp:lastModifiedBy>
  <cp:revision>2</cp:revision>
  <cp:lastPrinted>2023-05-17T09:43:00Z</cp:lastPrinted>
  <dcterms:created xsi:type="dcterms:W3CDTF">2024-05-31T07:03:00Z</dcterms:created>
  <dcterms:modified xsi:type="dcterms:W3CDTF">2024-05-31T07:03:00Z</dcterms:modified>
</cp:coreProperties>
</file>