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E93DF" w14:textId="77777777" w:rsidR="003B0164" w:rsidRPr="003434C6" w:rsidRDefault="003B0164" w:rsidP="003434C6">
      <w:pPr>
        <w:pStyle w:val="Tytu"/>
        <w:spacing w:before="100" w:beforeAutospacing="1" w:after="100" w:afterAutospacing="1"/>
        <w:jc w:val="left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sz w:val="24"/>
          <w:szCs w:val="24"/>
        </w:rPr>
        <w:t>Kryteria wyboru projektów</w:t>
      </w:r>
    </w:p>
    <w:p w14:paraId="48FB8BC8" w14:textId="77777777" w:rsidR="003B0164" w:rsidRPr="003434C6" w:rsidRDefault="003B0164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b/>
          <w:bCs/>
          <w:sz w:val="24"/>
          <w:szCs w:val="24"/>
        </w:rPr>
        <w:t>Priorytet</w:t>
      </w:r>
      <w:r w:rsidRPr="003434C6">
        <w:rPr>
          <w:rFonts w:ascii="Arial" w:hAnsi="Arial" w:cs="Arial"/>
          <w:sz w:val="24"/>
          <w:szCs w:val="24"/>
        </w:rPr>
        <w:t xml:space="preserve"> </w:t>
      </w:r>
      <w:r w:rsidR="00285391" w:rsidRPr="003434C6">
        <w:rPr>
          <w:rFonts w:ascii="Arial" w:hAnsi="Arial" w:cs="Arial"/>
          <w:b/>
          <w:bCs/>
          <w:sz w:val="24"/>
          <w:szCs w:val="24"/>
        </w:rPr>
        <w:t>1</w:t>
      </w:r>
      <w:r w:rsidRPr="003434C6">
        <w:rPr>
          <w:rFonts w:ascii="Arial" w:hAnsi="Arial" w:cs="Arial"/>
          <w:b/>
          <w:bCs/>
          <w:sz w:val="24"/>
          <w:szCs w:val="24"/>
        </w:rPr>
        <w:t>.</w:t>
      </w:r>
      <w:r w:rsidRPr="003434C6">
        <w:rPr>
          <w:rFonts w:ascii="Arial" w:hAnsi="Arial" w:cs="Arial"/>
          <w:sz w:val="24"/>
          <w:szCs w:val="24"/>
        </w:rPr>
        <w:t xml:space="preserve"> </w:t>
      </w:r>
      <w:r w:rsidR="00285391" w:rsidRPr="003434C6">
        <w:rPr>
          <w:rFonts w:ascii="Arial" w:hAnsi="Arial" w:cs="Arial"/>
          <w:sz w:val="24"/>
          <w:szCs w:val="24"/>
        </w:rPr>
        <w:t xml:space="preserve">FUNDUSZE EUROPEJSKIE NA RZECZ WZROSTU INNOWACYJNOŚCI I KONKURENCYJNOŚCI REGIONU </w:t>
      </w:r>
    </w:p>
    <w:p w14:paraId="752E5337" w14:textId="77777777" w:rsidR="00481702" w:rsidRPr="003434C6" w:rsidRDefault="003B0164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3434C6">
        <w:rPr>
          <w:rFonts w:ascii="Arial" w:hAnsi="Arial" w:cs="Arial"/>
          <w:b/>
          <w:bCs/>
          <w:sz w:val="24"/>
          <w:szCs w:val="24"/>
        </w:rPr>
        <w:t xml:space="preserve">1 </w:t>
      </w:r>
      <w:r w:rsidR="003F733B" w:rsidRPr="003434C6">
        <w:rPr>
          <w:rFonts w:ascii="Arial" w:hAnsi="Arial" w:cs="Arial"/>
          <w:b/>
          <w:bCs/>
          <w:sz w:val="24"/>
          <w:szCs w:val="24"/>
        </w:rPr>
        <w:t>i</w:t>
      </w:r>
      <w:r w:rsidR="00481702" w:rsidRPr="003434C6">
        <w:rPr>
          <w:rFonts w:ascii="Arial" w:hAnsi="Arial" w:cs="Arial"/>
          <w:b/>
          <w:bCs/>
          <w:sz w:val="24"/>
          <w:szCs w:val="24"/>
        </w:rPr>
        <w:t>ii</w:t>
      </w:r>
      <w:r w:rsidR="003F733B" w:rsidRPr="003434C6">
        <w:rPr>
          <w:rFonts w:ascii="Arial" w:hAnsi="Arial" w:cs="Arial"/>
          <w:b/>
          <w:bCs/>
          <w:sz w:val="24"/>
          <w:szCs w:val="24"/>
        </w:rPr>
        <w:t>.</w:t>
      </w:r>
      <w:r w:rsidR="003F733B" w:rsidRPr="003434C6">
        <w:rPr>
          <w:rFonts w:ascii="Arial" w:hAnsi="Arial" w:cs="Arial"/>
          <w:sz w:val="24"/>
          <w:szCs w:val="24"/>
        </w:rPr>
        <w:t xml:space="preserve"> </w:t>
      </w:r>
      <w:r w:rsidR="00481702" w:rsidRPr="003434C6">
        <w:rPr>
          <w:rFonts w:ascii="Arial" w:hAnsi="Arial" w:cs="Arial"/>
          <w:sz w:val="24"/>
          <w:szCs w:val="24"/>
        </w:rPr>
        <w:t>Wzmacnianie trwałego wzrostu i konkurencyjności MŚP oraz tworzenie miejsc pracy w MŚP, w tym poprzez inwestycje produkcyjne</w:t>
      </w:r>
    </w:p>
    <w:p w14:paraId="0D3B63D6" w14:textId="77777777" w:rsidR="003B0164" w:rsidRPr="003434C6" w:rsidRDefault="003F733B" w:rsidP="003434C6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434C6">
        <w:rPr>
          <w:rFonts w:ascii="Arial" w:hAnsi="Arial" w:cs="Arial"/>
          <w:b/>
          <w:bCs/>
        </w:rPr>
        <w:t>Działanie 1.</w:t>
      </w:r>
      <w:r w:rsidR="00767CC4" w:rsidRPr="003434C6">
        <w:rPr>
          <w:rFonts w:ascii="Arial" w:hAnsi="Arial" w:cs="Arial"/>
          <w:b/>
          <w:bCs/>
        </w:rPr>
        <w:t>8</w:t>
      </w:r>
      <w:r w:rsidR="00767CC4" w:rsidRPr="003434C6">
        <w:rPr>
          <w:rFonts w:ascii="Arial" w:hAnsi="Arial" w:cs="Arial"/>
        </w:rPr>
        <w:t xml:space="preserve"> </w:t>
      </w:r>
      <w:r w:rsidR="00481702" w:rsidRPr="003434C6">
        <w:rPr>
          <w:rFonts w:ascii="Arial" w:hAnsi="Arial" w:cs="Arial"/>
        </w:rPr>
        <w:t xml:space="preserve">Rozwój infrastruktury na rzecz rozwoju gospodarczego </w:t>
      </w:r>
      <w:r w:rsidR="00A15147" w:rsidRPr="003434C6">
        <w:rPr>
          <w:rFonts w:ascii="Arial" w:hAnsi="Arial" w:cs="Arial"/>
        </w:rPr>
        <w:t>OPPT</w:t>
      </w:r>
    </w:p>
    <w:p w14:paraId="3A71D026" w14:textId="2764C1DA" w:rsidR="00E67E9E" w:rsidRPr="003434C6" w:rsidRDefault="00B5417E" w:rsidP="003434C6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434C6">
        <w:rPr>
          <w:rFonts w:ascii="Arial" w:hAnsi="Arial" w:cs="Arial"/>
          <w:b/>
          <w:bCs/>
        </w:rPr>
        <w:t>Schemat:</w:t>
      </w:r>
      <w:r w:rsidRPr="003434C6">
        <w:rPr>
          <w:rFonts w:ascii="Arial" w:hAnsi="Arial" w:cs="Arial"/>
        </w:rPr>
        <w:t xml:space="preserve"> Wsparcie dla infrastruktury biznesowej</w:t>
      </w:r>
      <w:r w:rsidR="00443C94">
        <w:rPr>
          <w:rFonts w:ascii="Arial" w:hAnsi="Arial" w:cs="Arial"/>
        </w:rPr>
        <w:t xml:space="preserve"> edycja II</w:t>
      </w:r>
    </w:p>
    <w:p w14:paraId="4C08B3C2" w14:textId="30657889" w:rsidR="00DE7A1E" w:rsidRPr="003434C6" w:rsidRDefault="00B5417E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sz w:val="24"/>
          <w:szCs w:val="24"/>
        </w:rPr>
        <w:t>Sposób wyboru projektów: konkurencyjny</w:t>
      </w:r>
    </w:p>
    <w:p w14:paraId="04E4FEA2" w14:textId="77777777" w:rsidR="00DE7A1E" w:rsidRPr="003434C6" w:rsidRDefault="00DE7A1E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sz w:val="24"/>
          <w:szCs w:val="24"/>
        </w:rPr>
        <w:t>Nabór realizowany w ramach polityki terytorialnej skierowany do jednostek samorządu terytorialnego, jednostek organizacyjnych działających w imieniu jednostek samorządu terytorialnego oraz instytucji otoczenia biznesu.</w:t>
      </w:r>
    </w:p>
    <w:p w14:paraId="60094891" w14:textId="77777777" w:rsidR="00D92E42" w:rsidRPr="003434C6" w:rsidRDefault="00DE7A1E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sz w:val="24"/>
          <w:szCs w:val="24"/>
        </w:rPr>
        <w:t>Celem naboru jest wsparcie infrastruktury biznesowej (np.: centra biznesowe, centra demonstracyjne, inkubatory przedsiębiorczości, biura typu co-</w:t>
      </w:r>
      <w:proofErr w:type="spellStart"/>
      <w:r w:rsidRPr="003434C6">
        <w:rPr>
          <w:rFonts w:ascii="Arial" w:hAnsi="Arial" w:cs="Arial"/>
          <w:sz w:val="24"/>
          <w:szCs w:val="24"/>
        </w:rPr>
        <w:t>working</w:t>
      </w:r>
      <w:proofErr w:type="spellEnd"/>
      <w:r w:rsidRPr="003434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C6">
        <w:rPr>
          <w:rFonts w:ascii="Arial" w:hAnsi="Arial" w:cs="Arial"/>
          <w:sz w:val="24"/>
          <w:szCs w:val="24"/>
        </w:rPr>
        <w:t>space</w:t>
      </w:r>
      <w:proofErr w:type="spellEnd"/>
      <w:r w:rsidRPr="003434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34C6">
        <w:rPr>
          <w:rFonts w:ascii="Arial" w:hAnsi="Arial" w:cs="Arial"/>
          <w:sz w:val="24"/>
          <w:szCs w:val="24"/>
        </w:rPr>
        <w:t>fab</w:t>
      </w:r>
      <w:proofErr w:type="spellEnd"/>
      <w:r w:rsidRPr="003434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C6">
        <w:rPr>
          <w:rFonts w:ascii="Arial" w:hAnsi="Arial" w:cs="Arial"/>
          <w:sz w:val="24"/>
          <w:szCs w:val="24"/>
        </w:rPr>
        <w:t>labs</w:t>
      </w:r>
      <w:proofErr w:type="spellEnd"/>
      <w:r w:rsidRPr="003434C6">
        <w:rPr>
          <w:rFonts w:ascii="Arial" w:hAnsi="Arial" w:cs="Arial"/>
          <w:sz w:val="24"/>
          <w:szCs w:val="24"/>
        </w:rPr>
        <w:t xml:space="preserve">, czy też </w:t>
      </w:r>
      <w:proofErr w:type="spellStart"/>
      <w:r w:rsidRPr="003434C6">
        <w:rPr>
          <w:rFonts w:ascii="Arial" w:hAnsi="Arial" w:cs="Arial"/>
          <w:sz w:val="24"/>
          <w:szCs w:val="24"/>
        </w:rPr>
        <w:t>living</w:t>
      </w:r>
      <w:proofErr w:type="spellEnd"/>
      <w:r w:rsidRPr="003434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4C6">
        <w:rPr>
          <w:rFonts w:ascii="Arial" w:hAnsi="Arial" w:cs="Arial"/>
          <w:sz w:val="24"/>
          <w:szCs w:val="24"/>
        </w:rPr>
        <w:t>labs</w:t>
      </w:r>
      <w:proofErr w:type="spellEnd"/>
      <w:r w:rsidRPr="003434C6">
        <w:rPr>
          <w:rFonts w:ascii="Arial" w:hAnsi="Arial" w:cs="Arial"/>
          <w:sz w:val="24"/>
          <w:szCs w:val="24"/>
        </w:rPr>
        <w:t>), w tym powstawania platform współpracy oraz rozwoju ośrodków wspierających przedsiębiorczość, niezbędnej do świadczenia usług na rzecz MŚP.</w:t>
      </w:r>
    </w:p>
    <w:p w14:paraId="168392CE" w14:textId="5D33FCA5" w:rsidR="005172B5" w:rsidRPr="003434C6" w:rsidRDefault="003B0164" w:rsidP="00DE1A20">
      <w:pPr>
        <w:pStyle w:val="Nagwek1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3434C6">
        <w:br w:type="page"/>
      </w:r>
      <w:r w:rsidR="007257F1" w:rsidRPr="003434C6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3434C6" w14:paraId="2341D704" w14:textId="77777777" w:rsidTr="003434C6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50A3938B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434C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2E6029DE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3A32F27B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4F8D2170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448ADD6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15C99" w:rsidRPr="003434C6" w14:paraId="3A7CB7C6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FE27A10" w14:textId="77777777" w:rsidR="00715C99" w:rsidRPr="003434C6" w:rsidRDefault="00715C99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E7187D7" w14:textId="77777777" w:rsidR="00715C99" w:rsidRPr="003434C6" w:rsidRDefault="00715C99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0474F649" w14:textId="7777777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6190452" w14:textId="77777777" w:rsidR="00715C99" w:rsidRPr="003434C6" w:rsidRDefault="00715C99" w:rsidP="00DE1A2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58C7814C" w14:textId="77777777" w:rsidR="00715C99" w:rsidRPr="003434C6" w:rsidRDefault="00715C99" w:rsidP="00DE1A2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4DA433DE" w14:textId="7EFC0BAF" w:rsidR="00715C99" w:rsidRPr="003434C6" w:rsidRDefault="00847198" w:rsidP="00DE1A2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2F669D66" w14:textId="73FC8334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1BF09ACD" w14:textId="2E76B264" w:rsidR="003434C6" w:rsidRDefault="00715C99" w:rsidP="003434C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92818D4" w14:textId="23A8C093" w:rsidR="00715C99" w:rsidRPr="003434C6" w:rsidRDefault="00715C99" w:rsidP="003434C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FBD8E5" w14:textId="60F89479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DBCBBD5" w14:textId="7777777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C7EB0EB" w14:textId="7777777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A0B31A8" w14:textId="467DD1C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E3E" w:rsidRPr="003434C6" w14:paraId="6052194D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5DA2F42E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4F7E6CF7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F4D00" w:rsidRPr="003434C6">
              <w:rPr>
                <w:rFonts w:ascii="Arial" w:hAnsi="Arial" w:cs="Arial"/>
                <w:sz w:val="24"/>
                <w:szCs w:val="24"/>
              </w:rPr>
              <w:t xml:space="preserve"> i podmiotowe</w:t>
            </w:r>
          </w:p>
        </w:tc>
        <w:tc>
          <w:tcPr>
            <w:tcW w:w="6800" w:type="dxa"/>
          </w:tcPr>
          <w:p w14:paraId="37408562" w14:textId="384DFA59" w:rsidR="00EE54CD" w:rsidRPr="003434C6" w:rsidRDefault="00EE54CD" w:rsidP="003434C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E346F9" w:rsidRPr="003434C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3434C6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3434C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434C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4149DC8A" w14:textId="77777777" w:rsidR="00EE54CD" w:rsidRPr="003434C6" w:rsidRDefault="00EE54CD" w:rsidP="003434C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499E6F1A" w14:textId="77777777" w:rsidR="00EE54CD" w:rsidRPr="003434C6" w:rsidRDefault="00EE54CD" w:rsidP="003434C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E191189" w14:textId="77777777" w:rsidR="00EE54CD" w:rsidRPr="003434C6" w:rsidRDefault="00EE54CD" w:rsidP="00DE1A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3434C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2C28D7D" w14:textId="08EE0C7B" w:rsidR="00C131CD" w:rsidRPr="003434C6" w:rsidRDefault="00C131CD" w:rsidP="00DE1A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3434C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7F48B0" w14:textId="50CB10F8" w:rsidR="00EE54CD" w:rsidRPr="003434C6" w:rsidRDefault="004174A6" w:rsidP="00DE1A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443C9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1439B2" w14:textId="394244CC" w:rsidR="00EE54CD" w:rsidRPr="003434C6" w:rsidRDefault="00EE54CD" w:rsidP="003434C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</w:t>
            </w:r>
            <w:r w:rsidR="00E346F9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t>nr 2021/1060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4F60627" w14:textId="77777777" w:rsidR="00EE54CD" w:rsidRPr="003434C6" w:rsidRDefault="00EE54CD" w:rsidP="003434C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7B800001" w14:textId="1048D7C5" w:rsidR="00EE54CD" w:rsidRPr="003434C6" w:rsidRDefault="00EE54CD" w:rsidP="003434C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5894CB4A" w14:textId="3E5616F5" w:rsidR="008C6E3E" w:rsidRPr="003434C6" w:rsidRDefault="00EE54CD" w:rsidP="003434C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546A1C83" w14:textId="05D4BC6A" w:rsidR="003434C6" w:rsidRDefault="00715C99" w:rsidP="003434C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2AD56A2" w14:textId="6E6283E0" w:rsidR="00715C99" w:rsidRPr="003434C6" w:rsidRDefault="00715C99" w:rsidP="003434C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491F8B" w14:textId="7F3F78D5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4BDC48" w14:textId="7777777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3434C6">
              <w:rPr>
                <w:rFonts w:ascii="Arial" w:hAnsi="Arial" w:cs="Arial"/>
                <w:sz w:val="24"/>
                <w:szCs w:val="24"/>
              </w:rPr>
              <w:t>.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(wartość logiczna: „TAK”). </w:t>
            </w:r>
          </w:p>
          <w:p w14:paraId="524E8641" w14:textId="7777777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29814C1F" w14:textId="693CB664" w:rsidR="008C6E3E" w:rsidRPr="003434C6" w:rsidRDefault="008C6E3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E3E" w:rsidRPr="003434C6" w14:paraId="69C62B24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48A18939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B7FA2" w:rsidRPr="003434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7" w:type="dxa"/>
            <w:vAlign w:val="center"/>
          </w:tcPr>
          <w:p w14:paraId="781A18E9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0D6FB412" w14:textId="1117F1B1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277EDB"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913662" w14:textId="07BB8E79" w:rsidR="008C6E3E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2E156FD3" w14:textId="076FB637" w:rsidR="001D133E" w:rsidRDefault="00715C99" w:rsidP="001D13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4FD4F6" w14:textId="7A5871DF" w:rsidR="00715C99" w:rsidRPr="003434C6" w:rsidRDefault="00715C99" w:rsidP="001D13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F86C7E" w14:textId="342BFFDC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6709E5" w14:textId="403EFA31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F37427" w14:textId="7777777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2BBCD77" w14:textId="4CCF488A" w:rsidR="008C6E3E" w:rsidRPr="003434C6" w:rsidRDefault="008C6E3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7C9B" w:rsidRPr="003434C6" w14:paraId="7BB3D9F6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271E6E8" w14:textId="77777777" w:rsidR="00937C9B" w:rsidRPr="003434C6" w:rsidRDefault="00937C9B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37" w:type="dxa"/>
            <w:vAlign w:val="center"/>
          </w:tcPr>
          <w:p w14:paraId="44F2F1DF" w14:textId="77777777" w:rsidR="001D133E" w:rsidRDefault="00937C9B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1C68EC6B" w14:textId="60D0CA6F" w:rsidR="00937C9B" w:rsidRPr="003434C6" w:rsidRDefault="00937C9B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00428144" w14:textId="77777777" w:rsidR="00817111" w:rsidRPr="003434C6" w:rsidRDefault="00817111" w:rsidP="003434C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434C6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</w:t>
            </w:r>
            <w:r w:rsidRPr="003434C6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przepisów antydyskryminacyjnych, o których mowa w art. 9 ust. 3 rozporządzenia nr 2021/1060.</w:t>
            </w:r>
          </w:p>
          <w:p w14:paraId="1265D09E" w14:textId="77777777" w:rsidR="00817111" w:rsidRPr="003434C6" w:rsidRDefault="00817111" w:rsidP="003434C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434C6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700F8BE" w14:textId="77777777" w:rsidR="00817111" w:rsidRPr="003434C6" w:rsidRDefault="00817111" w:rsidP="003434C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434C6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2B5373D6" w14:textId="647D5607" w:rsidR="00937C9B" w:rsidRPr="003434C6" w:rsidRDefault="00FB17CB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informacje znajdujące się na stronie internetowej Rzecznika Praw Obywatelskich (RPO)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dotyczące JST, które ustanowiły obowiązujące i uznane przez RPO za dyskryminujące akty prawa miejscowego (aktualne na dzień zakończenia naboru).</w:t>
            </w:r>
          </w:p>
        </w:tc>
        <w:tc>
          <w:tcPr>
            <w:tcW w:w="3543" w:type="dxa"/>
          </w:tcPr>
          <w:p w14:paraId="63E7083B" w14:textId="769D7F54" w:rsidR="001D133E" w:rsidRDefault="00937C9B" w:rsidP="001D13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0F618AB" w14:textId="03A8202D" w:rsidR="00937C9B" w:rsidRPr="003434C6" w:rsidRDefault="00937C9B" w:rsidP="001D13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C4317D" w14:textId="074A85FB" w:rsidR="00937C9B" w:rsidRPr="003434C6" w:rsidRDefault="00937C9B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3AB7B0D" w14:textId="51029A64" w:rsidR="00937C9B" w:rsidRPr="003434C6" w:rsidRDefault="00937C9B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„TAK”).</w:t>
            </w:r>
          </w:p>
          <w:p w14:paraId="549C781D" w14:textId="77777777" w:rsidR="00937C9B" w:rsidRPr="003434C6" w:rsidRDefault="00937C9B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B8DAF0" w14:textId="22539A2B" w:rsidR="00937C9B" w:rsidRPr="003434C6" w:rsidRDefault="00937C9B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F8A" w:rsidRPr="003434C6" w14:paraId="4B3FAA83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3DBDBC16" w14:textId="77777777" w:rsidR="00DE5F8A" w:rsidRPr="003434C6" w:rsidRDefault="00DE5F8A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32E56C70" w14:textId="77777777" w:rsidR="00DE5F8A" w:rsidRPr="003434C6" w:rsidRDefault="00DE5F8A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800" w:type="dxa"/>
          </w:tcPr>
          <w:p w14:paraId="442265FC" w14:textId="415566CA" w:rsidR="00DE5F8A" w:rsidRPr="003434C6" w:rsidRDefault="00DE5F8A" w:rsidP="003434C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4C6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na moment złożenia wniosku </w:t>
            </w:r>
            <w:r w:rsidR="00E346F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color w:val="000000"/>
                <w:sz w:val="24"/>
                <w:szCs w:val="24"/>
              </w:rPr>
              <w:t>o dofinasowanie wnioskodawca posiada prawo do dysponowania gruntami lub obiektami na cele inwestycji, posiada wymaganą dokumentację techniczną i projektową, wymagane prawem decyzje</w:t>
            </w:r>
            <w:r w:rsidR="00FB17CB" w:rsidRPr="003434C6">
              <w:rPr>
                <w:rFonts w:ascii="Arial" w:hAnsi="Arial" w:cs="Arial"/>
                <w:color w:val="000000"/>
                <w:sz w:val="24"/>
                <w:szCs w:val="24"/>
              </w:rPr>
              <w:t xml:space="preserve"> (np. o pozwoleniu na budowę)</w:t>
            </w:r>
            <w:r w:rsidRPr="003434C6">
              <w:rPr>
                <w:rFonts w:ascii="Arial" w:hAnsi="Arial" w:cs="Arial"/>
                <w:color w:val="000000"/>
                <w:sz w:val="24"/>
                <w:szCs w:val="24"/>
              </w:rPr>
              <w:t>, uzgodnienia i pozwolenia administracyjne</w:t>
            </w:r>
            <w:r w:rsidRPr="003434C6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3434C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E565E06" w14:textId="04551B05" w:rsidR="00DE5F8A" w:rsidRPr="00312BD3" w:rsidRDefault="00DE5F8A" w:rsidP="003434C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0F9CEECB" w14:textId="77777777" w:rsidR="00312BD3" w:rsidRDefault="00DE5F8A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28E0ACC" w14:textId="1408A298" w:rsidR="00DE5F8A" w:rsidRPr="003434C6" w:rsidRDefault="00DE5F8A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9BC225" w14:textId="45517DFE" w:rsidR="00DE5F8A" w:rsidRPr="003434C6" w:rsidRDefault="00DE5F8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73B6D1" w14:textId="625B4CAB" w:rsidR="00DE5F8A" w:rsidRPr="003434C6" w:rsidRDefault="00DE5F8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BD7A772" w14:textId="24919EA2" w:rsidR="00DE5F8A" w:rsidRPr="003434C6" w:rsidRDefault="00DE5F8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47D4538" w14:textId="77777777" w:rsidR="002C2CE8" w:rsidRPr="003434C6" w:rsidRDefault="00B10B0D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="007257F1" w:rsidRPr="003434C6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6745"/>
        <w:gridCol w:w="3531"/>
      </w:tblGrid>
      <w:tr w:rsidR="008C6E3E" w:rsidRPr="003434C6" w14:paraId="508B7833" w14:textId="77777777" w:rsidTr="00312BD3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34D5692F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7A3102DE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5" w:type="dxa"/>
            <w:shd w:val="clear" w:color="auto" w:fill="E7E6E6"/>
            <w:vAlign w:val="center"/>
          </w:tcPr>
          <w:p w14:paraId="4547F3D6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1" w:type="dxa"/>
            <w:shd w:val="clear" w:color="auto" w:fill="E7E6E6"/>
            <w:vAlign w:val="center"/>
          </w:tcPr>
          <w:p w14:paraId="746235E0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6B9CA1B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C6E3E" w:rsidRPr="003434C6" w14:paraId="6C65486C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118F2940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3C2E453B" w14:textId="77777777" w:rsidR="009D4335" w:rsidRPr="003434C6" w:rsidRDefault="008C6E3E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Kwalifikowalność wnioskodawcy/</w:t>
            </w:r>
          </w:p>
          <w:p w14:paraId="5622BF20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partnerów</w:t>
            </w:r>
          </w:p>
        </w:tc>
        <w:tc>
          <w:tcPr>
            <w:tcW w:w="6745" w:type="dxa"/>
            <w:shd w:val="clear" w:color="auto" w:fill="auto"/>
          </w:tcPr>
          <w:p w14:paraId="0E0B0E89" w14:textId="77777777" w:rsidR="00ED54B0" w:rsidRPr="00312BD3" w:rsidRDefault="008C6E3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312BD3">
              <w:rPr>
                <w:rFonts w:ascii="Arial" w:hAnsi="Arial" w:cs="Arial"/>
                <w:sz w:val="24"/>
                <w:szCs w:val="24"/>
              </w:rPr>
              <w:t>/</w:t>
            </w:r>
            <w:r w:rsidR="00452CC7" w:rsidRPr="00312BD3">
              <w:rPr>
                <w:rFonts w:ascii="Arial" w:hAnsi="Arial" w:cs="Arial"/>
                <w:sz w:val="24"/>
                <w:szCs w:val="24"/>
              </w:rPr>
              <w:t>partnerzy są</w:t>
            </w:r>
            <w:r w:rsidRPr="00312BD3">
              <w:rPr>
                <w:rFonts w:ascii="Arial" w:hAnsi="Arial" w:cs="Arial"/>
                <w:sz w:val="24"/>
                <w:szCs w:val="24"/>
              </w:rPr>
              <w:t xml:space="preserve"> uprawnieni do ubiegania się o dofinansowanie, tj. czy należ</w:t>
            </w:r>
            <w:r w:rsidR="00C10BE2" w:rsidRPr="00312BD3">
              <w:rPr>
                <w:rFonts w:ascii="Arial" w:hAnsi="Arial" w:cs="Arial"/>
                <w:sz w:val="24"/>
                <w:szCs w:val="24"/>
              </w:rPr>
              <w:t>y</w:t>
            </w:r>
            <w:r w:rsidR="00FA43D6" w:rsidRPr="00312BD3">
              <w:rPr>
                <w:rFonts w:ascii="Arial" w:hAnsi="Arial" w:cs="Arial"/>
                <w:sz w:val="24"/>
                <w:szCs w:val="24"/>
              </w:rPr>
              <w:t>/należą</w:t>
            </w:r>
            <w:r w:rsidRPr="00312BD3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312BD3">
              <w:rPr>
                <w:rFonts w:ascii="Arial" w:hAnsi="Arial" w:cs="Arial"/>
                <w:sz w:val="24"/>
                <w:szCs w:val="24"/>
              </w:rPr>
              <w:t>ych</w:t>
            </w:r>
            <w:r w:rsidRPr="00312BD3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5939646D" w14:textId="77777777" w:rsidR="00B20D99" w:rsidRPr="00312BD3" w:rsidRDefault="00B20D99" w:rsidP="00DE1A2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09CE8E74" w14:textId="77777777" w:rsidR="00B20D99" w:rsidRPr="00312BD3" w:rsidRDefault="00B20D99" w:rsidP="00DE1A2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jednostki organizacyjne działające w imieniu jednostek samorządu terytorialnego;</w:t>
            </w:r>
          </w:p>
          <w:p w14:paraId="58075A98" w14:textId="4C9CD4C7" w:rsidR="008C6E3E" w:rsidRPr="00312BD3" w:rsidRDefault="00B20D99" w:rsidP="003434C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lastRenderedPageBreak/>
              <w:t>instytucje otoczenia biznesu.</w:t>
            </w:r>
          </w:p>
          <w:p w14:paraId="72EA4EF0" w14:textId="4FFA34CE" w:rsidR="008C6E3E" w:rsidRPr="00312BD3" w:rsidDel="007968FF" w:rsidRDefault="008C6E3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12BD3">
              <w:rPr>
                <w:rFonts w:ascii="Arial" w:hAnsi="Arial" w:cs="Arial"/>
                <w:sz w:val="24"/>
                <w:szCs w:val="24"/>
              </w:rPr>
              <w:t>o dofinansowanie projektu i załączniki (porozumienie/umowa o partnerstwie).</w:t>
            </w:r>
          </w:p>
        </w:tc>
        <w:tc>
          <w:tcPr>
            <w:tcW w:w="3531" w:type="dxa"/>
          </w:tcPr>
          <w:p w14:paraId="21E334E4" w14:textId="77777777" w:rsidR="00AF7A5A" w:rsidRPr="00312BD3" w:rsidRDefault="00AF7A5A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19E225" w14:textId="6CF440AC" w:rsidR="00AF7A5A" w:rsidRPr="00312BD3" w:rsidRDefault="00AF7A5A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169FAE" w14:textId="71620423" w:rsidR="00AF7A5A" w:rsidRPr="00312BD3" w:rsidRDefault="00AF7A5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12BD3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CF8942E" w14:textId="5845A415" w:rsidR="00AF7A5A" w:rsidRPr="00312BD3" w:rsidRDefault="00AF7A5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7596481" w14:textId="77777777" w:rsidR="00AF7A5A" w:rsidRPr="00312BD3" w:rsidRDefault="00AF7A5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B7180C2" w14:textId="56878B44" w:rsidR="008C6E3E" w:rsidRPr="00312BD3" w:rsidRDefault="008C6E3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208" w:rsidRPr="003434C6" w14:paraId="02CA682E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73C9A911" w14:textId="6A0BA752" w:rsidR="00CE2208" w:rsidRPr="003434C6" w:rsidRDefault="00CE2208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1A67E937" w14:textId="3BC029CB" w:rsidR="00CE2208" w:rsidRPr="003434C6" w:rsidRDefault="00CE2208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745" w:type="dxa"/>
          </w:tcPr>
          <w:p w14:paraId="12893798" w14:textId="1EDA5061" w:rsidR="00CE2208" w:rsidRPr="003434C6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</w:t>
            </w:r>
            <w:r w:rsidR="001D24C0">
              <w:rPr>
                <w:rFonts w:ascii="Arial" w:hAnsi="Arial" w:cs="Arial"/>
                <w:sz w:val="24"/>
                <w:szCs w:val="24"/>
              </w:rPr>
              <w:t xml:space="preserve"> 2022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poz. 1079).</w:t>
            </w:r>
          </w:p>
          <w:p w14:paraId="1F6A9629" w14:textId="35268581" w:rsidR="00CE2208" w:rsidRPr="003434C6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531" w:type="dxa"/>
          </w:tcPr>
          <w:p w14:paraId="7D1BE2D8" w14:textId="77777777" w:rsidR="00CE2208" w:rsidRPr="003434C6" w:rsidRDefault="00CE2208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1DA7FDE" w14:textId="77777777" w:rsidR="00CE2208" w:rsidRPr="003434C6" w:rsidRDefault="00CE2208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6823D1" w14:textId="77777777" w:rsidR="00CE2208" w:rsidRPr="003434C6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32DD4D" w14:textId="77777777" w:rsidR="00CE2208" w:rsidRPr="003434C6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14C99DEA" w14:textId="77777777" w:rsidR="00CE2208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70F58B1" w14:textId="2E607451" w:rsidR="00E346F9" w:rsidRPr="003434C6" w:rsidRDefault="00E346F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721" w:rsidRPr="003434C6" w14:paraId="7B84370A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04984F0C" w14:textId="15BBD56E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E2208" w:rsidRPr="003434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21D43EB" w14:textId="77777777" w:rsidR="008E5721" w:rsidRPr="003434C6" w:rsidRDefault="006D4C86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45" w:type="dxa"/>
          </w:tcPr>
          <w:p w14:paraId="3FA9C3F8" w14:textId="2C3C6569" w:rsidR="00BF15E0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4002B3" w:rsidRPr="003434C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69EB98A" w14:textId="69D4EAD7" w:rsidR="00BF15E0" w:rsidRPr="003434C6" w:rsidRDefault="004002B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Wsparcia infrastruktury biznesowej (np.: centra biznesowe, centra demonstracyjne, inkubatory przedsiębiorczości, biura typu co-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working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space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fab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 xml:space="preserve">, czy też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living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), w tym powstawania platform współpracy oraz rozwoju</w:t>
            </w:r>
            <w:r w:rsidR="004C179E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>ośrodków wspierających przedsiębiorczość</w:t>
            </w:r>
          </w:p>
          <w:p w14:paraId="0240C3DF" w14:textId="4CC8A032" w:rsidR="00BF15E0" w:rsidRPr="003434C6" w:rsidRDefault="00BF15E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58B51727" w14:textId="7FA504C1" w:rsidR="00312BD3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9A6E23C" w14:textId="1070F6B4" w:rsidR="008E5721" w:rsidRPr="003434C6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11BB5E1D" w14:textId="28422E52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164737" w14:textId="0DF7CF11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DB6EA29" w14:textId="77777777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D421749" w14:textId="43F67A6E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721" w:rsidRPr="003434C6" w14:paraId="0339A6BE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1A406D93" w14:textId="29B02241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34B86C75" w14:textId="1378EC15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Prawidłowość określenia</w:t>
            </w:r>
            <w:r w:rsidR="001D24C0">
              <w:rPr>
                <w:rFonts w:ascii="Arial" w:hAnsi="Arial" w:cs="Arial"/>
                <w:sz w:val="24"/>
                <w:szCs w:val="24"/>
              </w:rPr>
              <w:t xml:space="preserve"> dofinansowania oraz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wkładu własnego</w:t>
            </w:r>
          </w:p>
        </w:tc>
        <w:tc>
          <w:tcPr>
            <w:tcW w:w="6745" w:type="dxa"/>
          </w:tcPr>
          <w:p w14:paraId="149231AD" w14:textId="6EDC8DAD" w:rsidR="00493F0D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1D24C0">
              <w:rPr>
                <w:rFonts w:ascii="Arial" w:hAnsi="Arial" w:cs="Arial"/>
                <w:sz w:val="24"/>
                <w:szCs w:val="24"/>
              </w:rPr>
              <w:t xml:space="preserve">dofinansowanie oraz </w:t>
            </w:r>
            <w:r w:rsidRPr="003434C6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B273E0" w:rsidRPr="003434C6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</w:t>
            </w:r>
            <w:r w:rsidR="00EB629D" w:rsidRPr="003434C6">
              <w:rPr>
                <w:rFonts w:ascii="Arial" w:hAnsi="Arial" w:cs="Arial"/>
                <w:sz w:val="24"/>
                <w:szCs w:val="24"/>
              </w:rPr>
              <w:t>naboru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93F0D" w:rsidRPr="003434C6">
              <w:rPr>
                <w:rFonts w:ascii="Arial" w:hAnsi="Arial" w:cs="Arial"/>
                <w:sz w:val="24"/>
                <w:szCs w:val="24"/>
              </w:rPr>
              <w:t>Ponadto sprawdzamy również, czy wkład własny wnioskodawcy wynosi:</w:t>
            </w:r>
          </w:p>
          <w:p w14:paraId="47886980" w14:textId="77777777" w:rsidR="00FE396D" w:rsidRPr="003434C6" w:rsidRDefault="00493F0D" w:rsidP="00DE1A20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nie mniej niż </w:t>
            </w:r>
            <w:r w:rsidR="00D1189D" w:rsidRPr="003434C6">
              <w:rPr>
                <w:rFonts w:ascii="Arial" w:hAnsi="Arial" w:cs="Arial"/>
                <w:sz w:val="24"/>
                <w:szCs w:val="24"/>
              </w:rPr>
              <w:t>4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0% w przypadku regionalnej pomocy inwestycyjnej (zgodnie z mapą pomocy regionalnej) - art. 14 rozporządzenia KE nr 651/2014 oraz zgodnie z rozporządzeniem Ministra infrastruktury i Rozwoju z dnia 11 października 2022 r. w sprawie udzielania regionalnej pomocy inwestycyjnej w ramach programów regionalnych na lata 2021-2027 (Dz.U. z 2022 r. poz. 2161. z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. zm.)</w:t>
            </w:r>
            <w:r w:rsidR="00A464BD"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744416B" w14:textId="47B68471" w:rsidR="00FE396D" w:rsidRPr="003434C6" w:rsidRDefault="00493F0D" w:rsidP="00DE1A20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nie mniej niż 15% w przypadku pomocy na infrastrukturę lokalną</w:t>
            </w:r>
            <w:r w:rsidR="00A464BD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- art. 56 rozporządzenia KE nr 651/2014 oraz zgodnie z rozporządzeniem Ministra Infrastruktury i Rozwoju </w:t>
            </w:r>
            <w:r w:rsidR="00A464BD" w:rsidRPr="003434C6">
              <w:rPr>
                <w:rFonts w:ascii="Arial" w:hAnsi="Arial" w:cs="Arial"/>
                <w:sz w:val="24"/>
                <w:szCs w:val="24"/>
              </w:rPr>
              <w:t xml:space="preserve">z dnia 11 grudnia 2022 r. w sprawie udzielania </w:t>
            </w:r>
            <w:r w:rsidR="00A464BD"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pomocy inwestycyjnej na infrastrukturę lokalną w ramach regionalnych programów na lata 2021-2027 (Dz. U.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="00A464BD" w:rsidRPr="003434C6">
              <w:rPr>
                <w:rFonts w:ascii="Arial" w:hAnsi="Arial" w:cs="Arial"/>
                <w:sz w:val="24"/>
                <w:szCs w:val="24"/>
              </w:rPr>
              <w:t>z 2022 r. poz. 2686);</w:t>
            </w:r>
          </w:p>
          <w:p w14:paraId="34870CB7" w14:textId="09AE5897" w:rsidR="00493F0D" w:rsidRPr="00312BD3" w:rsidRDefault="00493F0D" w:rsidP="003434C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nie mniej niż 15 % w przypadku pomocy de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8642D1"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3C475D" w14:textId="00896177" w:rsidR="00FE396D" w:rsidRPr="003434C6" w:rsidRDefault="00FE396D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</w:t>
            </w:r>
            <w:r w:rsidR="00493F0D" w:rsidRPr="003434C6">
              <w:rPr>
                <w:rFonts w:ascii="Arial" w:hAnsi="Arial" w:cs="Arial"/>
                <w:sz w:val="24"/>
                <w:szCs w:val="24"/>
              </w:rPr>
              <w:t xml:space="preserve"> ramach regionalnej pomocy inwestycyjnej </w:t>
            </w:r>
            <w:r w:rsidRPr="003434C6">
              <w:rPr>
                <w:rFonts w:ascii="Arial" w:hAnsi="Arial" w:cs="Arial"/>
                <w:sz w:val="24"/>
                <w:szCs w:val="24"/>
              </w:rPr>
              <w:t>w</w:t>
            </w:r>
            <w:r w:rsidR="00493F0D" w:rsidRPr="003434C6">
              <w:rPr>
                <w:rFonts w:ascii="Arial" w:hAnsi="Arial" w:cs="Arial"/>
                <w:sz w:val="24"/>
                <w:szCs w:val="24"/>
              </w:rPr>
              <w:t>nioskodawca musi wnieść wkład finansowy w wysokości co najmniej 25% kosztów kwalifikowalnych, pochodzących ze środków własnych lub zewnętrznych źródeł finansowania, w postaci wolnej od wszelkiego publicznego wsparcia finansowego.</w:t>
            </w:r>
          </w:p>
          <w:p w14:paraId="558A9F57" w14:textId="4003BA91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6D7C2453" w14:textId="66F0BB44" w:rsidR="00312BD3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20F9D4E" w14:textId="1E2E338B" w:rsidR="008E5721" w:rsidRPr="003434C6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1D7FEFB9" w14:textId="47850D7F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1C532A" w14:textId="5663A192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9AF4C9E" w14:textId="77777777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51B4BDA" w14:textId="426AADC1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721" w:rsidRPr="003434C6" w14:paraId="363687FB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55BE7182" w14:textId="4DB9530D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061561B2" w14:textId="77777777" w:rsidR="008E5721" w:rsidRPr="003434C6" w:rsidRDefault="0079088D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Zgodność z prawem pomocy publicznej/ pomocy de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45" w:type="dxa"/>
          </w:tcPr>
          <w:p w14:paraId="7D51AF7E" w14:textId="77777777" w:rsidR="00485520" w:rsidRPr="003434C6" w:rsidRDefault="008E5721" w:rsidP="003434C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F16D68" w:rsidRPr="003434C6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3434C6">
              <w:rPr>
                <w:rFonts w:ascii="Arial" w:hAnsi="Arial" w:cs="Arial"/>
                <w:sz w:val="24"/>
                <w:szCs w:val="24"/>
              </w:rPr>
              <w:t>zy</w:t>
            </w:r>
            <w:r w:rsidR="00485520" w:rsidRPr="003434C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C68011" w14:textId="62CD5D47" w:rsidR="00EF0700" w:rsidRPr="003434C6" w:rsidRDefault="00485520" w:rsidP="00DE1A2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pomoc jest zgodna z </w:t>
            </w:r>
            <w:r w:rsidR="00EF0700" w:rsidRPr="003434C6">
              <w:rPr>
                <w:rFonts w:ascii="Arial" w:hAnsi="Arial" w:cs="Arial"/>
                <w:sz w:val="24"/>
                <w:szCs w:val="24"/>
              </w:rPr>
              <w:t xml:space="preserve">art. 14 </w:t>
            </w:r>
            <w:r w:rsidR="00B10715" w:rsidRPr="003434C6">
              <w:rPr>
                <w:rFonts w:ascii="Arial" w:hAnsi="Arial" w:cs="Arial"/>
                <w:sz w:val="24"/>
                <w:szCs w:val="24"/>
              </w:rPr>
              <w:t xml:space="preserve">rozporządzenia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nr 651/</w:t>
            </w:r>
            <w:r w:rsidR="00EF0700" w:rsidRPr="003434C6">
              <w:rPr>
                <w:rFonts w:ascii="Arial" w:hAnsi="Arial" w:cs="Arial"/>
                <w:sz w:val="24"/>
                <w:szCs w:val="24"/>
              </w:rPr>
              <w:t xml:space="preserve">2014 oraz rozporządzeniem Ministra Funduszy i Polityki Regionalnej z dnia 11 października 2022 r.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="00EF0700" w:rsidRPr="003434C6">
              <w:rPr>
                <w:rFonts w:ascii="Arial" w:hAnsi="Arial" w:cs="Arial"/>
                <w:sz w:val="24"/>
                <w:szCs w:val="24"/>
              </w:rPr>
              <w:t xml:space="preserve">w sprawie udzielania regionalnej pomocy inwestycyjnej w ramach programów regionalnych na lata 2021–2027 (Dz. U. z 2022 r. poz. 2161, z </w:t>
            </w:r>
            <w:proofErr w:type="spellStart"/>
            <w:r w:rsidR="00EF0700"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F0700" w:rsidRPr="003434C6">
              <w:rPr>
                <w:rFonts w:ascii="Arial" w:hAnsi="Arial" w:cs="Arial"/>
                <w:sz w:val="24"/>
                <w:szCs w:val="24"/>
              </w:rPr>
              <w:t>. zm.) lub</w:t>
            </w:r>
          </w:p>
          <w:p w14:paraId="772BD96C" w14:textId="05672C67" w:rsidR="00EF0700" w:rsidRPr="003434C6" w:rsidRDefault="00EF0700" w:rsidP="00DE1A2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pomoc jest zgodna z art. 56 rozporządzeni</w:t>
            </w:r>
            <w:r w:rsidR="00B10715" w:rsidRPr="003434C6">
              <w:rPr>
                <w:rFonts w:ascii="Arial" w:hAnsi="Arial" w:cs="Arial"/>
                <w:sz w:val="24"/>
                <w:szCs w:val="24"/>
              </w:rPr>
              <w:t>a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nr 651/2014 oraz rozporządzeniem Ministra Funduszy i Polityki Regionalnej z dnia 11 grudnia 2022 r.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w sprawie udzielania pomocy inwestycyjnej na infrastrukturę lokalną w ramach regionalnych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programów na lata 2021–2027 (Dz. U. z 2022 r. poz. 2686) lub</w:t>
            </w:r>
          </w:p>
          <w:p w14:paraId="10F8F75C" w14:textId="609A75B9" w:rsidR="00A8393B" w:rsidRPr="00ED332B" w:rsidRDefault="008C4D58" w:rsidP="003434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pomoc jest zgodna z rozporządzeniem nr 2023/2831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="00443C94">
              <w:rPr>
                <w:rFonts w:ascii="Arial" w:hAnsi="Arial" w:cs="Arial"/>
                <w:sz w:val="24"/>
                <w:szCs w:val="24"/>
              </w:rPr>
              <w:t>i r</w:t>
            </w:r>
            <w:r w:rsidR="00443C94" w:rsidRPr="003B76E7">
              <w:rPr>
                <w:rFonts w:ascii="Arial" w:hAnsi="Arial" w:cs="Arial"/>
                <w:sz w:val="24"/>
                <w:szCs w:val="24"/>
              </w:rPr>
              <w:t>ozporządzenie</w:t>
            </w:r>
            <w:r w:rsidR="00443C94">
              <w:rPr>
                <w:rFonts w:ascii="Arial" w:hAnsi="Arial" w:cs="Arial"/>
                <w:sz w:val="24"/>
                <w:szCs w:val="24"/>
              </w:rPr>
              <w:t>m</w:t>
            </w:r>
            <w:r w:rsidR="00443C94" w:rsidRPr="003B76E7">
              <w:rPr>
                <w:rFonts w:ascii="Arial" w:hAnsi="Arial" w:cs="Arial"/>
                <w:sz w:val="24"/>
                <w:szCs w:val="24"/>
              </w:rPr>
              <w:t xml:space="preserve"> Ministra Funduszy i Polityki Regionalnej z dnia 17 kwietnia 2024 r. w sprawie udzielania pomocy de </w:t>
            </w:r>
            <w:proofErr w:type="spellStart"/>
            <w:r w:rsidR="00443C94" w:rsidRPr="003B76E7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443C94" w:rsidRPr="003B76E7">
              <w:rPr>
                <w:rFonts w:ascii="Arial" w:hAnsi="Arial" w:cs="Arial"/>
                <w:sz w:val="24"/>
                <w:szCs w:val="24"/>
              </w:rPr>
              <w:t xml:space="preserve"> w ramach regionalnych programów na lata 2021–2027 (Dz.U. 2024 poz. 598)</w:t>
            </w:r>
            <w:r w:rsidR="008642D1"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085278" w14:textId="1DC82EAB" w:rsidR="008E5721" w:rsidRPr="003434C6" w:rsidRDefault="008E5721" w:rsidP="00ED332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7A874F30" w14:textId="77777777" w:rsidR="00312BD3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7507F5D" w14:textId="072A3D88" w:rsidR="008E5721" w:rsidRPr="003434C6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EEA4D3" w14:textId="316CC615" w:rsidR="0059654A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35F9FD" w14:textId="34F7E1C8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1C40F63" w14:textId="77777777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98F36CF" w14:textId="4DB97918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721" w:rsidRPr="003434C6" w14:paraId="68651D09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650B676C" w14:textId="32D8CBC5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18B7FC4" w14:textId="23B3173C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5" w:type="dxa"/>
          </w:tcPr>
          <w:p w14:paraId="5FB13A66" w14:textId="20A3177F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sprawdzamy,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czy projekt jest zgodny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z zasadą zrównoważonego rozwoju, określoną w art. 9 ust. 4 rozporządzenia 2021/1060.</w:t>
            </w:r>
          </w:p>
          <w:p w14:paraId="2D1A3DBD" w14:textId="5CC53162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3434C6">
              <w:rPr>
                <w:rFonts w:ascii="Arial" w:hAnsi="Arial" w:cs="Arial"/>
                <w:sz w:val="24"/>
                <w:szCs w:val="24"/>
              </w:rPr>
              <w:t>projektu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. Należy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przedstawić,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</w:t>
            </w:r>
          </w:p>
          <w:p w14:paraId="5E7CC0FC" w14:textId="0EA0692A" w:rsidR="00667E42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w projekcie programu regionalnego Fundusze Europejskie dla Kujaw i Pomorza na lata 2021-2027” i zamieszczonych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w niej ustaleń dla poszczególnych obszarów.</w:t>
            </w:r>
          </w:p>
          <w:p w14:paraId="73046D45" w14:textId="5D472D44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31" w:type="dxa"/>
          </w:tcPr>
          <w:p w14:paraId="5C54D0C4" w14:textId="1647D50E" w:rsidR="00ED332B" w:rsidRDefault="008E5721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BE0D539" w14:textId="5587F87E" w:rsidR="008E5721" w:rsidRPr="003434C6" w:rsidRDefault="008E5721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099143" w14:textId="288F2CB8" w:rsidR="0059654A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168F88" w14:textId="05BFBB5D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8D263B" w14:textId="77777777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6006665" w14:textId="4354BA5B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3434C6" w14:paraId="673FFF8F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0A17D523" w14:textId="247E1C89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4F5864A6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5" w:type="dxa"/>
          </w:tcPr>
          <w:p w14:paraId="0D1A1258" w14:textId="3AEF3378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w infrastrukturę o przewidywanej trwałości wynoszącej co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najmniej pięć lat przewidziana w ramach projektu jest odporna na zmiany klimatu.</w:t>
            </w:r>
          </w:p>
          <w:p w14:paraId="41BD22CD" w14:textId="7EAE5913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FECF5AE" w14:textId="059659D0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31" w:type="dxa"/>
          </w:tcPr>
          <w:p w14:paraId="1099DA92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7962DC04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9F8282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25E9535" w14:textId="2D849FD9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18F063E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EF5941" w14:textId="534BBA2B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3434C6" w14:paraId="69ADB006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1D3BEED6" w14:textId="4DFCB87E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1F465213" w14:textId="74004485" w:rsidR="008351D0" w:rsidRPr="003434C6" w:rsidRDefault="008351D0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Zgodność projektu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z</w:t>
            </w:r>
          </w:p>
          <w:p w14:paraId="67C75D92" w14:textId="77777777" w:rsidR="008351D0" w:rsidRPr="003434C6" w:rsidRDefault="008351D0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45" w:type="dxa"/>
          </w:tcPr>
          <w:p w14:paraId="665D8C7E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DE3B18A" w14:textId="495198DA" w:rsidR="008351D0" w:rsidRPr="003434C6" w:rsidRDefault="008351D0" w:rsidP="00DE1A2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społeczeństwa w ochronie środowiska oraz o ocenach oddziaływania na środowisko (Dz.U. z 2023 r. poz. 1094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131EC6F7" w14:textId="3E7903EF" w:rsidR="008351D0" w:rsidRPr="003434C6" w:rsidRDefault="008351D0" w:rsidP="00DE1A2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5B6C60" w:rsidRPr="003434C6">
              <w:rPr>
                <w:rFonts w:ascii="Arial" w:hAnsi="Arial" w:cs="Arial"/>
                <w:sz w:val="24"/>
                <w:szCs w:val="24"/>
              </w:rPr>
              <w:t>4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B6C60" w:rsidRPr="003434C6">
              <w:rPr>
                <w:rFonts w:ascii="Arial" w:hAnsi="Arial" w:cs="Arial"/>
                <w:sz w:val="24"/>
                <w:szCs w:val="24"/>
              </w:rPr>
              <w:t xml:space="preserve">54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1EC39E51" w14:textId="482FB1B0" w:rsidR="008351D0" w:rsidRPr="003434C6" w:rsidRDefault="008351D0" w:rsidP="00DE1A2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ustawą z dnia 16 kwietnia 2004 r. o ochronie przyrody (Dz.U. z 2023 r. poz. 1336</w:t>
            </w:r>
            <w:r w:rsidR="005B6C60" w:rsidRPr="003434C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5B6C60"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5B6C60" w:rsidRPr="003434C6">
              <w:rPr>
                <w:rFonts w:ascii="Arial" w:hAnsi="Arial" w:cs="Arial"/>
                <w:sz w:val="24"/>
                <w:szCs w:val="24"/>
              </w:rPr>
              <w:t>. zm.</w:t>
            </w:r>
            <w:r w:rsidRPr="003434C6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19D3FD3" w14:textId="74AEBC24" w:rsidR="008351D0" w:rsidRPr="003434C6" w:rsidRDefault="008351D0" w:rsidP="00DE1A2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z 202</w:t>
            </w:r>
            <w:r w:rsidR="00E8132D" w:rsidRPr="003434C6">
              <w:rPr>
                <w:rFonts w:ascii="Arial" w:hAnsi="Arial" w:cs="Arial"/>
                <w:sz w:val="24"/>
                <w:szCs w:val="24"/>
              </w:rPr>
              <w:t>3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AF086D" w:rsidRPr="003434C6">
              <w:rPr>
                <w:rFonts w:ascii="Arial" w:hAnsi="Arial" w:cs="Arial"/>
                <w:sz w:val="24"/>
                <w:szCs w:val="24"/>
              </w:rPr>
              <w:t>1478</w:t>
            </w:r>
            <w:r w:rsidR="005B6C60" w:rsidRPr="003434C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5B6C60"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5B6C60" w:rsidRPr="003434C6">
              <w:rPr>
                <w:rFonts w:ascii="Arial" w:hAnsi="Arial" w:cs="Arial"/>
                <w:sz w:val="24"/>
                <w:szCs w:val="24"/>
              </w:rPr>
              <w:t>. zm.</w:t>
            </w:r>
            <w:r w:rsidRPr="003434C6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B10715" w:rsidRPr="003434C6">
              <w:rPr>
                <w:rFonts w:ascii="Arial" w:hAnsi="Arial" w:cs="Arial"/>
                <w:sz w:val="24"/>
                <w:szCs w:val="24"/>
              </w:rPr>
              <w:t>ą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ramy wspólnotowego działania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w dziedzinie polityki wodnej;</w:t>
            </w:r>
          </w:p>
          <w:p w14:paraId="40530AFB" w14:textId="0D91F2E3" w:rsidR="008351D0" w:rsidRPr="00ED332B" w:rsidRDefault="008351D0" w:rsidP="003434C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Wytycznymi w sprawie działań naprawczych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w odniesieniu do projektów współfinansowanych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w okresie programowania 2014-2020 oraz ubiegających się o współfinansowanie w okresie 2021-2027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z Funduszy UE, dotkniętych naruszeniem 2016/2046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w zakresie specustaw, dla których prowadzone jest postępowanie w sprawie oceny oddziaływania na środowisko (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Ares (</w:t>
            </w:r>
            <w:r w:rsidRPr="003434C6">
              <w:rPr>
                <w:rFonts w:ascii="Arial" w:hAnsi="Arial" w:cs="Arial"/>
                <w:sz w:val="24"/>
                <w:szCs w:val="24"/>
              </w:rPr>
              <w:t>2021)1432319 z 23.02.2021 r.).</w:t>
            </w:r>
          </w:p>
          <w:p w14:paraId="4CD91C05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wnioskodawca posiada dokumentację środowiskową zgodną z regulaminem wyboru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projektów, w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83D2C35" w14:textId="3FE707D3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5DD5F0D4" w14:textId="53F5196E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7384CD5A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C6FBD1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4B7602A" w14:textId="3B20DD49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9F0D990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D74CE5" w14:textId="50C3E4E5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3434C6" w14:paraId="0A4CC015" w14:textId="77777777" w:rsidTr="008351D0">
        <w:trPr>
          <w:trHeight w:val="1559"/>
        </w:trPr>
        <w:tc>
          <w:tcPr>
            <w:tcW w:w="1109" w:type="dxa"/>
            <w:vAlign w:val="center"/>
          </w:tcPr>
          <w:p w14:paraId="4746D748" w14:textId="3D95847C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03BDBDBA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5" w:type="dxa"/>
          </w:tcPr>
          <w:p w14:paraId="21243082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465BDF4" w14:textId="0630F4D8" w:rsidR="008351D0" w:rsidRPr="003434C6" w:rsidRDefault="008351D0" w:rsidP="00DE1A20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4E34DB22" w14:textId="77777777" w:rsidR="008351D0" w:rsidRPr="003434C6" w:rsidRDefault="008351D0" w:rsidP="00DE1A20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DD099AB" w14:textId="366495F3" w:rsidR="008E3DF6" w:rsidRPr="00ED332B" w:rsidRDefault="008351D0" w:rsidP="00ED332B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0E70DA2" w14:textId="4BD94A9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4CB4AFB" w14:textId="6A0F6F59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5CD51DB7" w14:textId="76E1D4A3" w:rsidR="00ED332B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6082F37" w14:textId="589EBD68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081505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7ED793" w14:textId="7FA5A879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210DB4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51176A10" w14:textId="0F6DDB2F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6E6" w:rsidRPr="003434C6" w14:paraId="64C32B66" w14:textId="77777777" w:rsidTr="008351D0">
        <w:trPr>
          <w:trHeight w:val="416"/>
        </w:trPr>
        <w:tc>
          <w:tcPr>
            <w:tcW w:w="1109" w:type="dxa"/>
            <w:vAlign w:val="center"/>
          </w:tcPr>
          <w:p w14:paraId="3D71980E" w14:textId="2C086BBB" w:rsidR="00CE36E6" w:rsidRPr="003434C6" w:rsidRDefault="00CE36E6" w:rsidP="001D24C0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2C59E79B" w14:textId="52DE7B68" w:rsidR="00CE36E6" w:rsidRPr="00ED332B" w:rsidRDefault="00CE36E6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745" w:type="dxa"/>
          </w:tcPr>
          <w:p w14:paraId="1016EE4B" w14:textId="7777777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AC06393" w14:textId="5DC145C0" w:rsidR="00CE36E6" w:rsidRPr="003434C6" w:rsidRDefault="00CE36E6" w:rsidP="00DE1A20">
            <w:pPr>
              <w:numPr>
                <w:ilvl w:val="0"/>
                <w:numId w:val="6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i uwzględnia zakres rzeczowy oraz czas niezbędny na realizację procedur przetargowych i inne okoliczności niezbędne do realizacji tych procedur,</w:t>
            </w:r>
          </w:p>
          <w:p w14:paraId="21B8DE50" w14:textId="77777777" w:rsidR="00CE36E6" w:rsidRPr="003434C6" w:rsidRDefault="00CE36E6" w:rsidP="00DE1A20">
            <w:pPr>
              <w:numPr>
                <w:ilvl w:val="0"/>
                <w:numId w:val="6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C3569B8" w14:textId="77777777" w:rsidR="00CE36E6" w:rsidRPr="003434C6" w:rsidRDefault="00CE36E6" w:rsidP="00DE1A20">
            <w:pPr>
              <w:numPr>
                <w:ilvl w:val="0"/>
                <w:numId w:val="6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15F9453D" w14:textId="18B7810C" w:rsidR="00CE36E6" w:rsidRPr="00ED332B" w:rsidRDefault="00CE36E6" w:rsidP="003434C6">
            <w:pPr>
              <w:numPr>
                <w:ilvl w:val="0"/>
                <w:numId w:val="6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4C8D9D2" w14:textId="5A9DAE57" w:rsidR="00CE36E6" w:rsidRPr="00ED332B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5D72CE27" w14:textId="77777777" w:rsidR="00ED332B" w:rsidRDefault="00CE36E6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85952CF" w14:textId="745E370C" w:rsidR="00CE36E6" w:rsidRPr="003434C6" w:rsidRDefault="00CE36E6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CAC369" w14:textId="7777777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B788C7" w14:textId="31F844BA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2074163" w14:textId="7777777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645FFC" w14:textId="72DE0BF4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E36E6" w:rsidRPr="003434C6" w14:paraId="0B0DFCED" w14:textId="77777777" w:rsidTr="008351D0">
        <w:trPr>
          <w:trHeight w:val="416"/>
        </w:trPr>
        <w:tc>
          <w:tcPr>
            <w:tcW w:w="1109" w:type="dxa"/>
            <w:vAlign w:val="center"/>
          </w:tcPr>
          <w:p w14:paraId="2E64D4A1" w14:textId="4B7D8055" w:rsidR="00CE36E6" w:rsidRPr="003434C6" w:rsidRDefault="00CE36E6" w:rsidP="001D24C0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D3DDF88" w14:textId="3849F370" w:rsidR="00CE36E6" w:rsidRPr="003434C6" w:rsidRDefault="00CE36E6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79B54356" w14:textId="77777777" w:rsidR="00CE36E6" w:rsidRPr="003434C6" w:rsidRDefault="00CE36E6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745" w:type="dxa"/>
          </w:tcPr>
          <w:p w14:paraId="2ACEEFDA" w14:textId="6E362668" w:rsidR="00CE36E6" w:rsidRPr="003434C6" w:rsidRDefault="00CE36E6" w:rsidP="00ED332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projekt wykazuje pozytywne efekty ekonomiczne oraz czy analiza finansowa przedsięwzięcia została przeprowadzona poprawnie,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5FD44261" w14:textId="77777777" w:rsidR="00CE36E6" w:rsidRPr="003434C6" w:rsidRDefault="00CE36E6" w:rsidP="00DE1A2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D036850" w14:textId="2E6C45B7" w:rsidR="00CE36E6" w:rsidRPr="003434C6" w:rsidRDefault="00CE36E6" w:rsidP="00DE1A2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i uzasadnione, </w:t>
            </w:r>
          </w:p>
          <w:p w14:paraId="36C5C68A" w14:textId="77777777" w:rsidR="00CE36E6" w:rsidRPr="003434C6" w:rsidRDefault="00CE36E6" w:rsidP="00DE1A2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C5E712D" w14:textId="77777777" w:rsidR="00CE36E6" w:rsidRPr="003434C6" w:rsidRDefault="00CE36E6" w:rsidP="00DE1A2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9448960" w14:textId="0ABB408B" w:rsidR="00CE36E6" w:rsidRPr="00ED332B" w:rsidRDefault="00CE36E6" w:rsidP="003434C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 wykazana została stabilność finansowa (wymagane dla projektów obejmujących inwestycje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w infrastrukturę lub inwestycje produkcyjne).</w:t>
            </w:r>
          </w:p>
          <w:p w14:paraId="0557047E" w14:textId="4CA7DDC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7653F65D" w14:textId="47429E06" w:rsidR="00CE36E6" w:rsidRPr="003434C6" w:rsidRDefault="00CE36E6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E1F4E84" w14:textId="77777777" w:rsidR="00CE36E6" w:rsidRPr="003434C6" w:rsidRDefault="00CE36E6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13D3D3" w14:textId="7777777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E16EBE" w14:textId="7198BB06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62493C" w14:textId="7777777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4A07750" w14:textId="1CF3CF0B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351D0" w:rsidRPr="003434C6" w14:paraId="342E2474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32ACC0CD" w14:textId="505AAB1E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286D54DC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5" w:type="dxa"/>
          </w:tcPr>
          <w:p w14:paraId="055D5457" w14:textId="5EF3E77E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wydatki wskazane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w projekcie spełniają warunki kwalifikowalności, tj.:</w:t>
            </w:r>
          </w:p>
          <w:p w14:paraId="68794DF7" w14:textId="4E04C28F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określonych w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art. 63 ust. 2 rozporządzenia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nr 2021/1060,</w:t>
            </w:r>
          </w:p>
          <w:p w14:paraId="10B0FE0F" w14:textId="77777777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3434C6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10F4C8E" w14:textId="77777777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72F8CBE2" w14:textId="77777777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DB2974F" w14:textId="27A8D678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zostaną dokonane w sposób racjonalny i efektywny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z zachowaniem zasad uzyskiwania najlepszych efektów z danych nakładów,</w:t>
            </w:r>
          </w:p>
          <w:p w14:paraId="22686DBC" w14:textId="728B1544" w:rsidR="008351D0" w:rsidRPr="00ED332B" w:rsidRDefault="008351D0" w:rsidP="003434C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E3A200F" w14:textId="1338905D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73FF2FD0" w14:textId="1FDA43A3" w:rsidR="00ED332B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6ECCD12" w14:textId="5960DCB0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83FB7E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85C978" w14:textId="1D087E0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8EC3BC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F7C42F" w14:textId="4CD97233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3434C6" w14:paraId="760351BA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693946C3" w14:textId="2F2E3749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55C91C3" w14:textId="77777777" w:rsidR="008351D0" w:rsidRPr="003434C6" w:rsidRDefault="008351D0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5B50C765" w14:textId="77777777" w:rsidR="008351D0" w:rsidRPr="003434C6" w:rsidRDefault="008351D0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745" w:type="dxa"/>
          </w:tcPr>
          <w:p w14:paraId="6CE51D3A" w14:textId="7C07004C" w:rsidR="008351D0" w:rsidRPr="003434C6" w:rsidRDefault="008351D0" w:rsidP="00ED332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z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C9F2EE3" w14:textId="33A34C83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79C32A3E" w14:textId="77777777" w:rsidR="00ED332B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1D674D5" w14:textId="483A25A6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4CFC53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573BB4" w14:textId="084B3743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9A412E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C364EB" w14:textId="2EC60A05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3434C6" w14:paraId="27C1FF08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78633BE9" w14:textId="5859DDB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11FE56DA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5" w:type="dxa"/>
          </w:tcPr>
          <w:p w14:paraId="6556B0C0" w14:textId="1ABAFC75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26 października 2012 r. (Dz. Urz. UE C 326/391 z 26.10.2012) w zakresie odnoszącym się do sposobu realizacji, zakresu projektu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0A8B669F" w14:textId="37AAB1EE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strukturalnych i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inwestycyjnych, w szczególności załącznik nr III.</w:t>
            </w:r>
          </w:p>
          <w:p w14:paraId="20ECA14E" w14:textId="1273D731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30F4E203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D8F5B2A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A93E70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CD22E8" w14:textId="2A78C0F8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C0FE6B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ED0412" w14:textId="4D227988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3434C6" w14:paraId="49914D62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58619D3D" w14:textId="0A9B9FE2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3DA0401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745" w:type="dxa"/>
          </w:tcPr>
          <w:p w14:paraId="4DD861D8" w14:textId="01133F9B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z Konwencją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6FFAD67D" w14:textId="758FA4D6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5035EF1" w14:textId="5A7BD7C0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4C58A2FE" w14:textId="77777777" w:rsidR="00ED332B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B4D3D05" w14:textId="5D882DF9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2AD888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C1D2F1" w14:textId="13BA8AA4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9C63300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9F83D4" w14:textId="4D5918CA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3434C6" w14:paraId="4EB0AA48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66527BB2" w14:textId="6E18D5A5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560465E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45" w:type="dxa"/>
          </w:tcPr>
          <w:p w14:paraId="7200DD8E" w14:textId="5C10D4AA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i wykluczenia ze względu na płeć.</w:t>
            </w:r>
          </w:p>
          <w:p w14:paraId="26408CBE" w14:textId="0CBB62FD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15642E1E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F49E740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395E7D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EAABE3" w14:textId="122A1DA0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D11270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BD0689" w14:textId="65442A72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81774D" w14:textId="77777777" w:rsidR="002C2CE8" w:rsidRPr="003434C6" w:rsidRDefault="002C2CE8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03CABB70" w14:textId="77777777" w:rsidR="007257F1" w:rsidRPr="003434C6" w:rsidRDefault="002C2CE8" w:rsidP="003434C6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3434C6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3434C6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3434C6" w14:paraId="186411C7" w14:textId="77777777" w:rsidTr="00715C99">
        <w:trPr>
          <w:trHeight w:val="142"/>
        </w:trPr>
        <w:tc>
          <w:tcPr>
            <w:tcW w:w="1009" w:type="dxa"/>
            <w:shd w:val="clear" w:color="auto" w:fill="E7E6E6"/>
            <w:vAlign w:val="center"/>
          </w:tcPr>
          <w:p w14:paraId="138571D6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016CD06C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4684831F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64A70577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6899D4A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D7439" w:rsidRPr="003434C6" w14:paraId="46B0ECD1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520AB65D" w14:textId="77777777" w:rsidR="006D7439" w:rsidRPr="003434C6" w:rsidRDefault="006D7439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598" w:type="dxa"/>
            <w:vAlign w:val="center"/>
          </w:tcPr>
          <w:p w14:paraId="0002FB09" w14:textId="56326C8D" w:rsidR="006D7439" w:rsidRPr="003434C6" w:rsidRDefault="006D7439" w:rsidP="001D24C0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caps/>
                <w:sz w:val="24"/>
                <w:szCs w:val="24"/>
                <w:lang w:val="pl-PL"/>
              </w:rPr>
            </w:pPr>
            <w:r w:rsidRPr="003434C6">
              <w:rPr>
                <w:rFonts w:ascii="Arial" w:hAnsi="Arial"/>
                <w:sz w:val="24"/>
                <w:szCs w:val="24"/>
                <w:lang w:val="pl-PL"/>
              </w:rPr>
              <w:t>Zgodność ze standardami kształtowania ładu przestrzennego w województwie</w:t>
            </w:r>
          </w:p>
        </w:tc>
        <w:tc>
          <w:tcPr>
            <w:tcW w:w="7133" w:type="dxa"/>
          </w:tcPr>
          <w:p w14:paraId="0D65354E" w14:textId="0BD1469A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ze standardami w zakresie kształtowania ładu przestrzennego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w województwie, co będzie oceniane na podstawie:</w:t>
            </w:r>
          </w:p>
          <w:p w14:paraId="5A45F411" w14:textId="3DC1FDCD" w:rsidR="006D7439" w:rsidRPr="00ED332B" w:rsidRDefault="006D7439" w:rsidP="00ED332B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A1C55A9" w14:textId="06ADF3FE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3C0F113B" w14:textId="77777777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2914E04C" w14:textId="77777777" w:rsidR="006D7439" w:rsidRPr="003434C6" w:rsidRDefault="006D7439" w:rsidP="00DE1A2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20ED919D" w14:textId="77777777" w:rsidR="006D7439" w:rsidRPr="003434C6" w:rsidRDefault="006D7439" w:rsidP="00DE1A2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5FAB871" w14:textId="768E2861" w:rsidR="006D7439" w:rsidRPr="00ED332B" w:rsidRDefault="006D7439" w:rsidP="003434C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zagospodarowania terenu (z wyjątkami określonymi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w standardach).</w:t>
            </w:r>
          </w:p>
          <w:p w14:paraId="3E82A6CF" w14:textId="46B01869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35463249" w14:textId="37111900" w:rsidR="006D7439" w:rsidRPr="003434C6" w:rsidRDefault="006D7439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103E140" w14:textId="77777777" w:rsidR="006D7439" w:rsidRPr="003434C6" w:rsidRDefault="006D7439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E54012" w14:textId="77777777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1D7DAFE" w14:textId="677B3736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0F8FDD7" w14:textId="77777777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B2F0A75" w14:textId="031D44E3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797F" w:rsidRPr="003434C6" w14:paraId="2776DF1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0C79DE41" w14:textId="77777777" w:rsidR="005C797F" w:rsidRPr="003434C6" w:rsidRDefault="005C797F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C.</w:t>
            </w:r>
            <w:r w:rsidR="00CF54F6" w:rsidRPr="003434C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3A500C4D" w14:textId="77777777" w:rsidR="005C797F" w:rsidRPr="003434C6" w:rsidRDefault="008707C3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7133" w:type="dxa"/>
          </w:tcPr>
          <w:p w14:paraId="2BF4B1A7" w14:textId="77777777" w:rsidR="00E60E4A" w:rsidRPr="003434C6" w:rsidRDefault="00E60E4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55018AD" w14:textId="77777777" w:rsidR="00E60E4A" w:rsidRPr="003434C6" w:rsidRDefault="00E60E4A" w:rsidP="00DE1A2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 został zamieszczony na liście podstawowej projektów, we właściwej ze względu na obszar, strategii IIT dla OPPT, posiadającej pozytywną opinię Instytucji Zarządzającej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FEdKP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CCF89DA" w14:textId="6CA541B1" w:rsidR="00E60E4A" w:rsidRPr="003434C6" w:rsidRDefault="00E60E4A" w:rsidP="006654B3">
            <w:pPr>
              <w:numPr>
                <w:ilvl w:val="0"/>
                <w:numId w:val="15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o dofinansowanie projektu nie przekracza wartości dofinansowania UE tego projektu wskazanej w fiszkach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projektowych stanowiących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załącznik do porozumienia terytorialnego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0E84457" w14:textId="3C184335" w:rsidR="00E60E4A" w:rsidRPr="003434C6" w:rsidRDefault="00E60E4A" w:rsidP="006654B3">
            <w:pPr>
              <w:numPr>
                <w:ilvl w:val="0"/>
                <w:numId w:val="1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6963F0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3434C6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20967336" w14:textId="1BFDD5B7" w:rsidR="00ED208F" w:rsidRPr="003434C6" w:rsidRDefault="00E60E4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 w:rsidR="003A10A8"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10A8" w:rsidRPr="003434C6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 w:rsidR="003A10A8"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="003A10A8"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 w:rsidR="003A10A8">
              <w:rPr>
                <w:rFonts w:ascii="Arial" w:hAnsi="Arial" w:cs="Arial"/>
                <w:sz w:val="24"/>
                <w:szCs w:val="24"/>
              </w:rPr>
              <w:t>ej</w:t>
            </w:r>
            <w:r w:rsidR="003A10A8"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 w:rsidR="003A10A8"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="003A10A8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wnioskodawca zobowiązany jest załączyć do wniosku o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dofinansowanie projektu oświadczenie organu lub podmiotu odpowiedzialnego za przygotowanie właściwej strategii IIT dla OPPT</w:t>
            </w:r>
            <w:r w:rsidR="003A10A8"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AEE341" w14:textId="1F36FB44" w:rsidR="005C797F" w:rsidRPr="003434C6" w:rsidRDefault="00E60E4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projektu, strategię IIT dla OPPT lub oświadczenie organu lub podmiotu odpowiedzialnego za przygotowanie, właściwej ze względu na obszar, strategii IIT dla OPPT oraz porozumienie terytorialne.</w:t>
            </w:r>
          </w:p>
        </w:tc>
        <w:tc>
          <w:tcPr>
            <w:tcW w:w="3543" w:type="dxa"/>
          </w:tcPr>
          <w:p w14:paraId="5B50E670" w14:textId="7E676F55" w:rsidR="005C797F" w:rsidRPr="003434C6" w:rsidRDefault="005C797F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A54EDF" w14:textId="77777777" w:rsidR="005C797F" w:rsidRPr="003434C6" w:rsidRDefault="005C797F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65CFA856" w14:textId="77777777" w:rsidR="005C797F" w:rsidRPr="003434C6" w:rsidRDefault="005C797F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79D796" w14:textId="77777777" w:rsidR="005C797F" w:rsidRPr="003434C6" w:rsidRDefault="005C797F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50885B" w14:textId="77777777" w:rsidR="005C797F" w:rsidRPr="003434C6" w:rsidRDefault="005C797F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8BF65B" w14:textId="5E4551B4" w:rsidR="005C797F" w:rsidRPr="003434C6" w:rsidRDefault="005C797F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524" w:rsidRPr="003434C6" w14:paraId="7F16608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165973FD" w14:textId="77777777" w:rsidR="00641524" w:rsidRPr="003434C6" w:rsidRDefault="00E178F4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0555C9" w:rsidRPr="003434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00C36357" w14:textId="77777777" w:rsidR="00641524" w:rsidRPr="003434C6" w:rsidRDefault="00E178F4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Analiza popytu</w:t>
            </w:r>
            <w:r w:rsidR="0057144F" w:rsidRPr="003434C6">
              <w:rPr>
                <w:rFonts w:ascii="Arial" w:hAnsi="Arial" w:cs="Arial"/>
                <w:sz w:val="24"/>
                <w:szCs w:val="24"/>
              </w:rPr>
              <w:t xml:space="preserve"> i podaży</w:t>
            </w:r>
          </w:p>
        </w:tc>
        <w:tc>
          <w:tcPr>
            <w:tcW w:w="7133" w:type="dxa"/>
          </w:tcPr>
          <w:p w14:paraId="62C6BD72" w14:textId="620E6564" w:rsidR="00E178F4" w:rsidRPr="003434C6" w:rsidRDefault="00E178F4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 czy wnioskodawca:</w:t>
            </w:r>
          </w:p>
          <w:p w14:paraId="7D5EAB22" w14:textId="77777777" w:rsidR="00E178F4" w:rsidRPr="003434C6" w:rsidRDefault="00E178F4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przedstawił analizę popytu MŚP na usługi, które będą świadczone na infrastrukturze, która powstanie w ramach realizacji projektu oraz w jakim zakresie planowana infrastruktura przyczyni się do zaspokojenia potrzeb zdiagnozowanych wśród przedsiębiorców;</w:t>
            </w:r>
          </w:p>
          <w:p w14:paraId="33D83229" w14:textId="77777777" w:rsidR="00E57FB7" w:rsidRPr="003434C6" w:rsidRDefault="00E57FB7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przedstawił regionalną analizę podaży planowanych do wprowadzenia usług dla sektora MŚP, które będą świadczone na wytworzonej infrastrukturze i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wskazał,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dlaczego podaż ta, jest niewystarczająca na rynku regionalnym;</w:t>
            </w:r>
          </w:p>
          <w:p w14:paraId="08091DA6" w14:textId="3712993F" w:rsidR="00E178F4" w:rsidRPr="003434C6" w:rsidRDefault="00E178F4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przeprowadził analizę dostępnych standardów świadczenia usług podobnych do usług</w:t>
            </w:r>
            <w:r w:rsidR="00E57FB7" w:rsidRPr="003434C6">
              <w:rPr>
                <w:rFonts w:ascii="Arial" w:hAnsi="Arial" w:cs="Arial"/>
                <w:sz w:val="24"/>
                <w:szCs w:val="24"/>
              </w:rPr>
              <w:t>i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, które wdroży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wyniku realizacji projektu do swojej działalności lub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z wykorzystaniem dostępnych standardów usług;</w:t>
            </w:r>
          </w:p>
          <w:p w14:paraId="60C3191B" w14:textId="77777777" w:rsidR="00E178F4" w:rsidRPr="003434C6" w:rsidRDefault="00E178F4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opisał w jaki sposób przedmiotowe standardy zostaną przez niego wdrożone</w:t>
            </w:r>
            <w:r w:rsidR="00357BDB"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A71CAA" w14:textId="77777777" w:rsidR="00E178F4" w:rsidRPr="003434C6" w:rsidRDefault="00E178F4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przedstawił informacje o działaniach podjętych/planowanych do podjęcia w celu monitorowania procesu świadczenia usług i weryfikowania satysfakcji odbiorców usług</w:t>
            </w:r>
            <w:r w:rsidR="00A27BEA"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FB5B193" w14:textId="5F8DCE7E" w:rsidR="00641524" w:rsidRPr="006654B3" w:rsidRDefault="00A27BEA" w:rsidP="003434C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przedstawił uzasadnienie, czy powstała w ramach projektu infrastruktura jest elementem niezbędnym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i koniecznym do świadczenia usług na rzecz MŚP.</w:t>
            </w:r>
          </w:p>
          <w:p w14:paraId="377DABBF" w14:textId="5E3791FC" w:rsidR="00390012" w:rsidRPr="003434C6" w:rsidRDefault="00390012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6B329035" w14:textId="5D549B65" w:rsidR="00390012" w:rsidRPr="003434C6" w:rsidRDefault="00390012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DD32895" w14:textId="77777777" w:rsidR="00390012" w:rsidRPr="003434C6" w:rsidRDefault="00390012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C8A22F" w14:textId="77777777" w:rsidR="00390012" w:rsidRPr="003434C6" w:rsidRDefault="00390012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02DEE8" w14:textId="77777777" w:rsidR="00390012" w:rsidRPr="003434C6" w:rsidRDefault="00390012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2E519C" w14:textId="77777777" w:rsidR="00390012" w:rsidRPr="003434C6" w:rsidRDefault="00390012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34FD93A8" w14:textId="245C61CD" w:rsidR="00641524" w:rsidRPr="003434C6" w:rsidRDefault="00641524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7BEA" w:rsidRPr="003434C6" w14:paraId="1E1F06C1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18822CB5" w14:textId="77777777" w:rsidR="00A27BEA" w:rsidRPr="003434C6" w:rsidRDefault="00D70BF3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0555C9" w:rsidRPr="003434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54F9D36D" w14:textId="77777777" w:rsidR="00A27BEA" w:rsidRPr="003434C6" w:rsidRDefault="00D70BF3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Charakterystyka ostatecznych odbiorców projektu</w:t>
            </w:r>
          </w:p>
        </w:tc>
        <w:tc>
          <w:tcPr>
            <w:tcW w:w="7133" w:type="dxa"/>
          </w:tcPr>
          <w:p w14:paraId="5F62FB13" w14:textId="0720AF2C" w:rsidR="00AB573A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 wnioskodawca jednoznacznie zdefiniował ostatecznych odbiorców projektu, tj. czy są to mikro, mały lub średni przedsiębiorca w rozumieniu załącznika I do rozporządzenia nr 651/2014.</w:t>
            </w:r>
          </w:p>
          <w:p w14:paraId="02B65789" w14:textId="1E0EB23C" w:rsidR="00D70BF3" w:rsidRPr="003434C6" w:rsidRDefault="00D70BF3" w:rsidP="006654B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Odbiorca ostateczny </w:t>
            </w:r>
            <w:r w:rsidRPr="003434C6">
              <w:rPr>
                <w:rFonts w:ascii="Arial" w:eastAsia="Times New Roman" w:hAnsi="Arial" w:cs="Arial"/>
                <w:sz w:val="24"/>
                <w:szCs w:val="24"/>
              </w:rPr>
              <w:t xml:space="preserve">musi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prowadzić </w:t>
            </w:r>
            <w:r w:rsidRPr="003434C6">
              <w:rPr>
                <w:rFonts w:ascii="Arial" w:eastAsia="Times New Roman" w:hAnsi="Arial" w:cs="Arial"/>
                <w:sz w:val="24"/>
                <w:szCs w:val="24"/>
              </w:rPr>
              <w:t>działalność gospodarczą</w:t>
            </w:r>
            <w:r w:rsidRPr="003434C6">
              <w:rPr>
                <w:rStyle w:val="Odwoanieprzypisudolnego"/>
                <w:rFonts w:ascii="Arial" w:eastAsia="Times New Roman" w:hAnsi="Arial" w:cs="Arial"/>
                <w:sz w:val="24"/>
                <w:szCs w:val="24"/>
              </w:rPr>
              <w:footnoteReference w:id="13"/>
            </w:r>
            <w:r w:rsidRPr="003434C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na terytorium województwa </w:t>
            </w:r>
            <w:r w:rsidRPr="003434C6">
              <w:rPr>
                <w:rFonts w:ascii="Arial" w:eastAsia="Times New Roman" w:hAnsi="Arial" w:cs="Arial"/>
                <w:sz w:val="24"/>
                <w:szCs w:val="24"/>
              </w:rPr>
              <w:t>kujawsko-pomorskiego.</w:t>
            </w:r>
          </w:p>
          <w:p w14:paraId="0ACC1D89" w14:textId="14E86510" w:rsidR="00A27BEA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5395B6D5" w14:textId="61416420" w:rsidR="00D70BF3" w:rsidRPr="003434C6" w:rsidRDefault="00D70BF3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93EDB6" w14:textId="77777777" w:rsidR="00D70BF3" w:rsidRPr="003434C6" w:rsidRDefault="00D70BF3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131AEA" w14:textId="77777777" w:rsidR="00D70BF3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FC3489" w14:textId="77777777" w:rsidR="00D70BF3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C784816" w14:textId="77777777" w:rsidR="00D70BF3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721F13" w14:textId="0BECD938" w:rsidR="00A27BEA" w:rsidRPr="003434C6" w:rsidRDefault="00A27BE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0CA" w:rsidRPr="003434C6" w14:paraId="5D47D741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2752CE7D" w14:textId="77777777" w:rsidR="006B10CA" w:rsidRPr="003434C6" w:rsidRDefault="006B10CA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5A2DE9" w:rsidRPr="003434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2EC869FA" w14:textId="77777777" w:rsidR="006B10CA" w:rsidRPr="003434C6" w:rsidRDefault="006B10CA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wpisuje się w regionalną strategię inteligentnej specjalizacji</w:t>
            </w:r>
          </w:p>
        </w:tc>
        <w:tc>
          <w:tcPr>
            <w:tcW w:w="7133" w:type="dxa"/>
          </w:tcPr>
          <w:p w14:paraId="7A71F9FB" w14:textId="4F49D335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 wnioskodawca oświadczył, że świadcząc usługi na powstałej w wynik</w:t>
            </w:r>
            <w:r w:rsidR="004B3AC1" w:rsidRPr="003434C6">
              <w:rPr>
                <w:rFonts w:ascii="Arial" w:hAnsi="Arial" w:cs="Arial"/>
                <w:sz w:val="24"/>
                <w:szCs w:val="24"/>
              </w:rPr>
              <w:t>u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realizacji projektu infrastrukturze będzie preferował odbiorców, których przedsięwzięcia będą wpisywać się w obszary wyznaczone przez regionalną strategię inteligentnych specjalizacji wskazane w dokumencie pn. „Regionalna Strategia Inteligentnej Specjalizacji (RIS3) 2021+. Województwo Kujawsko-Pomorskie. Perspektywa 2021-2027”, stanowiącym załącznik do Regulaminu konkursu.</w:t>
            </w:r>
          </w:p>
          <w:p w14:paraId="0C6C50C1" w14:textId="3279DB99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6654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3262ADB8" w14:textId="6FDB486E" w:rsidR="006B10CA" w:rsidRPr="003434C6" w:rsidRDefault="006B10CA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EAF3444" w14:textId="77777777" w:rsidR="006B10CA" w:rsidRPr="003434C6" w:rsidRDefault="006B10CA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74CA50" w14:textId="77777777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824AB3" w14:textId="77777777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27878FC" w14:textId="77777777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2C65216" w14:textId="1855EF98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6FCC" w:rsidRPr="003434C6" w14:paraId="0E1F1F4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2819BA79" w14:textId="77777777" w:rsidR="00906FCC" w:rsidRPr="003434C6" w:rsidRDefault="00906FCC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598" w:type="dxa"/>
            <w:vAlign w:val="center"/>
          </w:tcPr>
          <w:p w14:paraId="7E136FF9" w14:textId="77777777" w:rsidR="00906FCC" w:rsidRPr="003434C6" w:rsidRDefault="00906FCC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Wpływ projektu na rozwój przedsiębiorczości</w:t>
            </w:r>
          </w:p>
        </w:tc>
        <w:tc>
          <w:tcPr>
            <w:tcW w:w="7133" w:type="dxa"/>
          </w:tcPr>
          <w:p w14:paraId="1899DD91" w14:textId="764D1F79" w:rsidR="000A248E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1C1030" w:rsidRPr="003434C6">
              <w:rPr>
                <w:rFonts w:ascii="Arial" w:hAnsi="Arial" w:cs="Arial"/>
                <w:sz w:val="24"/>
                <w:szCs w:val="24"/>
              </w:rPr>
              <w:t xml:space="preserve">wnioskodawca w wyniku realizacji projektu udzieli wsparcia </w:t>
            </w:r>
            <w:r w:rsidR="008A22E5" w:rsidRPr="003434C6">
              <w:rPr>
                <w:rFonts w:ascii="Arial" w:hAnsi="Arial" w:cs="Arial"/>
                <w:sz w:val="24"/>
                <w:szCs w:val="24"/>
              </w:rPr>
              <w:t xml:space="preserve">niefinansowego, </w:t>
            </w:r>
            <w:r w:rsidR="001C1030" w:rsidRPr="003434C6">
              <w:rPr>
                <w:rFonts w:ascii="Arial" w:hAnsi="Arial" w:cs="Arial"/>
                <w:sz w:val="24"/>
                <w:szCs w:val="24"/>
              </w:rPr>
              <w:t>co najmniej 10 przedsiębiorcom</w:t>
            </w:r>
            <w:r w:rsidR="000015BB"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FA15F3" w:rsidRPr="003434C6">
              <w:rPr>
                <w:rFonts w:ascii="Arial" w:hAnsi="Arial" w:cs="Arial"/>
                <w:sz w:val="24"/>
                <w:szCs w:val="24"/>
              </w:rPr>
              <w:t xml:space="preserve"> poprzez m.in. wzmocnienie kompetencji przedsiębiorców w zakresie transformacji ekologicznej i cyfrowej, zarz</w:t>
            </w:r>
            <w:r w:rsidR="008A22E5" w:rsidRPr="003434C6">
              <w:rPr>
                <w:rFonts w:ascii="Arial" w:hAnsi="Arial" w:cs="Arial"/>
                <w:sz w:val="24"/>
                <w:szCs w:val="24"/>
              </w:rPr>
              <w:t>ą</w:t>
            </w:r>
            <w:r w:rsidR="00FA15F3" w:rsidRPr="003434C6">
              <w:rPr>
                <w:rFonts w:ascii="Arial" w:hAnsi="Arial" w:cs="Arial"/>
                <w:sz w:val="24"/>
                <w:szCs w:val="24"/>
              </w:rPr>
              <w:t>dzania biznesowego, umiejętności związanych z B+R oraz RIS.</w:t>
            </w:r>
          </w:p>
          <w:p w14:paraId="5DC95162" w14:textId="081B04DB" w:rsidR="00455454" w:rsidRPr="003434C6" w:rsidRDefault="001C103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Weryfikacja kryterium będzie możliwa</w:t>
            </w:r>
            <w:r w:rsidR="000A248E" w:rsidRPr="003434C6">
              <w:rPr>
                <w:rFonts w:ascii="Arial" w:hAnsi="Arial" w:cs="Arial"/>
                <w:sz w:val="24"/>
                <w:szCs w:val="24"/>
              </w:rPr>
              <w:t xml:space="preserve"> pod warunkiem wybrania przez wnioskodawcę </w:t>
            </w:r>
            <w:r w:rsidRPr="003434C6">
              <w:rPr>
                <w:rFonts w:ascii="Arial" w:hAnsi="Arial" w:cs="Arial"/>
                <w:sz w:val="24"/>
                <w:szCs w:val="24"/>
              </w:rPr>
              <w:t>wskaźnika produktu pn. „Przedsiębiorstwa otrzymujące wsparcie niefinansowe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434C6">
              <w:rPr>
                <w:rFonts w:ascii="Arial" w:hAnsi="Arial" w:cs="Arial"/>
                <w:sz w:val="24"/>
                <w:szCs w:val="24"/>
              </w:rPr>
              <w:t>”</w:t>
            </w:r>
            <w:r w:rsidR="00061AF0"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AAE3B2" w14:textId="07EA4CAF" w:rsidR="00906FCC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19EDEBBF" w14:textId="07BD66BD" w:rsidR="000A248E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779CE2F" w14:textId="77777777" w:rsidR="000A248E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E7CC12" w14:textId="77777777" w:rsidR="000A248E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8CB711" w14:textId="77777777" w:rsidR="000A248E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257C9A2" w14:textId="77777777" w:rsidR="000A248E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DF507A" w14:textId="33D5612D" w:rsidR="00906FCC" w:rsidRPr="003434C6" w:rsidRDefault="00906FCC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FFC128" w14:textId="77777777" w:rsidR="00EF12AB" w:rsidRPr="003434C6" w:rsidRDefault="00EF12AB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sectPr w:rsidR="00EF12AB" w:rsidRPr="003434C6" w:rsidSect="00E346F9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993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723CE" w14:textId="77777777" w:rsidR="00AB0C95" w:rsidRDefault="00AB0C95" w:rsidP="00D15E00">
      <w:pPr>
        <w:spacing w:after="0" w:line="240" w:lineRule="auto"/>
      </w:pPr>
      <w:r>
        <w:separator/>
      </w:r>
    </w:p>
  </w:endnote>
  <w:endnote w:type="continuationSeparator" w:id="0">
    <w:p w14:paraId="197C8151" w14:textId="77777777" w:rsidR="00AB0C95" w:rsidRDefault="00AB0C9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4CF36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6E9" w:rsidRPr="005B16E9">
      <w:rPr>
        <w:noProof/>
        <w:lang w:val="pl-PL"/>
      </w:rPr>
      <w:t>20</w:t>
    </w:r>
    <w:r>
      <w:fldChar w:fldCharType="end"/>
    </w:r>
  </w:p>
  <w:p w14:paraId="426E38F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059DD" w14:textId="4FB6835D" w:rsidR="00EF6CFB" w:rsidRPr="00EE54CD" w:rsidRDefault="003434C6" w:rsidP="00EE54CD">
    <w:pPr>
      <w:pStyle w:val="Stopka"/>
      <w:jc w:val="center"/>
    </w:pPr>
    <w:r>
      <w:rPr>
        <w:noProof/>
      </w:rPr>
      <w:drawing>
        <wp:inline distT="0" distB="0" distL="0" distR="0" wp14:anchorId="2818CC66" wp14:editId="6821E297">
          <wp:extent cx="6962775" cy="857250"/>
          <wp:effectExtent l="0" t="0" r="0" b="0"/>
          <wp:docPr id="1036512342" name="Obraz 103651234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E88A9" w14:textId="77777777" w:rsidR="00AB0C95" w:rsidRDefault="00AB0C95" w:rsidP="00D15E00">
      <w:pPr>
        <w:spacing w:after="0" w:line="240" w:lineRule="auto"/>
      </w:pPr>
      <w:r>
        <w:separator/>
      </w:r>
    </w:p>
  </w:footnote>
  <w:footnote w:type="continuationSeparator" w:id="0">
    <w:p w14:paraId="172F731D" w14:textId="77777777" w:rsidR="00AB0C95" w:rsidRDefault="00AB0C95" w:rsidP="00D15E00">
      <w:pPr>
        <w:spacing w:after="0" w:line="240" w:lineRule="auto"/>
      </w:pPr>
      <w:r>
        <w:continuationSeparator/>
      </w:r>
    </w:p>
  </w:footnote>
  <w:footnote w:id="1">
    <w:p w14:paraId="2289F715" w14:textId="77777777" w:rsidR="00E346F9" w:rsidRPr="006654B3" w:rsidRDefault="00E346F9" w:rsidP="00E346F9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</w:t>
      </w:r>
      <w:r w:rsidRPr="006654B3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6F8BA994" w14:textId="77777777" w:rsidR="00EE54CD" w:rsidRPr="006654B3" w:rsidRDefault="00EE54CD" w:rsidP="006654B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</w:t>
      </w:r>
      <w:r w:rsidRPr="006654B3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5BF5731F" w14:textId="77777777" w:rsidR="00EE54CD" w:rsidRPr="006654B3" w:rsidRDefault="00EE54CD" w:rsidP="006654B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6654B3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6654B3">
        <w:rPr>
          <w:rFonts w:ascii="Arial" w:hAnsi="Arial" w:cs="Arial"/>
          <w:sz w:val="24"/>
          <w:szCs w:val="24"/>
          <w:lang w:val="pl-PL"/>
        </w:rPr>
        <w:t> </w:t>
      </w:r>
      <w:r w:rsidRPr="006654B3">
        <w:rPr>
          <w:rFonts w:ascii="Arial" w:hAnsi="Arial" w:cs="Arial"/>
          <w:sz w:val="24"/>
          <w:szCs w:val="24"/>
        </w:rPr>
        <w:t>2021</w:t>
      </w:r>
      <w:r w:rsidRPr="006654B3">
        <w:rPr>
          <w:rFonts w:ascii="Arial" w:hAnsi="Arial" w:cs="Arial"/>
          <w:sz w:val="24"/>
          <w:szCs w:val="24"/>
          <w:lang w:val="pl-PL"/>
        </w:rPr>
        <w:t> </w:t>
      </w:r>
      <w:r w:rsidRPr="006654B3">
        <w:rPr>
          <w:rFonts w:ascii="Arial" w:hAnsi="Arial" w:cs="Arial"/>
          <w:sz w:val="24"/>
          <w:szCs w:val="24"/>
        </w:rPr>
        <w:t>r.</w:t>
      </w:r>
      <w:r w:rsidRPr="006654B3">
        <w:rPr>
          <w:rFonts w:ascii="Arial" w:hAnsi="Arial" w:cs="Arial"/>
          <w:sz w:val="24"/>
          <w:szCs w:val="24"/>
          <w:lang w:val="pl-PL"/>
        </w:rPr>
        <w:t xml:space="preserve"> </w:t>
      </w:r>
      <w:r w:rsidRPr="006654B3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6654B3">
        <w:rPr>
          <w:rFonts w:ascii="Arial" w:hAnsi="Arial" w:cs="Arial"/>
          <w:sz w:val="24"/>
          <w:szCs w:val="24"/>
        </w:rPr>
        <w:t>późn</w:t>
      </w:r>
      <w:proofErr w:type="spellEnd"/>
      <w:r w:rsidRPr="006654B3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724E5CE0" w14:textId="77777777" w:rsidR="00C131CD" w:rsidRPr="006654B3" w:rsidRDefault="00C131CD" w:rsidP="006654B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Rozporządzenia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6654B3">
        <w:rPr>
          <w:rFonts w:ascii="Arial" w:hAnsi="Arial" w:cs="Arial"/>
          <w:sz w:val="24"/>
          <w:szCs w:val="24"/>
        </w:rPr>
        <w:t>późn</w:t>
      </w:r>
      <w:proofErr w:type="spellEnd"/>
      <w:r w:rsidRPr="006654B3">
        <w:rPr>
          <w:rFonts w:ascii="Arial" w:hAnsi="Arial" w:cs="Arial"/>
          <w:sz w:val="24"/>
          <w:szCs w:val="24"/>
        </w:rPr>
        <w:t>. zm.)</w:t>
      </w:r>
      <w:r w:rsidRPr="006654B3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220E8834" w14:textId="77777777" w:rsidR="004174A6" w:rsidRPr="004174A6" w:rsidRDefault="004174A6" w:rsidP="006654B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4174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74A6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4174A6">
        <w:rPr>
          <w:rFonts w:ascii="Arial" w:hAnsi="Arial" w:cs="Arial"/>
          <w:sz w:val="24"/>
          <w:szCs w:val="24"/>
        </w:rPr>
        <w:t>minimis</w:t>
      </w:r>
      <w:proofErr w:type="spellEnd"/>
      <w:r w:rsidRPr="004174A6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228BE77E" w14:textId="77777777" w:rsidR="00EE54CD" w:rsidRPr="009D3A18" w:rsidRDefault="00EE54CD" w:rsidP="006654B3">
      <w:pPr>
        <w:pStyle w:val="Tekstprzypisudolnego"/>
        <w:spacing w:line="276" w:lineRule="auto"/>
      </w:pPr>
      <w:r w:rsidRPr="00B41E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1E6D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B41E6D">
        <w:rPr>
          <w:rFonts w:ascii="Arial" w:hAnsi="Arial" w:cs="Arial"/>
          <w:sz w:val="24"/>
          <w:szCs w:val="24"/>
        </w:rPr>
        <w:t>późn</w:t>
      </w:r>
      <w:proofErr w:type="spellEnd"/>
      <w:r w:rsidRPr="00B41E6D">
        <w:rPr>
          <w:rFonts w:ascii="Arial" w:hAnsi="Arial" w:cs="Arial"/>
          <w:sz w:val="24"/>
          <w:szCs w:val="24"/>
        </w:rPr>
        <w:t>. zm.).</w:t>
      </w:r>
    </w:p>
  </w:footnote>
  <w:footnote w:id="7">
    <w:p w14:paraId="7BBBDCD2" w14:textId="77777777" w:rsidR="00FB17CB" w:rsidRPr="006654B3" w:rsidRDefault="00FB17CB" w:rsidP="006654B3">
      <w:pPr>
        <w:spacing w:after="0"/>
        <w:rPr>
          <w:rFonts w:ascii="Arial" w:hAnsi="Arial" w:cs="Arial"/>
          <w:sz w:val="24"/>
          <w:szCs w:val="24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6B020709" w14:textId="3B0DC0F7" w:rsidR="00DE5F8A" w:rsidRDefault="00DE5F8A" w:rsidP="006654B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="00E00F98" w:rsidRPr="00237A1E">
        <w:rPr>
          <w:rFonts w:ascii="Arial" w:hAnsi="Arial" w:cs="Arial"/>
          <w:sz w:val="24"/>
          <w:szCs w:val="24"/>
          <w:lang w:val="pl-PL"/>
        </w:rPr>
        <w:t>Opatrzone klauzulą ostateczności decyzje trzeba będzie przedłożyć najpóźniej na etapie podpisania umowy o dofinansowanie projektu.</w:t>
      </w:r>
    </w:p>
  </w:footnote>
  <w:footnote w:id="9">
    <w:p w14:paraId="47D4DE7A" w14:textId="77777777" w:rsidR="008351D0" w:rsidRPr="00665F6D" w:rsidRDefault="008351D0" w:rsidP="00665F6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F6D">
        <w:rPr>
          <w:rFonts w:ascii="Arial" w:hAnsi="Arial" w:cs="Arial"/>
          <w:sz w:val="24"/>
          <w:szCs w:val="24"/>
        </w:rPr>
        <w:t xml:space="preserve"> </w:t>
      </w:r>
      <w:r w:rsidRPr="00665F6D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4C67D20D" w14:textId="1AD6236E" w:rsidR="00E60E4A" w:rsidRPr="00E346F9" w:rsidRDefault="00E60E4A" w:rsidP="00E346F9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bookmarkStart w:id="3" w:name="_Hlk130966638"/>
      <w:r w:rsidR="00C911D3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3"/>
    </w:p>
  </w:footnote>
  <w:footnote w:id="11">
    <w:p w14:paraId="45F20D7F" w14:textId="7A07FB0C" w:rsidR="00E60E4A" w:rsidRPr="00367FBE" w:rsidRDefault="00E60E4A" w:rsidP="00665F6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 xml:space="preserve">Instytucja Zarządzająca dopuszcza możliwość zaakceptowania innych niż przyjęte w fiszkach projektowych wartości wskaźników </w:t>
      </w:r>
      <w:r w:rsidR="00E346F9">
        <w:rPr>
          <w:rFonts w:ascii="Arial" w:hAnsi="Arial" w:cs="Arial"/>
          <w:sz w:val="24"/>
          <w:szCs w:val="24"/>
          <w:lang w:val="pl-PL"/>
        </w:rPr>
        <w:br/>
      </w:r>
      <w:r w:rsidRPr="00367FBE">
        <w:rPr>
          <w:rFonts w:ascii="Arial" w:hAnsi="Arial" w:cs="Arial"/>
          <w:sz w:val="24"/>
          <w:szCs w:val="24"/>
          <w:lang w:val="pl-PL"/>
        </w:rPr>
        <w:t>w przypadku wyjaśnienia przez wnioskodawcę obiektywnych przyczyn powstałych rozbieżności. Jeżeli wartości wskaźników podane we wniosku o dofinansowanie projektu są mniejsze od wartości wskaźników założonych w fiszce projektowej, konieczne jest opisanie i uzasadnienie wprowadzonych zmian we wniosku o dofinansowanie projektu.</w:t>
      </w:r>
    </w:p>
  </w:footnote>
  <w:footnote w:id="12">
    <w:p w14:paraId="71FC93A1" w14:textId="77777777" w:rsidR="00E60E4A" w:rsidRPr="00AE417A" w:rsidRDefault="00E60E4A" w:rsidP="00665F6D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3">
    <w:p w14:paraId="1F2643E1" w14:textId="77777777" w:rsidR="00D70BF3" w:rsidRPr="009D3A18" w:rsidRDefault="00D70BF3" w:rsidP="00665F6D">
      <w:p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="001D78FA" w:rsidRPr="00665F6D">
        <w:rPr>
          <w:rFonts w:ascii="Arial" w:eastAsia="Times New Roman" w:hAnsi="Arial" w:cs="Arial"/>
          <w:sz w:val="24"/>
          <w:szCs w:val="24"/>
        </w:rPr>
        <w:t xml:space="preserve"> </w:t>
      </w:r>
      <w:r w:rsidRPr="00665F6D">
        <w:rPr>
          <w:rFonts w:ascii="Arial" w:eastAsia="Times New Roman" w:hAnsi="Arial" w:cs="Arial"/>
          <w:sz w:val="24"/>
          <w:szCs w:val="24"/>
        </w:rPr>
        <w:t>W przypadku osób fizycznych prowadzących działalność gospodarczą - adres stałego miejsca prowadzenia działalności musi znajdować się na terenie województwa kujawsko- pomorskiego.</w:t>
      </w:r>
    </w:p>
  </w:footnote>
  <w:footnote w:id="14">
    <w:p w14:paraId="1A06DE9E" w14:textId="77777777" w:rsidR="000015BB" w:rsidRPr="00665F6D" w:rsidRDefault="000015BB" w:rsidP="00665F6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F6D">
        <w:rPr>
          <w:rFonts w:ascii="Arial" w:hAnsi="Arial" w:cs="Arial"/>
          <w:sz w:val="24"/>
          <w:szCs w:val="24"/>
        </w:rPr>
        <w:t xml:space="preserve"> W szczególnie uzasadnionych przypadkach Instytucja Zarządzająca może wyrazić zgodę, w trakcie realizacji projektu na wniosek beneficjenta, na zmianę zakładanej do osiągnięcia wartości docelowej ww. wskaźnika.</w:t>
      </w:r>
    </w:p>
  </w:footnote>
  <w:footnote w:id="15">
    <w:p w14:paraId="14970FA5" w14:textId="77777777" w:rsidR="001C1030" w:rsidRPr="00665F6D" w:rsidRDefault="001C1030" w:rsidP="00665F6D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="00E93604" w:rsidRPr="00665F6D">
        <w:rPr>
          <w:rFonts w:ascii="Arial" w:hAnsi="Arial" w:cs="Arial"/>
          <w:sz w:val="24"/>
          <w:szCs w:val="24"/>
          <w:lang w:val="pl-PL"/>
        </w:rPr>
        <w:t xml:space="preserve"> </w:t>
      </w:r>
      <w:r w:rsidRPr="00665F6D">
        <w:rPr>
          <w:rFonts w:ascii="Arial" w:hAnsi="Arial" w:cs="Arial"/>
          <w:sz w:val="24"/>
          <w:szCs w:val="24"/>
        </w:rPr>
        <w:t>Liczba przedsiębiorstw otrzymujących wsparcie niefinansowe. Przedsiębiorstwa są uwzględniane we wskaźniku, jeśli otrzymują wsparcie niefinansowe w sposób ustrukturyzowany, jak np. MŚP korzystające z usług inkubatora przedsiębiorczości. Udzielone wsparcie musi być udokumentowane. Nie uwzględnia się jednorazowych interakcji (np. rozmowy telefoniczne w celu uzyskania informacji). Przykłady wsparcia niefinansowego obejmują usługi takie jak (niewyczerpujący wykaz): usługi doradcze (pomoc na doradztwo i szkolenia w zakresie wymiany wiedzy i doświadczeń itp.) lub usługi wsparcia (udostępnienie powierzchni biurowej, stron internetowych, banków danych, bibliotek, badań rynkowych, podręczników, dokumentów roboczych i wzorcowych itp.).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4C3A6" w14:textId="77777777" w:rsidR="006F4C12" w:rsidRPr="008927FA" w:rsidRDefault="006F201E" w:rsidP="006F4C1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8927FA">
      <w:rPr>
        <w:rFonts w:ascii="Arial" w:hAnsi="Arial" w:cs="Arial"/>
        <w:sz w:val="24"/>
        <w:szCs w:val="24"/>
      </w:rPr>
      <w:t>FUNDUSZE EUROPEJSKIE DLA KUJAW I POMORZA 2021-2027</w:t>
    </w:r>
  </w:p>
  <w:p w14:paraId="51848254" w14:textId="77777777" w:rsidR="009F0EDC" w:rsidRDefault="009F0EDC" w:rsidP="009F0EDC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</w:p>
  <w:p w14:paraId="6388B0F2" w14:textId="1E6E43BB" w:rsidR="009F0EDC" w:rsidRDefault="009F0EDC" w:rsidP="009F0EDC">
    <w:pPr>
      <w:spacing w:after="0"/>
      <w:ind w:left="9912"/>
      <w:rPr>
        <w:rFonts w:ascii="Arial" w:hAnsi="Arial"/>
        <w:sz w:val="24"/>
      </w:rPr>
    </w:pPr>
    <w:r>
      <w:rPr>
        <w:rFonts w:ascii="Arial" w:hAnsi="Arial"/>
        <w:sz w:val="24"/>
        <w:lang w:val="x-none"/>
      </w:rPr>
      <w:t xml:space="preserve">Załącznik do </w:t>
    </w:r>
    <w:r>
      <w:rPr>
        <w:rFonts w:ascii="Arial" w:hAnsi="Arial"/>
        <w:sz w:val="24"/>
      </w:rPr>
      <w:t>uchwały</w:t>
    </w:r>
    <w:r>
      <w:rPr>
        <w:rFonts w:ascii="Arial" w:hAnsi="Arial"/>
        <w:sz w:val="24"/>
        <w:lang w:val="x-none"/>
      </w:rPr>
      <w:t xml:space="preserve"> Nr </w:t>
    </w:r>
    <w:r>
      <w:rPr>
        <w:rFonts w:ascii="Arial" w:hAnsi="Arial"/>
        <w:sz w:val="24"/>
      </w:rPr>
      <w:t>66/2024</w:t>
    </w:r>
  </w:p>
  <w:p w14:paraId="0DF92B5A" w14:textId="77777777" w:rsidR="009F0EDC" w:rsidRDefault="009F0EDC" w:rsidP="009F0EDC">
    <w:pPr>
      <w:tabs>
        <w:tab w:val="left" w:pos="9923"/>
      </w:tabs>
      <w:spacing w:after="0"/>
      <w:ind w:left="9912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 xml:space="preserve">KM </w:t>
    </w:r>
    <w:proofErr w:type="spellStart"/>
    <w:r>
      <w:rPr>
        <w:rFonts w:ascii="Arial" w:hAnsi="Arial" w:cs="Calibri"/>
        <w:bCs/>
        <w:sz w:val="24"/>
        <w:szCs w:val="24"/>
      </w:rPr>
      <w:t>FEdKP</w:t>
    </w:r>
    <w:proofErr w:type="spellEnd"/>
    <w:r>
      <w:rPr>
        <w:rFonts w:ascii="Arial" w:hAnsi="Arial" w:cs="Calibri"/>
        <w:bCs/>
        <w:sz w:val="24"/>
        <w:szCs w:val="24"/>
      </w:rPr>
      <w:t xml:space="preserve"> 2021-2027</w:t>
    </w:r>
  </w:p>
  <w:p w14:paraId="2B00E3B4" w14:textId="77777777" w:rsidR="009F0EDC" w:rsidRDefault="009F0EDC" w:rsidP="009F0EDC">
    <w:pPr>
      <w:tabs>
        <w:tab w:val="left" w:pos="9923"/>
      </w:tabs>
      <w:spacing w:after="0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z 21 sierpnia 2024 r.</w:t>
    </w:r>
  </w:p>
  <w:p w14:paraId="579894E6" w14:textId="7A927391" w:rsidR="008642D1" w:rsidRDefault="008642D1" w:rsidP="008927FA">
    <w:pPr>
      <w:tabs>
        <w:tab w:val="left" w:pos="6300"/>
      </w:tabs>
      <w:spacing w:after="0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 </w:t>
    </w:r>
  </w:p>
  <w:p w14:paraId="13951B17" w14:textId="77777777" w:rsidR="003B0164" w:rsidRPr="006F4C12" w:rsidRDefault="003B0164" w:rsidP="006F4C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FF0"/>
    <w:multiLevelType w:val="hybridMultilevel"/>
    <w:tmpl w:val="F55E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412AA"/>
    <w:multiLevelType w:val="hybridMultilevel"/>
    <w:tmpl w:val="A218F84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6FB9"/>
    <w:multiLevelType w:val="hybridMultilevel"/>
    <w:tmpl w:val="C7A8F7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85B99"/>
    <w:multiLevelType w:val="hybridMultilevel"/>
    <w:tmpl w:val="9BE2B00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4398D"/>
    <w:multiLevelType w:val="hybridMultilevel"/>
    <w:tmpl w:val="3356B66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161AD"/>
    <w:multiLevelType w:val="hybridMultilevel"/>
    <w:tmpl w:val="FF5C17D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D15B7"/>
    <w:multiLevelType w:val="hybridMultilevel"/>
    <w:tmpl w:val="9A96FB5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D671EB"/>
    <w:multiLevelType w:val="hybridMultilevel"/>
    <w:tmpl w:val="0CD0EEDC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C57C7C"/>
    <w:multiLevelType w:val="hybridMultilevel"/>
    <w:tmpl w:val="9294D89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9D0F38"/>
    <w:multiLevelType w:val="hybridMultilevel"/>
    <w:tmpl w:val="F878A57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865906">
    <w:abstractNumId w:val="12"/>
  </w:num>
  <w:num w:numId="2" w16cid:durableId="1415280683">
    <w:abstractNumId w:val="2"/>
  </w:num>
  <w:num w:numId="3" w16cid:durableId="309601818">
    <w:abstractNumId w:val="9"/>
  </w:num>
  <w:num w:numId="4" w16cid:durableId="23945462">
    <w:abstractNumId w:val="1"/>
  </w:num>
  <w:num w:numId="5" w16cid:durableId="425855465">
    <w:abstractNumId w:val="0"/>
  </w:num>
  <w:num w:numId="6" w16cid:durableId="1877426323">
    <w:abstractNumId w:val="3"/>
  </w:num>
  <w:num w:numId="7" w16cid:durableId="157892097">
    <w:abstractNumId w:val="6"/>
  </w:num>
  <w:num w:numId="8" w16cid:durableId="9454655">
    <w:abstractNumId w:val="7"/>
  </w:num>
  <w:num w:numId="9" w16cid:durableId="1763800738">
    <w:abstractNumId w:val="5"/>
  </w:num>
  <w:num w:numId="10" w16cid:durableId="2063210429">
    <w:abstractNumId w:val="10"/>
  </w:num>
  <w:num w:numId="11" w16cid:durableId="1897085872">
    <w:abstractNumId w:val="16"/>
  </w:num>
  <w:num w:numId="12" w16cid:durableId="442000197">
    <w:abstractNumId w:val="15"/>
  </w:num>
  <w:num w:numId="13" w16cid:durableId="450052353">
    <w:abstractNumId w:val="13"/>
  </w:num>
  <w:num w:numId="14" w16cid:durableId="1428385969">
    <w:abstractNumId w:val="14"/>
  </w:num>
  <w:num w:numId="15" w16cid:durableId="1937055201">
    <w:abstractNumId w:val="11"/>
  </w:num>
  <w:num w:numId="16" w16cid:durableId="1790200275">
    <w:abstractNumId w:val="8"/>
  </w:num>
  <w:num w:numId="17" w16cid:durableId="1044603160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15BB"/>
    <w:rsid w:val="00002052"/>
    <w:rsid w:val="00002ED9"/>
    <w:rsid w:val="000039EF"/>
    <w:rsid w:val="00003A8A"/>
    <w:rsid w:val="00004DD0"/>
    <w:rsid w:val="00005453"/>
    <w:rsid w:val="000055BA"/>
    <w:rsid w:val="000060A9"/>
    <w:rsid w:val="000065B3"/>
    <w:rsid w:val="00006914"/>
    <w:rsid w:val="000109D6"/>
    <w:rsid w:val="00014DF0"/>
    <w:rsid w:val="00016679"/>
    <w:rsid w:val="00016813"/>
    <w:rsid w:val="0002063F"/>
    <w:rsid w:val="00022525"/>
    <w:rsid w:val="00023781"/>
    <w:rsid w:val="0002428B"/>
    <w:rsid w:val="0002560D"/>
    <w:rsid w:val="00025A17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4E9"/>
    <w:rsid w:val="000346A2"/>
    <w:rsid w:val="00036281"/>
    <w:rsid w:val="0003678F"/>
    <w:rsid w:val="000368C3"/>
    <w:rsid w:val="00036E89"/>
    <w:rsid w:val="00040107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02"/>
    <w:rsid w:val="000555C9"/>
    <w:rsid w:val="0005661B"/>
    <w:rsid w:val="00056F33"/>
    <w:rsid w:val="00057F63"/>
    <w:rsid w:val="00061620"/>
    <w:rsid w:val="00061813"/>
    <w:rsid w:val="00061A47"/>
    <w:rsid w:val="00061AF0"/>
    <w:rsid w:val="000628BA"/>
    <w:rsid w:val="00063415"/>
    <w:rsid w:val="00063E79"/>
    <w:rsid w:val="00063E7D"/>
    <w:rsid w:val="00063F41"/>
    <w:rsid w:val="00064624"/>
    <w:rsid w:val="00066995"/>
    <w:rsid w:val="00070E97"/>
    <w:rsid w:val="00071696"/>
    <w:rsid w:val="000723C9"/>
    <w:rsid w:val="0007401F"/>
    <w:rsid w:val="000747B0"/>
    <w:rsid w:val="000751EC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1984"/>
    <w:rsid w:val="000A2211"/>
    <w:rsid w:val="000A23C7"/>
    <w:rsid w:val="000A248E"/>
    <w:rsid w:val="000A29D0"/>
    <w:rsid w:val="000A406B"/>
    <w:rsid w:val="000B0BA9"/>
    <w:rsid w:val="000B12E4"/>
    <w:rsid w:val="000B1CA7"/>
    <w:rsid w:val="000B1D05"/>
    <w:rsid w:val="000B2D26"/>
    <w:rsid w:val="000B2E04"/>
    <w:rsid w:val="000B31D5"/>
    <w:rsid w:val="000B3BE5"/>
    <w:rsid w:val="000B6B8E"/>
    <w:rsid w:val="000B786A"/>
    <w:rsid w:val="000B79E6"/>
    <w:rsid w:val="000C288E"/>
    <w:rsid w:val="000C356A"/>
    <w:rsid w:val="000C3776"/>
    <w:rsid w:val="000C3D91"/>
    <w:rsid w:val="000C4789"/>
    <w:rsid w:val="000C517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5B20"/>
    <w:rsid w:val="000F644B"/>
    <w:rsid w:val="000F7BB0"/>
    <w:rsid w:val="00100AFC"/>
    <w:rsid w:val="0010120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DFA"/>
    <w:rsid w:val="0011683B"/>
    <w:rsid w:val="00116908"/>
    <w:rsid w:val="0012107F"/>
    <w:rsid w:val="00121CE1"/>
    <w:rsid w:val="00122FAA"/>
    <w:rsid w:val="001233D9"/>
    <w:rsid w:val="00124AA3"/>
    <w:rsid w:val="00124BF7"/>
    <w:rsid w:val="001257CF"/>
    <w:rsid w:val="0012588A"/>
    <w:rsid w:val="0012688E"/>
    <w:rsid w:val="00130AD5"/>
    <w:rsid w:val="001313A1"/>
    <w:rsid w:val="001313FC"/>
    <w:rsid w:val="00131C98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2BBC"/>
    <w:rsid w:val="0014395E"/>
    <w:rsid w:val="0014592B"/>
    <w:rsid w:val="00145EB7"/>
    <w:rsid w:val="00146606"/>
    <w:rsid w:val="00146F9F"/>
    <w:rsid w:val="00147828"/>
    <w:rsid w:val="00147CE0"/>
    <w:rsid w:val="00150403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0C2"/>
    <w:rsid w:val="001673C1"/>
    <w:rsid w:val="00167EE8"/>
    <w:rsid w:val="001706E8"/>
    <w:rsid w:val="00170CB7"/>
    <w:rsid w:val="001710EA"/>
    <w:rsid w:val="0017558F"/>
    <w:rsid w:val="00176C74"/>
    <w:rsid w:val="00176F5E"/>
    <w:rsid w:val="0017778E"/>
    <w:rsid w:val="0017795A"/>
    <w:rsid w:val="0018103D"/>
    <w:rsid w:val="00182B61"/>
    <w:rsid w:val="00183F6C"/>
    <w:rsid w:val="00184467"/>
    <w:rsid w:val="00184C79"/>
    <w:rsid w:val="00185DA0"/>
    <w:rsid w:val="00186424"/>
    <w:rsid w:val="00186CBC"/>
    <w:rsid w:val="00187F30"/>
    <w:rsid w:val="00190AC4"/>
    <w:rsid w:val="0019164F"/>
    <w:rsid w:val="00191786"/>
    <w:rsid w:val="00191A38"/>
    <w:rsid w:val="001963AF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2CB0"/>
    <w:rsid w:val="001A4FA0"/>
    <w:rsid w:val="001A62D2"/>
    <w:rsid w:val="001A7C70"/>
    <w:rsid w:val="001B107C"/>
    <w:rsid w:val="001B2E8D"/>
    <w:rsid w:val="001B3C79"/>
    <w:rsid w:val="001B42AD"/>
    <w:rsid w:val="001B5028"/>
    <w:rsid w:val="001B6062"/>
    <w:rsid w:val="001B6BB3"/>
    <w:rsid w:val="001B7756"/>
    <w:rsid w:val="001B7EFF"/>
    <w:rsid w:val="001C0732"/>
    <w:rsid w:val="001C1030"/>
    <w:rsid w:val="001C15E7"/>
    <w:rsid w:val="001C17D7"/>
    <w:rsid w:val="001C18D4"/>
    <w:rsid w:val="001C1987"/>
    <w:rsid w:val="001C27B3"/>
    <w:rsid w:val="001C2DD2"/>
    <w:rsid w:val="001C419B"/>
    <w:rsid w:val="001C6A54"/>
    <w:rsid w:val="001C6B99"/>
    <w:rsid w:val="001C778C"/>
    <w:rsid w:val="001C7CBD"/>
    <w:rsid w:val="001D03FB"/>
    <w:rsid w:val="001D133E"/>
    <w:rsid w:val="001D24C0"/>
    <w:rsid w:val="001D2BA8"/>
    <w:rsid w:val="001D3AF0"/>
    <w:rsid w:val="001D46CD"/>
    <w:rsid w:val="001D4CD9"/>
    <w:rsid w:val="001D4EFF"/>
    <w:rsid w:val="001D5770"/>
    <w:rsid w:val="001D73F9"/>
    <w:rsid w:val="001D78FA"/>
    <w:rsid w:val="001E0151"/>
    <w:rsid w:val="001E2370"/>
    <w:rsid w:val="001E23BF"/>
    <w:rsid w:val="001E29F3"/>
    <w:rsid w:val="001E31CB"/>
    <w:rsid w:val="001E35D8"/>
    <w:rsid w:val="001E3D50"/>
    <w:rsid w:val="001E4A7B"/>
    <w:rsid w:val="001E663F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176FB"/>
    <w:rsid w:val="002216C9"/>
    <w:rsid w:val="0022212F"/>
    <w:rsid w:val="00222C1C"/>
    <w:rsid w:val="00225188"/>
    <w:rsid w:val="00225D21"/>
    <w:rsid w:val="0022601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52F4"/>
    <w:rsid w:val="00236254"/>
    <w:rsid w:val="00236C04"/>
    <w:rsid w:val="00236CEF"/>
    <w:rsid w:val="00237117"/>
    <w:rsid w:val="002400E2"/>
    <w:rsid w:val="0024296A"/>
    <w:rsid w:val="00243435"/>
    <w:rsid w:val="00243C37"/>
    <w:rsid w:val="002449D3"/>
    <w:rsid w:val="00244F56"/>
    <w:rsid w:val="00245D61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57CF5"/>
    <w:rsid w:val="002604B8"/>
    <w:rsid w:val="002606BF"/>
    <w:rsid w:val="00260CFE"/>
    <w:rsid w:val="0026200B"/>
    <w:rsid w:val="0026248A"/>
    <w:rsid w:val="0026369F"/>
    <w:rsid w:val="002646C9"/>
    <w:rsid w:val="00265574"/>
    <w:rsid w:val="002665F6"/>
    <w:rsid w:val="002671DC"/>
    <w:rsid w:val="002676BE"/>
    <w:rsid w:val="00267783"/>
    <w:rsid w:val="0027052E"/>
    <w:rsid w:val="00270591"/>
    <w:rsid w:val="0027104C"/>
    <w:rsid w:val="00271891"/>
    <w:rsid w:val="00272413"/>
    <w:rsid w:val="002729DB"/>
    <w:rsid w:val="002739CC"/>
    <w:rsid w:val="002747CE"/>
    <w:rsid w:val="00274803"/>
    <w:rsid w:val="00274908"/>
    <w:rsid w:val="002749F1"/>
    <w:rsid w:val="00274C29"/>
    <w:rsid w:val="00274DCD"/>
    <w:rsid w:val="00275159"/>
    <w:rsid w:val="0027568B"/>
    <w:rsid w:val="0027569D"/>
    <w:rsid w:val="002763E6"/>
    <w:rsid w:val="00277537"/>
    <w:rsid w:val="00277861"/>
    <w:rsid w:val="00277A94"/>
    <w:rsid w:val="00277EDB"/>
    <w:rsid w:val="002801C0"/>
    <w:rsid w:val="002806EE"/>
    <w:rsid w:val="00281361"/>
    <w:rsid w:val="0028168B"/>
    <w:rsid w:val="00281A2E"/>
    <w:rsid w:val="00281B9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61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2BD3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94F"/>
    <w:rsid w:val="00323F86"/>
    <w:rsid w:val="00324201"/>
    <w:rsid w:val="00324653"/>
    <w:rsid w:val="00325122"/>
    <w:rsid w:val="0032590D"/>
    <w:rsid w:val="00325D51"/>
    <w:rsid w:val="0033125C"/>
    <w:rsid w:val="00332FEA"/>
    <w:rsid w:val="00333970"/>
    <w:rsid w:val="00333C0A"/>
    <w:rsid w:val="00334536"/>
    <w:rsid w:val="00334A65"/>
    <w:rsid w:val="00335C97"/>
    <w:rsid w:val="00335EC9"/>
    <w:rsid w:val="00335F39"/>
    <w:rsid w:val="0033632E"/>
    <w:rsid w:val="00342DB1"/>
    <w:rsid w:val="00343082"/>
    <w:rsid w:val="003434C6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648F"/>
    <w:rsid w:val="00356D81"/>
    <w:rsid w:val="003576B1"/>
    <w:rsid w:val="00357B85"/>
    <w:rsid w:val="00357BDB"/>
    <w:rsid w:val="003604E5"/>
    <w:rsid w:val="00360FA9"/>
    <w:rsid w:val="00363335"/>
    <w:rsid w:val="003636A9"/>
    <w:rsid w:val="00363983"/>
    <w:rsid w:val="003639A4"/>
    <w:rsid w:val="00363AC8"/>
    <w:rsid w:val="003648D1"/>
    <w:rsid w:val="003655AA"/>
    <w:rsid w:val="003657E6"/>
    <w:rsid w:val="00367401"/>
    <w:rsid w:val="00367772"/>
    <w:rsid w:val="00371DE3"/>
    <w:rsid w:val="00373617"/>
    <w:rsid w:val="00373881"/>
    <w:rsid w:val="00374692"/>
    <w:rsid w:val="00375206"/>
    <w:rsid w:val="00375B35"/>
    <w:rsid w:val="0037608C"/>
    <w:rsid w:val="0037779C"/>
    <w:rsid w:val="0038260A"/>
    <w:rsid w:val="0038298B"/>
    <w:rsid w:val="00382A9E"/>
    <w:rsid w:val="00382B3A"/>
    <w:rsid w:val="00383EBC"/>
    <w:rsid w:val="00384191"/>
    <w:rsid w:val="00385972"/>
    <w:rsid w:val="00386042"/>
    <w:rsid w:val="003861AF"/>
    <w:rsid w:val="00386537"/>
    <w:rsid w:val="00386E53"/>
    <w:rsid w:val="00390012"/>
    <w:rsid w:val="0039070B"/>
    <w:rsid w:val="00390887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BA8"/>
    <w:rsid w:val="003A10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5AA"/>
    <w:rsid w:val="003B38AC"/>
    <w:rsid w:val="003B3BCF"/>
    <w:rsid w:val="003B4C22"/>
    <w:rsid w:val="003B4DEB"/>
    <w:rsid w:val="003B521A"/>
    <w:rsid w:val="003B5367"/>
    <w:rsid w:val="003B5420"/>
    <w:rsid w:val="003B7EC2"/>
    <w:rsid w:val="003C0BE3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C7655"/>
    <w:rsid w:val="003C7D4A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6201"/>
    <w:rsid w:val="003F697C"/>
    <w:rsid w:val="003F733B"/>
    <w:rsid w:val="003F7897"/>
    <w:rsid w:val="004002B3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4A6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536"/>
    <w:rsid w:val="00427AC0"/>
    <w:rsid w:val="00427BA0"/>
    <w:rsid w:val="00430718"/>
    <w:rsid w:val="004313D2"/>
    <w:rsid w:val="0043151E"/>
    <w:rsid w:val="00431C9C"/>
    <w:rsid w:val="004328BD"/>
    <w:rsid w:val="00432ED3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3C94"/>
    <w:rsid w:val="00443F88"/>
    <w:rsid w:val="0044461B"/>
    <w:rsid w:val="00444F02"/>
    <w:rsid w:val="004452E8"/>
    <w:rsid w:val="00445334"/>
    <w:rsid w:val="004478E4"/>
    <w:rsid w:val="004503CC"/>
    <w:rsid w:val="004528D0"/>
    <w:rsid w:val="00452919"/>
    <w:rsid w:val="00452CC7"/>
    <w:rsid w:val="00452DD4"/>
    <w:rsid w:val="00453E85"/>
    <w:rsid w:val="00454551"/>
    <w:rsid w:val="00454670"/>
    <w:rsid w:val="00455454"/>
    <w:rsid w:val="00455F93"/>
    <w:rsid w:val="004562B0"/>
    <w:rsid w:val="00456826"/>
    <w:rsid w:val="00456C4C"/>
    <w:rsid w:val="004571E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6F3"/>
    <w:rsid w:val="004664AE"/>
    <w:rsid w:val="004668E1"/>
    <w:rsid w:val="00466DAD"/>
    <w:rsid w:val="0046777A"/>
    <w:rsid w:val="00470710"/>
    <w:rsid w:val="00470A44"/>
    <w:rsid w:val="00473088"/>
    <w:rsid w:val="004749D9"/>
    <w:rsid w:val="0047602B"/>
    <w:rsid w:val="00477E34"/>
    <w:rsid w:val="00480798"/>
    <w:rsid w:val="0048148D"/>
    <w:rsid w:val="00481702"/>
    <w:rsid w:val="004825E0"/>
    <w:rsid w:val="00482B1D"/>
    <w:rsid w:val="00484C93"/>
    <w:rsid w:val="00485520"/>
    <w:rsid w:val="004861A8"/>
    <w:rsid w:val="0048644C"/>
    <w:rsid w:val="004865F1"/>
    <w:rsid w:val="00486D7B"/>
    <w:rsid w:val="0049024D"/>
    <w:rsid w:val="004904DD"/>
    <w:rsid w:val="0049392B"/>
    <w:rsid w:val="00493F0D"/>
    <w:rsid w:val="004948B8"/>
    <w:rsid w:val="0049599F"/>
    <w:rsid w:val="00495EFA"/>
    <w:rsid w:val="004973B5"/>
    <w:rsid w:val="004976B6"/>
    <w:rsid w:val="004A0F68"/>
    <w:rsid w:val="004A1062"/>
    <w:rsid w:val="004A1E94"/>
    <w:rsid w:val="004A3230"/>
    <w:rsid w:val="004A332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AC1"/>
    <w:rsid w:val="004B435A"/>
    <w:rsid w:val="004B4E2A"/>
    <w:rsid w:val="004B63EB"/>
    <w:rsid w:val="004B6930"/>
    <w:rsid w:val="004B6A5D"/>
    <w:rsid w:val="004C0702"/>
    <w:rsid w:val="004C0C2B"/>
    <w:rsid w:val="004C179E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930"/>
    <w:rsid w:val="004F0E3F"/>
    <w:rsid w:val="004F1CD9"/>
    <w:rsid w:val="004F38C6"/>
    <w:rsid w:val="004F3F95"/>
    <w:rsid w:val="004F50EA"/>
    <w:rsid w:val="004F5D2B"/>
    <w:rsid w:val="004F5FED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3C70"/>
    <w:rsid w:val="00504FEF"/>
    <w:rsid w:val="00505150"/>
    <w:rsid w:val="005051ED"/>
    <w:rsid w:val="00505803"/>
    <w:rsid w:val="00507B1D"/>
    <w:rsid w:val="00510313"/>
    <w:rsid w:val="00511230"/>
    <w:rsid w:val="005115B8"/>
    <w:rsid w:val="00512587"/>
    <w:rsid w:val="00513CB9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8C9"/>
    <w:rsid w:val="00521685"/>
    <w:rsid w:val="00523018"/>
    <w:rsid w:val="005233D4"/>
    <w:rsid w:val="00523781"/>
    <w:rsid w:val="00523F8B"/>
    <w:rsid w:val="00525521"/>
    <w:rsid w:val="00526F68"/>
    <w:rsid w:val="00527F64"/>
    <w:rsid w:val="0053003E"/>
    <w:rsid w:val="00530394"/>
    <w:rsid w:val="00530A76"/>
    <w:rsid w:val="00531BE2"/>
    <w:rsid w:val="00532C11"/>
    <w:rsid w:val="005345CD"/>
    <w:rsid w:val="00534907"/>
    <w:rsid w:val="00534C64"/>
    <w:rsid w:val="00534F65"/>
    <w:rsid w:val="005359C6"/>
    <w:rsid w:val="00536720"/>
    <w:rsid w:val="00537AC9"/>
    <w:rsid w:val="005400F7"/>
    <w:rsid w:val="0054014E"/>
    <w:rsid w:val="0054071C"/>
    <w:rsid w:val="00540ADD"/>
    <w:rsid w:val="00541118"/>
    <w:rsid w:val="0054325D"/>
    <w:rsid w:val="00544C45"/>
    <w:rsid w:val="00545A4C"/>
    <w:rsid w:val="0054631E"/>
    <w:rsid w:val="005477D3"/>
    <w:rsid w:val="00547F60"/>
    <w:rsid w:val="00550AF1"/>
    <w:rsid w:val="005511B5"/>
    <w:rsid w:val="00551F69"/>
    <w:rsid w:val="00552265"/>
    <w:rsid w:val="00553710"/>
    <w:rsid w:val="00555270"/>
    <w:rsid w:val="00555B6E"/>
    <w:rsid w:val="00556932"/>
    <w:rsid w:val="00557161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27C8"/>
    <w:rsid w:val="00563983"/>
    <w:rsid w:val="00563C25"/>
    <w:rsid w:val="0056659A"/>
    <w:rsid w:val="0056663D"/>
    <w:rsid w:val="0056700A"/>
    <w:rsid w:val="005670FD"/>
    <w:rsid w:val="0057112D"/>
    <w:rsid w:val="0057144F"/>
    <w:rsid w:val="00571CE0"/>
    <w:rsid w:val="00571D43"/>
    <w:rsid w:val="005729E0"/>
    <w:rsid w:val="00573541"/>
    <w:rsid w:val="005738F7"/>
    <w:rsid w:val="00574726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27AB"/>
    <w:rsid w:val="005932A0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2DE9"/>
    <w:rsid w:val="005A33B1"/>
    <w:rsid w:val="005A379B"/>
    <w:rsid w:val="005A478B"/>
    <w:rsid w:val="005A484E"/>
    <w:rsid w:val="005A53F9"/>
    <w:rsid w:val="005A6A39"/>
    <w:rsid w:val="005A6B68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6C60"/>
    <w:rsid w:val="005B741A"/>
    <w:rsid w:val="005B76EE"/>
    <w:rsid w:val="005C025F"/>
    <w:rsid w:val="005C0DB7"/>
    <w:rsid w:val="005C1839"/>
    <w:rsid w:val="005C2574"/>
    <w:rsid w:val="005C34F7"/>
    <w:rsid w:val="005C469E"/>
    <w:rsid w:val="005C47D0"/>
    <w:rsid w:val="005C5BB1"/>
    <w:rsid w:val="005C607E"/>
    <w:rsid w:val="005C76CE"/>
    <w:rsid w:val="005C797F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753"/>
    <w:rsid w:val="005E29B0"/>
    <w:rsid w:val="005E2D87"/>
    <w:rsid w:val="005E42F8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242"/>
    <w:rsid w:val="006130D6"/>
    <w:rsid w:val="006131FD"/>
    <w:rsid w:val="00613483"/>
    <w:rsid w:val="006144D7"/>
    <w:rsid w:val="0061493F"/>
    <w:rsid w:val="006149DD"/>
    <w:rsid w:val="0061512E"/>
    <w:rsid w:val="0061601C"/>
    <w:rsid w:val="006169FD"/>
    <w:rsid w:val="00617276"/>
    <w:rsid w:val="006176F1"/>
    <w:rsid w:val="00620242"/>
    <w:rsid w:val="00620555"/>
    <w:rsid w:val="00621775"/>
    <w:rsid w:val="00621836"/>
    <w:rsid w:val="006228F4"/>
    <w:rsid w:val="00622D71"/>
    <w:rsid w:val="0062353A"/>
    <w:rsid w:val="00623D7D"/>
    <w:rsid w:val="00624B13"/>
    <w:rsid w:val="00626571"/>
    <w:rsid w:val="00627FD0"/>
    <w:rsid w:val="00631177"/>
    <w:rsid w:val="00634297"/>
    <w:rsid w:val="00635658"/>
    <w:rsid w:val="006361C6"/>
    <w:rsid w:val="00636758"/>
    <w:rsid w:val="00640070"/>
    <w:rsid w:val="00641524"/>
    <w:rsid w:val="0064155D"/>
    <w:rsid w:val="00641B59"/>
    <w:rsid w:val="00641C7B"/>
    <w:rsid w:val="00641EB2"/>
    <w:rsid w:val="006424F2"/>
    <w:rsid w:val="0064451B"/>
    <w:rsid w:val="0064651E"/>
    <w:rsid w:val="00646AAE"/>
    <w:rsid w:val="00646F63"/>
    <w:rsid w:val="00647170"/>
    <w:rsid w:val="00647658"/>
    <w:rsid w:val="00650091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ADB"/>
    <w:rsid w:val="00657CB2"/>
    <w:rsid w:val="00661597"/>
    <w:rsid w:val="00663773"/>
    <w:rsid w:val="006640F9"/>
    <w:rsid w:val="0066452B"/>
    <w:rsid w:val="006651D7"/>
    <w:rsid w:val="006654B3"/>
    <w:rsid w:val="0066570F"/>
    <w:rsid w:val="00665F6D"/>
    <w:rsid w:val="0066669A"/>
    <w:rsid w:val="00666AB9"/>
    <w:rsid w:val="00667E42"/>
    <w:rsid w:val="006711C0"/>
    <w:rsid w:val="006714D1"/>
    <w:rsid w:val="006715FF"/>
    <w:rsid w:val="00672123"/>
    <w:rsid w:val="006721BC"/>
    <w:rsid w:val="00673804"/>
    <w:rsid w:val="00673BE4"/>
    <w:rsid w:val="00673ECE"/>
    <w:rsid w:val="006751B5"/>
    <w:rsid w:val="00676F7A"/>
    <w:rsid w:val="006774DC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C9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963F0"/>
    <w:rsid w:val="006A0B64"/>
    <w:rsid w:val="006A0DCE"/>
    <w:rsid w:val="006A1076"/>
    <w:rsid w:val="006A1FAC"/>
    <w:rsid w:val="006A2D70"/>
    <w:rsid w:val="006A36A9"/>
    <w:rsid w:val="006A64AF"/>
    <w:rsid w:val="006A7054"/>
    <w:rsid w:val="006B0DC7"/>
    <w:rsid w:val="006B10CA"/>
    <w:rsid w:val="006B1661"/>
    <w:rsid w:val="006B31BE"/>
    <w:rsid w:val="006B40D1"/>
    <w:rsid w:val="006B4251"/>
    <w:rsid w:val="006B4547"/>
    <w:rsid w:val="006B4931"/>
    <w:rsid w:val="006B4B8C"/>
    <w:rsid w:val="006B6173"/>
    <w:rsid w:val="006B667C"/>
    <w:rsid w:val="006B74F1"/>
    <w:rsid w:val="006B7B8C"/>
    <w:rsid w:val="006C1C0B"/>
    <w:rsid w:val="006C4CF1"/>
    <w:rsid w:val="006C55B4"/>
    <w:rsid w:val="006C57F8"/>
    <w:rsid w:val="006C5BC2"/>
    <w:rsid w:val="006C5E80"/>
    <w:rsid w:val="006C660C"/>
    <w:rsid w:val="006C7E4E"/>
    <w:rsid w:val="006D0AE6"/>
    <w:rsid w:val="006D2375"/>
    <w:rsid w:val="006D3F91"/>
    <w:rsid w:val="006D4C86"/>
    <w:rsid w:val="006D5858"/>
    <w:rsid w:val="006D611E"/>
    <w:rsid w:val="006D65AC"/>
    <w:rsid w:val="006D7439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301"/>
    <w:rsid w:val="006E66EE"/>
    <w:rsid w:val="006E6B92"/>
    <w:rsid w:val="006E758B"/>
    <w:rsid w:val="006E75D7"/>
    <w:rsid w:val="006F08D9"/>
    <w:rsid w:val="006F0A63"/>
    <w:rsid w:val="006F1C26"/>
    <w:rsid w:val="006F1C4A"/>
    <w:rsid w:val="006F201E"/>
    <w:rsid w:val="006F206C"/>
    <w:rsid w:val="006F2F21"/>
    <w:rsid w:val="006F3206"/>
    <w:rsid w:val="006F448A"/>
    <w:rsid w:val="006F4C12"/>
    <w:rsid w:val="006F502C"/>
    <w:rsid w:val="006F6464"/>
    <w:rsid w:val="006F7150"/>
    <w:rsid w:val="006F728E"/>
    <w:rsid w:val="006F7491"/>
    <w:rsid w:val="006F7AFF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315"/>
    <w:rsid w:val="00710AEE"/>
    <w:rsid w:val="00711481"/>
    <w:rsid w:val="00713002"/>
    <w:rsid w:val="007136D5"/>
    <w:rsid w:val="0071446A"/>
    <w:rsid w:val="007148DE"/>
    <w:rsid w:val="00715C99"/>
    <w:rsid w:val="00717D79"/>
    <w:rsid w:val="00720A65"/>
    <w:rsid w:val="00722167"/>
    <w:rsid w:val="00723449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F0"/>
    <w:rsid w:val="007410E3"/>
    <w:rsid w:val="0074151C"/>
    <w:rsid w:val="007435B1"/>
    <w:rsid w:val="00744419"/>
    <w:rsid w:val="00744726"/>
    <w:rsid w:val="0074603A"/>
    <w:rsid w:val="0074745F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815"/>
    <w:rsid w:val="0076166B"/>
    <w:rsid w:val="00761C21"/>
    <w:rsid w:val="00762BCF"/>
    <w:rsid w:val="00763B8A"/>
    <w:rsid w:val="007650B9"/>
    <w:rsid w:val="007662DD"/>
    <w:rsid w:val="00766A95"/>
    <w:rsid w:val="00766AB7"/>
    <w:rsid w:val="00766E09"/>
    <w:rsid w:val="007677C9"/>
    <w:rsid w:val="00767CC4"/>
    <w:rsid w:val="00767E9E"/>
    <w:rsid w:val="007702F7"/>
    <w:rsid w:val="00770AA3"/>
    <w:rsid w:val="00770C07"/>
    <w:rsid w:val="00773A9F"/>
    <w:rsid w:val="00773BDD"/>
    <w:rsid w:val="007749FB"/>
    <w:rsid w:val="007750C5"/>
    <w:rsid w:val="007756A9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18FC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2F1"/>
    <w:rsid w:val="007B3F8A"/>
    <w:rsid w:val="007B42C9"/>
    <w:rsid w:val="007B54BA"/>
    <w:rsid w:val="007B6046"/>
    <w:rsid w:val="007B66B8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D7C46"/>
    <w:rsid w:val="007E008A"/>
    <w:rsid w:val="007E0407"/>
    <w:rsid w:val="007E0BF4"/>
    <w:rsid w:val="007E1633"/>
    <w:rsid w:val="007E4915"/>
    <w:rsid w:val="007E4A2E"/>
    <w:rsid w:val="007E5098"/>
    <w:rsid w:val="007E5137"/>
    <w:rsid w:val="007E53FC"/>
    <w:rsid w:val="007E57ED"/>
    <w:rsid w:val="007E593D"/>
    <w:rsid w:val="007E598D"/>
    <w:rsid w:val="007E653E"/>
    <w:rsid w:val="007E6B15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594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3E39"/>
    <w:rsid w:val="0080406E"/>
    <w:rsid w:val="0080598F"/>
    <w:rsid w:val="00806636"/>
    <w:rsid w:val="00806C1C"/>
    <w:rsid w:val="008075F3"/>
    <w:rsid w:val="00810660"/>
    <w:rsid w:val="00811546"/>
    <w:rsid w:val="00813792"/>
    <w:rsid w:val="00814235"/>
    <w:rsid w:val="00814909"/>
    <w:rsid w:val="008160B4"/>
    <w:rsid w:val="0081622D"/>
    <w:rsid w:val="008162E2"/>
    <w:rsid w:val="00817111"/>
    <w:rsid w:val="00817AC1"/>
    <w:rsid w:val="0082091C"/>
    <w:rsid w:val="00820D14"/>
    <w:rsid w:val="00822018"/>
    <w:rsid w:val="00822A71"/>
    <w:rsid w:val="008234CA"/>
    <w:rsid w:val="00826486"/>
    <w:rsid w:val="00826B8A"/>
    <w:rsid w:val="00826CE7"/>
    <w:rsid w:val="00831400"/>
    <w:rsid w:val="00831593"/>
    <w:rsid w:val="008339B6"/>
    <w:rsid w:val="00833FFD"/>
    <w:rsid w:val="00834057"/>
    <w:rsid w:val="00834FA1"/>
    <w:rsid w:val="008351D0"/>
    <w:rsid w:val="008369D0"/>
    <w:rsid w:val="00836E6A"/>
    <w:rsid w:val="00837567"/>
    <w:rsid w:val="00837619"/>
    <w:rsid w:val="00837C11"/>
    <w:rsid w:val="00840694"/>
    <w:rsid w:val="0084080E"/>
    <w:rsid w:val="00840FF4"/>
    <w:rsid w:val="00841F4C"/>
    <w:rsid w:val="00841F89"/>
    <w:rsid w:val="00842195"/>
    <w:rsid w:val="00844514"/>
    <w:rsid w:val="008450AA"/>
    <w:rsid w:val="00847198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0447"/>
    <w:rsid w:val="008613F8"/>
    <w:rsid w:val="00862640"/>
    <w:rsid w:val="00862AEF"/>
    <w:rsid w:val="0086411C"/>
    <w:rsid w:val="008642D1"/>
    <w:rsid w:val="008647CD"/>
    <w:rsid w:val="00864888"/>
    <w:rsid w:val="00864A9D"/>
    <w:rsid w:val="00864C9E"/>
    <w:rsid w:val="00865B88"/>
    <w:rsid w:val="00866FB8"/>
    <w:rsid w:val="00867DA8"/>
    <w:rsid w:val="008707C3"/>
    <w:rsid w:val="00871775"/>
    <w:rsid w:val="00873134"/>
    <w:rsid w:val="008731A6"/>
    <w:rsid w:val="0087475D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2CF8"/>
    <w:rsid w:val="00883456"/>
    <w:rsid w:val="0088392D"/>
    <w:rsid w:val="00883F10"/>
    <w:rsid w:val="00884549"/>
    <w:rsid w:val="008847DC"/>
    <w:rsid w:val="00885CE7"/>
    <w:rsid w:val="0088690D"/>
    <w:rsid w:val="00887289"/>
    <w:rsid w:val="00890329"/>
    <w:rsid w:val="0089051F"/>
    <w:rsid w:val="008915B8"/>
    <w:rsid w:val="00891D99"/>
    <w:rsid w:val="008926E9"/>
    <w:rsid w:val="008927FA"/>
    <w:rsid w:val="00892CF4"/>
    <w:rsid w:val="008935A4"/>
    <w:rsid w:val="00894A2A"/>
    <w:rsid w:val="00895656"/>
    <w:rsid w:val="008956F3"/>
    <w:rsid w:val="00896E33"/>
    <w:rsid w:val="008A05C9"/>
    <w:rsid w:val="008A0C63"/>
    <w:rsid w:val="008A1B54"/>
    <w:rsid w:val="008A22E5"/>
    <w:rsid w:val="008A23CA"/>
    <w:rsid w:val="008A2524"/>
    <w:rsid w:val="008A2914"/>
    <w:rsid w:val="008A2C22"/>
    <w:rsid w:val="008A35C0"/>
    <w:rsid w:val="008A3A26"/>
    <w:rsid w:val="008A547D"/>
    <w:rsid w:val="008A7380"/>
    <w:rsid w:val="008A7507"/>
    <w:rsid w:val="008A7626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4D58"/>
    <w:rsid w:val="008C514F"/>
    <w:rsid w:val="008C5E9C"/>
    <w:rsid w:val="008C6BFD"/>
    <w:rsid w:val="008C6C3F"/>
    <w:rsid w:val="008C6E3E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DF6"/>
    <w:rsid w:val="008E3F86"/>
    <w:rsid w:val="008E5721"/>
    <w:rsid w:val="008E77DA"/>
    <w:rsid w:val="008E7BA5"/>
    <w:rsid w:val="008F1233"/>
    <w:rsid w:val="008F12B7"/>
    <w:rsid w:val="008F18A9"/>
    <w:rsid w:val="008F2F3A"/>
    <w:rsid w:val="008F35EA"/>
    <w:rsid w:val="008F44F3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6FCC"/>
    <w:rsid w:val="00907670"/>
    <w:rsid w:val="009104AB"/>
    <w:rsid w:val="00911666"/>
    <w:rsid w:val="00911E61"/>
    <w:rsid w:val="00912C34"/>
    <w:rsid w:val="00913BEA"/>
    <w:rsid w:val="009145EC"/>
    <w:rsid w:val="00914C35"/>
    <w:rsid w:val="00915ACA"/>
    <w:rsid w:val="00915D79"/>
    <w:rsid w:val="00916558"/>
    <w:rsid w:val="009166FA"/>
    <w:rsid w:val="00917E7E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37C9B"/>
    <w:rsid w:val="00937FD3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62AA"/>
    <w:rsid w:val="009871D5"/>
    <w:rsid w:val="009875B2"/>
    <w:rsid w:val="00987ABF"/>
    <w:rsid w:val="00991248"/>
    <w:rsid w:val="0099141A"/>
    <w:rsid w:val="0099191A"/>
    <w:rsid w:val="00991F04"/>
    <w:rsid w:val="009923AC"/>
    <w:rsid w:val="00993CDF"/>
    <w:rsid w:val="009946E3"/>
    <w:rsid w:val="00994F32"/>
    <w:rsid w:val="00994FAB"/>
    <w:rsid w:val="009958B7"/>
    <w:rsid w:val="0099645F"/>
    <w:rsid w:val="009A04F2"/>
    <w:rsid w:val="009A1907"/>
    <w:rsid w:val="009A1A1F"/>
    <w:rsid w:val="009A2361"/>
    <w:rsid w:val="009A2B2D"/>
    <w:rsid w:val="009A3DC5"/>
    <w:rsid w:val="009A45DC"/>
    <w:rsid w:val="009A4DA2"/>
    <w:rsid w:val="009A6055"/>
    <w:rsid w:val="009A6774"/>
    <w:rsid w:val="009B10CE"/>
    <w:rsid w:val="009B120E"/>
    <w:rsid w:val="009B1A55"/>
    <w:rsid w:val="009B2E78"/>
    <w:rsid w:val="009B377D"/>
    <w:rsid w:val="009B3B61"/>
    <w:rsid w:val="009B498C"/>
    <w:rsid w:val="009B517B"/>
    <w:rsid w:val="009B5A30"/>
    <w:rsid w:val="009B5E48"/>
    <w:rsid w:val="009B6813"/>
    <w:rsid w:val="009B7FA2"/>
    <w:rsid w:val="009C1163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4335"/>
    <w:rsid w:val="009D5920"/>
    <w:rsid w:val="009D5D2D"/>
    <w:rsid w:val="009D6128"/>
    <w:rsid w:val="009D6610"/>
    <w:rsid w:val="009D762B"/>
    <w:rsid w:val="009E4060"/>
    <w:rsid w:val="009E5AAA"/>
    <w:rsid w:val="009F014C"/>
    <w:rsid w:val="009F0ED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147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7BEA"/>
    <w:rsid w:val="00A31105"/>
    <w:rsid w:val="00A33430"/>
    <w:rsid w:val="00A3378F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1E7"/>
    <w:rsid w:val="00A40A3E"/>
    <w:rsid w:val="00A410D1"/>
    <w:rsid w:val="00A41CDF"/>
    <w:rsid w:val="00A42C6E"/>
    <w:rsid w:val="00A43624"/>
    <w:rsid w:val="00A4378E"/>
    <w:rsid w:val="00A439AC"/>
    <w:rsid w:val="00A43BCC"/>
    <w:rsid w:val="00A43F8D"/>
    <w:rsid w:val="00A44C4E"/>
    <w:rsid w:val="00A4598B"/>
    <w:rsid w:val="00A46058"/>
    <w:rsid w:val="00A46261"/>
    <w:rsid w:val="00A46326"/>
    <w:rsid w:val="00A464BD"/>
    <w:rsid w:val="00A46933"/>
    <w:rsid w:val="00A46A91"/>
    <w:rsid w:val="00A471B3"/>
    <w:rsid w:val="00A50757"/>
    <w:rsid w:val="00A5076A"/>
    <w:rsid w:val="00A514B6"/>
    <w:rsid w:val="00A52282"/>
    <w:rsid w:val="00A5396B"/>
    <w:rsid w:val="00A53D4C"/>
    <w:rsid w:val="00A55944"/>
    <w:rsid w:val="00A57111"/>
    <w:rsid w:val="00A60673"/>
    <w:rsid w:val="00A615F7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17A8"/>
    <w:rsid w:val="00A71F3C"/>
    <w:rsid w:val="00A73029"/>
    <w:rsid w:val="00A734FB"/>
    <w:rsid w:val="00A737B7"/>
    <w:rsid w:val="00A7431A"/>
    <w:rsid w:val="00A77F67"/>
    <w:rsid w:val="00A826AD"/>
    <w:rsid w:val="00A8393B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12B8"/>
    <w:rsid w:val="00AA237B"/>
    <w:rsid w:val="00AA2C4C"/>
    <w:rsid w:val="00AA483F"/>
    <w:rsid w:val="00AA4C21"/>
    <w:rsid w:val="00AA5BF2"/>
    <w:rsid w:val="00AA695B"/>
    <w:rsid w:val="00AA6966"/>
    <w:rsid w:val="00AA77DC"/>
    <w:rsid w:val="00AA7B22"/>
    <w:rsid w:val="00AA7EEF"/>
    <w:rsid w:val="00AB0C95"/>
    <w:rsid w:val="00AB0F84"/>
    <w:rsid w:val="00AB573A"/>
    <w:rsid w:val="00AB7CCB"/>
    <w:rsid w:val="00AC03EE"/>
    <w:rsid w:val="00AC0CC1"/>
    <w:rsid w:val="00AC11AB"/>
    <w:rsid w:val="00AC1D0A"/>
    <w:rsid w:val="00AC2E6B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5467"/>
    <w:rsid w:val="00AD68AC"/>
    <w:rsid w:val="00AD7C78"/>
    <w:rsid w:val="00AD7EE0"/>
    <w:rsid w:val="00AE0128"/>
    <w:rsid w:val="00AE2C5D"/>
    <w:rsid w:val="00AE3EC9"/>
    <w:rsid w:val="00AE3ED2"/>
    <w:rsid w:val="00AE4125"/>
    <w:rsid w:val="00AE4B44"/>
    <w:rsid w:val="00AE60B2"/>
    <w:rsid w:val="00AE65F9"/>
    <w:rsid w:val="00AE6BB6"/>
    <w:rsid w:val="00AF007E"/>
    <w:rsid w:val="00AF086D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EC4"/>
    <w:rsid w:val="00B0660F"/>
    <w:rsid w:val="00B073DD"/>
    <w:rsid w:val="00B10715"/>
    <w:rsid w:val="00B10B0D"/>
    <w:rsid w:val="00B12095"/>
    <w:rsid w:val="00B129D5"/>
    <w:rsid w:val="00B138D9"/>
    <w:rsid w:val="00B13ABC"/>
    <w:rsid w:val="00B14FD7"/>
    <w:rsid w:val="00B167BD"/>
    <w:rsid w:val="00B17917"/>
    <w:rsid w:val="00B2055E"/>
    <w:rsid w:val="00B20A1A"/>
    <w:rsid w:val="00B20D99"/>
    <w:rsid w:val="00B21FA1"/>
    <w:rsid w:val="00B23243"/>
    <w:rsid w:val="00B25908"/>
    <w:rsid w:val="00B26F4F"/>
    <w:rsid w:val="00B273E0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3E1"/>
    <w:rsid w:val="00B3749D"/>
    <w:rsid w:val="00B37A7E"/>
    <w:rsid w:val="00B401E3"/>
    <w:rsid w:val="00B4078F"/>
    <w:rsid w:val="00B40C09"/>
    <w:rsid w:val="00B40D67"/>
    <w:rsid w:val="00B40E34"/>
    <w:rsid w:val="00B41081"/>
    <w:rsid w:val="00B417FD"/>
    <w:rsid w:val="00B41E6D"/>
    <w:rsid w:val="00B423B8"/>
    <w:rsid w:val="00B439D7"/>
    <w:rsid w:val="00B43A5F"/>
    <w:rsid w:val="00B449E6"/>
    <w:rsid w:val="00B45650"/>
    <w:rsid w:val="00B4636C"/>
    <w:rsid w:val="00B466DA"/>
    <w:rsid w:val="00B46C8B"/>
    <w:rsid w:val="00B47085"/>
    <w:rsid w:val="00B47407"/>
    <w:rsid w:val="00B47966"/>
    <w:rsid w:val="00B50B76"/>
    <w:rsid w:val="00B50CB1"/>
    <w:rsid w:val="00B528AD"/>
    <w:rsid w:val="00B52BC7"/>
    <w:rsid w:val="00B533BF"/>
    <w:rsid w:val="00B53AA3"/>
    <w:rsid w:val="00B5417E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0F0D"/>
    <w:rsid w:val="00B61BB8"/>
    <w:rsid w:val="00B61BC0"/>
    <w:rsid w:val="00B61F7E"/>
    <w:rsid w:val="00B62549"/>
    <w:rsid w:val="00B64047"/>
    <w:rsid w:val="00B648A8"/>
    <w:rsid w:val="00B64927"/>
    <w:rsid w:val="00B656BE"/>
    <w:rsid w:val="00B65765"/>
    <w:rsid w:val="00B66C71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8B2"/>
    <w:rsid w:val="00B74F5A"/>
    <w:rsid w:val="00B750F3"/>
    <w:rsid w:val="00B759E2"/>
    <w:rsid w:val="00B76D31"/>
    <w:rsid w:val="00B80E7B"/>
    <w:rsid w:val="00B81241"/>
    <w:rsid w:val="00B81D07"/>
    <w:rsid w:val="00B83A3E"/>
    <w:rsid w:val="00B8444F"/>
    <w:rsid w:val="00B85A00"/>
    <w:rsid w:val="00B85CAF"/>
    <w:rsid w:val="00B87324"/>
    <w:rsid w:val="00B87E91"/>
    <w:rsid w:val="00B910C2"/>
    <w:rsid w:val="00B917D6"/>
    <w:rsid w:val="00B92652"/>
    <w:rsid w:val="00B92845"/>
    <w:rsid w:val="00B94BC5"/>
    <w:rsid w:val="00B950EA"/>
    <w:rsid w:val="00B951FA"/>
    <w:rsid w:val="00B952B6"/>
    <w:rsid w:val="00B96705"/>
    <w:rsid w:val="00B97A7C"/>
    <w:rsid w:val="00BA0402"/>
    <w:rsid w:val="00BA2971"/>
    <w:rsid w:val="00BA2D58"/>
    <w:rsid w:val="00BA3E0A"/>
    <w:rsid w:val="00BA3F36"/>
    <w:rsid w:val="00BA4074"/>
    <w:rsid w:val="00BA4300"/>
    <w:rsid w:val="00BA444E"/>
    <w:rsid w:val="00BA4FFC"/>
    <w:rsid w:val="00BA569C"/>
    <w:rsid w:val="00BA6395"/>
    <w:rsid w:val="00BA6AF1"/>
    <w:rsid w:val="00BA6BF4"/>
    <w:rsid w:val="00BA6E34"/>
    <w:rsid w:val="00BB09C6"/>
    <w:rsid w:val="00BB16A4"/>
    <w:rsid w:val="00BB1C3F"/>
    <w:rsid w:val="00BB206A"/>
    <w:rsid w:val="00BB2635"/>
    <w:rsid w:val="00BB2C0B"/>
    <w:rsid w:val="00BB3160"/>
    <w:rsid w:val="00BB3336"/>
    <w:rsid w:val="00BB3F42"/>
    <w:rsid w:val="00BB4346"/>
    <w:rsid w:val="00BB497E"/>
    <w:rsid w:val="00BB525A"/>
    <w:rsid w:val="00BB61FF"/>
    <w:rsid w:val="00BB6400"/>
    <w:rsid w:val="00BB7489"/>
    <w:rsid w:val="00BC00FA"/>
    <w:rsid w:val="00BC239E"/>
    <w:rsid w:val="00BC2A1F"/>
    <w:rsid w:val="00BC3097"/>
    <w:rsid w:val="00BC3526"/>
    <w:rsid w:val="00BC3E68"/>
    <w:rsid w:val="00BC4851"/>
    <w:rsid w:val="00BC6544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190"/>
    <w:rsid w:val="00BE11AF"/>
    <w:rsid w:val="00BE1C32"/>
    <w:rsid w:val="00BE2041"/>
    <w:rsid w:val="00BE2CC9"/>
    <w:rsid w:val="00BE4057"/>
    <w:rsid w:val="00BE4B2D"/>
    <w:rsid w:val="00BE4FEF"/>
    <w:rsid w:val="00BE522D"/>
    <w:rsid w:val="00BE6331"/>
    <w:rsid w:val="00BE6BB9"/>
    <w:rsid w:val="00BE6E4B"/>
    <w:rsid w:val="00BE7209"/>
    <w:rsid w:val="00BE72FF"/>
    <w:rsid w:val="00BE795A"/>
    <w:rsid w:val="00BE7DC0"/>
    <w:rsid w:val="00BF0083"/>
    <w:rsid w:val="00BF0453"/>
    <w:rsid w:val="00BF15E0"/>
    <w:rsid w:val="00BF2AF6"/>
    <w:rsid w:val="00BF3C61"/>
    <w:rsid w:val="00BF3D75"/>
    <w:rsid w:val="00BF3D76"/>
    <w:rsid w:val="00BF40DF"/>
    <w:rsid w:val="00BF46C9"/>
    <w:rsid w:val="00BF4D00"/>
    <w:rsid w:val="00BF5822"/>
    <w:rsid w:val="00BF6008"/>
    <w:rsid w:val="00BF6280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10AEF"/>
    <w:rsid w:val="00C10BE2"/>
    <w:rsid w:val="00C115F2"/>
    <w:rsid w:val="00C131CD"/>
    <w:rsid w:val="00C14E41"/>
    <w:rsid w:val="00C15598"/>
    <w:rsid w:val="00C15AFE"/>
    <w:rsid w:val="00C15CFF"/>
    <w:rsid w:val="00C16000"/>
    <w:rsid w:val="00C164C1"/>
    <w:rsid w:val="00C168B9"/>
    <w:rsid w:val="00C16AF9"/>
    <w:rsid w:val="00C172F2"/>
    <w:rsid w:val="00C20411"/>
    <w:rsid w:val="00C207FE"/>
    <w:rsid w:val="00C20CC8"/>
    <w:rsid w:val="00C211C9"/>
    <w:rsid w:val="00C21931"/>
    <w:rsid w:val="00C22214"/>
    <w:rsid w:val="00C22A6A"/>
    <w:rsid w:val="00C2412F"/>
    <w:rsid w:val="00C242AA"/>
    <w:rsid w:val="00C2432C"/>
    <w:rsid w:val="00C259A0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58BE"/>
    <w:rsid w:val="00C36C4F"/>
    <w:rsid w:val="00C3703B"/>
    <w:rsid w:val="00C404A6"/>
    <w:rsid w:val="00C41B31"/>
    <w:rsid w:val="00C43624"/>
    <w:rsid w:val="00C43EFB"/>
    <w:rsid w:val="00C44C0F"/>
    <w:rsid w:val="00C469B4"/>
    <w:rsid w:val="00C50694"/>
    <w:rsid w:val="00C511CF"/>
    <w:rsid w:val="00C5271E"/>
    <w:rsid w:val="00C52D21"/>
    <w:rsid w:val="00C52F78"/>
    <w:rsid w:val="00C531B0"/>
    <w:rsid w:val="00C5390C"/>
    <w:rsid w:val="00C53E4B"/>
    <w:rsid w:val="00C5525E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1058"/>
    <w:rsid w:val="00C72F9D"/>
    <w:rsid w:val="00C741A2"/>
    <w:rsid w:val="00C7423E"/>
    <w:rsid w:val="00C7601E"/>
    <w:rsid w:val="00C76254"/>
    <w:rsid w:val="00C7640B"/>
    <w:rsid w:val="00C7678E"/>
    <w:rsid w:val="00C767D5"/>
    <w:rsid w:val="00C76FAA"/>
    <w:rsid w:val="00C77081"/>
    <w:rsid w:val="00C819C8"/>
    <w:rsid w:val="00C835C9"/>
    <w:rsid w:val="00C83810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11D3"/>
    <w:rsid w:val="00C91222"/>
    <w:rsid w:val="00C92101"/>
    <w:rsid w:val="00C9217F"/>
    <w:rsid w:val="00C94991"/>
    <w:rsid w:val="00C94B69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208"/>
    <w:rsid w:val="00CE2C77"/>
    <w:rsid w:val="00CE30C3"/>
    <w:rsid w:val="00CE3251"/>
    <w:rsid w:val="00CE34E1"/>
    <w:rsid w:val="00CE36E6"/>
    <w:rsid w:val="00CE39AE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54F6"/>
    <w:rsid w:val="00CF6872"/>
    <w:rsid w:val="00CF7DF5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189D"/>
    <w:rsid w:val="00D12E66"/>
    <w:rsid w:val="00D12E6C"/>
    <w:rsid w:val="00D12F6C"/>
    <w:rsid w:val="00D14A34"/>
    <w:rsid w:val="00D14AD6"/>
    <w:rsid w:val="00D15417"/>
    <w:rsid w:val="00D15DE2"/>
    <w:rsid w:val="00D15E00"/>
    <w:rsid w:val="00D15E94"/>
    <w:rsid w:val="00D1622B"/>
    <w:rsid w:val="00D16C5C"/>
    <w:rsid w:val="00D22524"/>
    <w:rsid w:val="00D22892"/>
    <w:rsid w:val="00D243AD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833"/>
    <w:rsid w:val="00D36A6B"/>
    <w:rsid w:val="00D371F3"/>
    <w:rsid w:val="00D407C9"/>
    <w:rsid w:val="00D40E5C"/>
    <w:rsid w:val="00D41D63"/>
    <w:rsid w:val="00D42AC1"/>
    <w:rsid w:val="00D45DD8"/>
    <w:rsid w:val="00D47228"/>
    <w:rsid w:val="00D50C77"/>
    <w:rsid w:val="00D50E7E"/>
    <w:rsid w:val="00D515CA"/>
    <w:rsid w:val="00D51E64"/>
    <w:rsid w:val="00D53601"/>
    <w:rsid w:val="00D53630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0BF3"/>
    <w:rsid w:val="00D72348"/>
    <w:rsid w:val="00D7247B"/>
    <w:rsid w:val="00D72599"/>
    <w:rsid w:val="00D72D89"/>
    <w:rsid w:val="00D743D6"/>
    <w:rsid w:val="00D7475A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492C"/>
    <w:rsid w:val="00D8519A"/>
    <w:rsid w:val="00D8580C"/>
    <w:rsid w:val="00D877C6"/>
    <w:rsid w:val="00D877F9"/>
    <w:rsid w:val="00D908C9"/>
    <w:rsid w:val="00D91300"/>
    <w:rsid w:val="00D92276"/>
    <w:rsid w:val="00D924C9"/>
    <w:rsid w:val="00D9290F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44E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700"/>
    <w:rsid w:val="00DB5DA2"/>
    <w:rsid w:val="00DB6443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244E"/>
    <w:rsid w:val="00DC2490"/>
    <w:rsid w:val="00DC336B"/>
    <w:rsid w:val="00DC37DD"/>
    <w:rsid w:val="00DC425F"/>
    <w:rsid w:val="00DC4351"/>
    <w:rsid w:val="00DC4A5B"/>
    <w:rsid w:val="00DC5D85"/>
    <w:rsid w:val="00DC6CE1"/>
    <w:rsid w:val="00DC7487"/>
    <w:rsid w:val="00DD0BA4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0D62"/>
    <w:rsid w:val="00DE1A20"/>
    <w:rsid w:val="00DE1F8A"/>
    <w:rsid w:val="00DE33DD"/>
    <w:rsid w:val="00DE358E"/>
    <w:rsid w:val="00DE3D8C"/>
    <w:rsid w:val="00DE451A"/>
    <w:rsid w:val="00DE4916"/>
    <w:rsid w:val="00DE5C1C"/>
    <w:rsid w:val="00DE5C55"/>
    <w:rsid w:val="00DE5F8A"/>
    <w:rsid w:val="00DE6562"/>
    <w:rsid w:val="00DE76AE"/>
    <w:rsid w:val="00DE7A1E"/>
    <w:rsid w:val="00DF0657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0F98"/>
    <w:rsid w:val="00E010AB"/>
    <w:rsid w:val="00E01DE6"/>
    <w:rsid w:val="00E0278F"/>
    <w:rsid w:val="00E034FC"/>
    <w:rsid w:val="00E04946"/>
    <w:rsid w:val="00E04FEA"/>
    <w:rsid w:val="00E05A5E"/>
    <w:rsid w:val="00E06077"/>
    <w:rsid w:val="00E067E4"/>
    <w:rsid w:val="00E06B4E"/>
    <w:rsid w:val="00E06BA9"/>
    <w:rsid w:val="00E10492"/>
    <w:rsid w:val="00E10B3C"/>
    <w:rsid w:val="00E1131C"/>
    <w:rsid w:val="00E11A0D"/>
    <w:rsid w:val="00E11AC1"/>
    <w:rsid w:val="00E11D32"/>
    <w:rsid w:val="00E11F9F"/>
    <w:rsid w:val="00E12097"/>
    <w:rsid w:val="00E1277B"/>
    <w:rsid w:val="00E129B4"/>
    <w:rsid w:val="00E129CC"/>
    <w:rsid w:val="00E14D82"/>
    <w:rsid w:val="00E14E9D"/>
    <w:rsid w:val="00E156AF"/>
    <w:rsid w:val="00E15A98"/>
    <w:rsid w:val="00E15C7C"/>
    <w:rsid w:val="00E15EB8"/>
    <w:rsid w:val="00E16400"/>
    <w:rsid w:val="00E16407"/>
    <w:rsid w:val="00E1678E"/>
    <w:rsid w:val="00E17312"/>
    <w:rsid w:val="00E178F4"/>
    <w:rsid w:val="00E17C3D"/>
    <w:rsid w:val="00E215A2"/>
    <w:rsid w:val="00E231FC"/>
    <w:rsid w:val="00E232AB"/>
    <w:rsid w:val="00E24703"/>
    <w:rsid w:val="00E24D54"/>
    <w:rsid w:val="00E24ED2"/>
    <w:rsid w:val="00E26325"/>
    <w:rsid w:val="00E2687A"/>
    <w:rsid w:val="00E26E35"/>
    <w:rsid w:val="00E30466"/>
    <w:rsid w:val="00E30FC7"/>
    <w:rsid w:val="00E3109B"/>
    <w:rsid w:val="00E3158E"/>
    <w:rsid w:val="00E31FC9"/>
    <w:rsid w:val="00E3289E"/>
    <w:rsid w:val="00E332EC"/>
    <w:rsid w:val="00E3341C"/>
    <w:rsid w:val="00E33D3B"/>
    <w:rsid w:val="00E346F9"/>
    <w:rsid w:val="00E350EA"/>
    <w:rsid w:val="00E36033"/>
    <w:rsid w:val="00E3681B"/>
    <w:rsid w:val="00E36CAE"/>
    <w:rsid w:val="00E36CCF"/>
    <w:rsid w:val="00E36D55"/>
    <w:rsid w:val="00E4037A"/>
    <w:rsid w:val="00E405B2"/>
    <w:rsid w:val="00E41751"/>
    <w:rsid w:val="00E4370B"/>
    <w:rsid w:val="00E44B6B"/>
    <w:rsid w:val="00E44B76"/>
    <w:rsid w:val="00E44EE0"/>
    <w:rsid w:val="00E45C43"/>
    <w:rsid w:val="00E45CB9"/>
    <w:rsid w:val="00E4668C"/>
    <w:rsid w:val="00E4718E"/>
    <w:rsid w:val="00E4719C"/>
    <w:rsid w:val="00E5004E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6087"/>
    <w:rsid w:val="00E571AB"/>
    <w:rsid w:val="00E57E52"/>
    <w:rsid w:val="00E57FB7"/>
    <w:rsid w:val="00E601B2"/>
    <w:rsid w:val="00E6056C"/>
    <w:rsid w:val="00E60E4A"/>
    <w:rsid w:val="00E612B4"/>
    <w:rsid w:val="00E616E0"/>
    <w:rsid w:val="00E62675"/>
    <w:rsid w:val="00E638F6"/>
    <w:rsid w:val="00E643FE"/>
    <w:rsid w:val="00E6458D"/>
    <w:rsid w:val="00E64F61"/>
    <w:rsid w:val="00E665CA"/>
    <w:rsid w:val="00E675D1"/>
    <w:rsid w:val="00E67E9E"/>
    <w:rsid w:val="00E700B5"/>
    <w:rsid w:val="00E70C82"/>
    <w:rsid w:val="00E70E66"/>
    <w:rsid w:val="00E729F0"/>
    <w:rsid w:val="00E73990"/>
    <w:rsid w:val="00E77196"/>
    <w:rsid w:val="00E7796D"/>
    <w:rsid w:val="00E80122"/>
    <w:rsid w:val="00E80FBA"/>
    <w:rsid w:val="00E8132D"/>
    <w:rsid w:val="00E81432"/>
    <w:rsid w:val="00E814C5"/>
    <w:rsid w:val="00E82178"/>
    <w:rsid w:val="00E830C1"/>
    <w:rsid w:val="00E8383A"/>
    <w:rsid w:val="00E83EEF"/>
    <w:rsid w:val="00E8487C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6ED"/>
    <w:rsid w:val="00E929A8"/>
    <w:rsid w:val="00E93604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29D"/>
    <w:rsid w:val="00EB6F42"/>
    <w:rsid w:val="00EC0AC5"/>
    <w:rsid w:val="00EC4B35"/>
    <w:rsid w:val="00EC5377"/>
    <w:rsid w:val="00EC7093"/>
    <w:rsid w:val="00ED1568"/>
    <w:rsid w:val="00ED177B"/>
    <w:rsid w:val="00ED1E7C"/>
    <w:rsid w:val="00ED208F"/>
    <w:rsid w:val="00ED21B0"/>
    <w:rsid w:val="00ED332B"/>
    <w:rsid w:val="00ED4042"/>
    <w:rsid w:val="00ED4798"/>
    <w:rsid w:val="00ED4D41"/>
    <w:rsid w:val="00ED54B0"/>
    <w:rsid w:val="00ED5912"/>
    <w:rsid w:val="00ED7540"/>
    <w:rsid w:val="00ED774C"/>
    <w:rsid w:val="00ED7DAC"/>
    <w:rsid w:val="00EE12C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E7478"/>
    <w:rsid w:val="00EF0700"/>
    <w:rsid w:val="00EF0A27"/>
    <w:rsid w:val="00EF1115"/>
    <w:rsid w:val="00EF1235"/>
    <w:rsid w:val="00EF12AB"/>
    <w:rsid w:val="00EF202A"/>
    <w:rsid w:val="00EF2039"/>
    <w:rsid w:val="00EF2628"/>
    <w:rsid w:val="00EF53EA"/>
    <w:rsid w:val="00EF553E"/>
    <w:rsid w:val="00EF60BB"/>
    <w:rsid w:val="00EF6910"/>
    <w:rsid w:val="00EF6CFB"/>
    <w:rsid w:val="00F00062"/>
    <w:rsid w:val="00F001AB"/>
    <w:rsid w:val="00F00C84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35F"/>
    <w:rsid w:val="00F122DC"/>
    <w:rsid w:val="00F13D9E"/>
    <w:rsid w:val="00F13F37"/>
    <w:rsid w:val="00F1449D"/>
    <w:rsid w:val="00F15D0F"/>
    <w:rsid w:val="00F15F9A"/>
    <w:rsid w:val="00F16D68"/>
    <w:rsid w:val="00F179A2"/>
    <w:rsid w:val="00F17CF4"/>
    <w:rsid w:val="00F20593"/>
    <w:rsid w:val="00F20AE3"/>
    <w:rsid w:val="00F20D43"/>
    <w:rsid w:val="00F2146A"/>
    <w:rsid w:val="00F22149"/>
    <w:rsid w:val="00F224DD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AD"/>
    <w:rsid w:val="00F51395"/>
    <w:rsid w:val="00F559C3"/>
    <w:rsid w:val="00F5652C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4413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61F9"/>
    <w:rsid w:val="00F8760D"/>
    <w:rsid w:val="00F90BAD"/>
    <w:rsid w:val="00F91131"/>
    <w:rsid w:val="00F9161B"/>
    <w:rsid w:val="00F92077"/>
    <w:rsid w:val="00F93D0F"/>
    <w:rsid w:val="00F94111"/>
    <w:rsid w:val="00F94ADB"/>
    <w:rsid w:val="00F95463"/>
    <w:rsid w:val="00F9566B"/>
    <w:rsid w:val="00F962E1"/>
    <w:rsid w:val="00F966AE"/>
    <w:rsid w:val="00F96934"/>
    <w:rsid w:val="00F971AB"/>
    <w:rsid w:val="00F97460"/>
    <w:rsid w:val="00FA0B41"/>
    <w:rsid w:val="00FA15F3"/>
    <w:rsid w:val="00FA2B0D"/>
    <w:rsid w:val="00FA2B62"/>
    <w:rsid w:val="00FA2CE7"/>
    <w:rsid w:val="00FA43D6"/>
    <w:rsid w:val="00FA677A"/>
    <w:rsid w:val="00FA777F"/>
    <w:rsid w:val="00FA7C50"/>
    <w:rsid w:val="00FA7EF8"/>
    <w:rsid w:val="00FB066C"/>
    <w:rsid w:val="00FB0B9F"/>
    <w:rsid w:val="00FB0DD9"/>
    <w:rsid w:val="00FB0E40"/>
    <w:rsid w:val="00FB17CB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2AB"/>
    <w:rsid w:val="00FC5BDD"/>
    <w:rsid w:val="00FC607A"/>
    <w:rsid w:val="00FD00D1"/>
    <w:rsid w:val="00FD1BFB"/>
    <w:rsid w:val="00FD222F"/>
    <w:rsid w:val="00FD2857"/>
    <w:rsid w:val="00FD3868"/>
    <w:rsid w:val="00FD4AED"/>
    <w:rsid w:val="00FD502D"/>
    <w:rsid w:val="00FD5281"/>
    <w:rsid w:val="00FD638A"/>
    <w:rsid w:val="00FD6927"/>
    <w:rsid w:val="00FD75FD"/>
    <w:rsid w:val="00FD78E0"/>
    <w:rsid w:val="00FD7FC0"/>
    <w:rsid w:val="00FE0A67"/>
    <w:rsid w:val="00FE1204"/>
    <w:rsid w:val="00FE1E44"/>
    <w:rsid w:val="00FE2981"/>
    <w:rsid w:val="00FE2C21"/>
    <w:rsid w:val="00FE3861"/>
    <w:rsid w:val="00FE396D"/>
    <w:rsid w:val="00FE431D"/>
    <w:rsid w:val="00FE55F3"/>
    <w:rsid w:val="00FE69AA"/>
    <w:rsid w:val="00FE7489"/>
    <w:rsid w:val="00FF0240"/>
    <w:rsid w:val="00FF0C2A"/>
    <w:rsid w:val="00FF1F50"/>
    <w:rsid w:val="00FF2805"/>
    <w:rsid w:val="00FF30EA"/>
    <w:rsid w:val="00FF39F8"/>
    <w:rsid w:val="00FF5547"/>
    <w:rsid w:val="00FF56EB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005B3"/>
  <w15:chartTrackingRefBased/>
  <w15:docId w15:val="{B964CC5F-12E2-4152-9C05-D079001E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99645F"/>
    <w:rPr>
      <w:rFonts w:eastAsia="Times New Roman" w:cs="Arial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99645F"/>
    <w:rPr>
      <w:rFonts w:eastAsia="Times New Roman" w:cs="Arial"/>
      <w:sz w:val="22"/>
      <w:szCs w:val="2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927A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927A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27A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927AB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15DFA-EC00-4089-AC37-886A711F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4596</Words>
  <Characters>27579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Agnieszka Jóźwiak</cp:lastModifiedBy>
  <cp:revision>2</cp:revision>
  <cp:lastPrinted>2023-07-31T07:59:00Z</cp:lastPrinted>
  <dcterms:created xsi:type="dcterms:W3CDTF">2024-08-22T10:23:00Z</dcterms:created>
  <dcterms:modified xsi:type="dcterms:W3CDTF">2024-08-22T10:23:00Z</dcterms:modified>
</cp:coreProperties>
</file>