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14F9" w14:textId="77777777" w:rsidR="002B1E8A" w:rsidRPr="002B1E8A" w:rsidRDefault="002B1E8A" w:rsidP="002B1E8A">
      <w:pPr>
        <w:tabs>
          <w:tab w:val="left" w:pos="9923"/>
        </w:tabs>
        <w:spacing w:after="0" w:line="240" w:lineRule="auto"/>
        <w:ind w:left="9923"/>
        <w:jc w:val="right"/>
        <w:rPr>
          <w:rFonts w:ascii="Arial" w:hAnsi="Arial" w:cs="Arial"/>
          <w:bCs/>
          <w:sz w:val="24"/>
          <w:szCs w:val="24"/>
        </w:rPr>
      </w:pPr>
    </w:p>
    <w:p w14:paraId="6A1E978B" w14:textId="77777777" w:rsidR="00A12E4A" w:rsidRPr="002B1E8A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01BD7DF5" w:rsidR="00A12E4A" w:rsidRDefault="00A12E4A" w:rsidP="001C3F2D">
      <w:pPr>
        <w:spacing w:before="100" w:beforeAutospacing="1" w:after="0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813ACC"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</w:p>
    <w:p w14:paraId="77864B07" w14:textId="7456123E" w:rsidR="001C3F2D" w:rsidRPr="00384712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Hlk161215084"/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bookmarkStart w:id="1" w:name="_Hlk173306027"/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podległ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Samorządowi Województwa</w:t>
      </w:r>
    </w:p>
    <w:bookmarkEnd w:id="1"/>
    <w:p w14:paraId="3D6535C7" w14:textId="457EF5D6" w:rsidR="001C3F2D" w:rsidRPr="002B1E8A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- pozostałe</w:t>
      </w:r>
    </w:p>
    <w:bookmarkEnd w:id="0"/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7A629A9A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2" w:name="_Hlk179196373"/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bookmarkEnd w:id="2"/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48B6A116" w14:textId="6B3BC61A" w:rsidR="002B1E8A" w:rsidRPr="00663510" w:rsidRDefault="002B1E8A" w:rsidP="00663510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Pr="00663510">
        <w:rPr>
          <w:rFonts w:ascii="Arial" w:hAnsi="Arial" w:cs="Arial"/>
          <w:sz w:val="24"/>
          <w:szCs w:val="24"/>
        </w:rPr>
        <w:t>,</w:t>
      </w:r>
    </w:p>
    <w:p w14:paraId="69795996" w14:textId="6A2C8416" w:rsidR="00024D24" w:rsidRPr="00502180" w:rsidRDefault="00024D24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2180">
        <w:rPr>
          <w:rFonts w:ascii="Arial" w:hAnsi="Arial" w:cs="Arial"/>
          <w:sz w:val="24"/>
          <w:szCs w:val="24"/>
        </w:rPr>
        <w:t>kościołów i związków wyznaniowych,</w:t>
      </w:r>
    </w:p>
    <w:p w14:paraId="3F3DBDA3" w14:textId="77777777" w:rsidR="00773443" w:rsidRDefault="001B5406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E0FA5">
        <w:rPr>
          <w:rFonts w:ascii="Arial" w:hAnsi="Arial" w:cs="Arial"/>
          <w:sz w:val="24"/>
          <w:szCs w:val="24"/>
        </w:rPr>
        <w:t xml:space="preserve">rganizacji </w:t>
      </w:r>
      <w:r w:rsidR="00CE0FA5" w:rsidRPr="00CE0FA5">
        <w:rPr>
          <w:rFonts w:ascii="Arial" w:hAnsi="Arial" w:cs="Arial"/>
          <w:sz w:val="24"/>
          <w:szCs w:val="24"/>
        </w:rPr>
        <w:t>pozarządow</w:t>
      </w:r>
      <w:r w:rsidR="00CE0FA5">
        <w:rPr>
          <w:rFonts w:ascii="Arial" w:hAnsi="Arial" w:cs="Arial"/>
          <w:sz w:val="24"/>
          <w:szCs w:val="24"/>
        </w:rPr>
        <w:t>ych</w:t>
      </w:r>
      <w:r w:rsidR="00773443">
        <w:rPr>
          <w:rFonts w:ascii="Arial" w:hAnsi="Arial" w:cs="Arial"/>
          <w:sz w:val="24"/>
          <w:szCs w:val="24"/>
        </w:rPr>
        <w:t>,</w:t>
      </w:r>
    </w:p>
    <w:p w14:paraId="7C9C4AEE" w14:textId="142F3584" w:rsidR="00B90B0F" w:rsidRDefault="00773443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spół</w:t>
      </w:r>
      <w:r w:rsidR="007D140E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 xml:space="preserve"> prawa handlowego </w:t>
      </w:r>
      <w:r w:rsidR="00B90B0F">
        <w:rPr>
          <w:rFonts w:ascii="Arial" w:hAnsi="Arial" w:cs="Arial"/>
          <w:sz w:val="24"/>
          <w:szCs w:val="24"/>
        </w:rPr>
        <w:t>z większościowym udziałem jednostek samorządu terytorialnego,</w:t>
      </w:r>
    </w:p>
    <w:p w14:paraId="4ED1434A" w14:textId="7709878B" w:rsidR="00B90B0F" w:rsidRDefault="00B90B0F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instytucji kultury podległych jednostkom samorządu terytorialnego,</w:t>
      </w:r>
    </w:p>
    <w:p w14:paraId="095364B9" w14:textId="35FC8326" w:rsidR="00CE0FA5" w:rsidRPr="002B1E8A" w:rsidRDefault="00B90B0F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jednostek organizacyjnych działających w imieniu jednostek samorządu terytorialnego</w:t>
      </w:r>
      <w:r w:rsidR="00CE0FA5">
        <w:rPr>
          <w:rFonts w:ascii="Arial" w:hAnsi="Arial" w:cs="Arial"/>
          <w:sz w:val="24"/>
          <w:szCs w:val="24"/>
        </w:rPr>
        <w:t>.</w:t>
      </w:r>
    </w:p>
    <w:p w14:paraId="0F9AF31E" w14:textId="77777777" w:rsidR="002B1E8A" w:rsidRDefault="002B1E8A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0A3D3B73" w14:textId="3D701323" w:rsidR="002B1E8A" w:rsidRDefault="00333557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7B64490D" w:rsidR="002B1E8A" w:rsidRPr="00663510" w:rsidRDefault="001B5406" w:rsidP="002B1E8A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2B1E8A">
        <w:rPr>
          <w:rFonts w:ascii="Arial" w:hAnsi="Arial" w:cs="Arial"/>
          <w:sz w:val="24"/>
          <w:szCs w:val="24"/>
        </w:rPr>
        <w:t>przedsięwzięcia</w:t>
      </w:r>
      <w:r w:rsidR="002B1E8A" w:rsidRPr="002B1E8A">
        <w:rPr>
          <w:rFonts w:ascii="Arial" w:hAnsi="Arial" w:cs="Arial"/>
          <w:sz w:val="24"/>
          <w:szCs w:val="24"/>
        </w:rPr>
        <w:t xml:space="preserve"> z zakresu głębokiej i kompleksowej modernizacji energetycznej </w:t>
      </w:r>
      <w:r w:rsidR="00A74A19">
        <w:rPr>
          <w:rFonts w:ascii="Arial" w:hAnsi="Arial" w:cs="Arial"/>
          <w:sz w:val="24"/>
          <w:szCs w:val="24"/>
          <w:lang w:val="pl-PL"/>
        </w:rPr>
        <w:t>zabytkowych</w:t>
      </w:r>
      <w:r w:rsidR="007E178B" w:rsidRPr="007E178B">
        <w:rPr>
          <w:rFonts w:ascii="Arial" w:hAnsi="Arial" w:cs="Arial"/>
          <w:sz w:val="24"/>
          <w:szCs w:val="24"/>
        </w:rPr>
        <w:t xml:space="preserve"> </w:t>
      </w:r>
      <w:r w:rsidR="007E178B" w:rsidRPr="002B1E8A">
        <w:rPr>
          <w:rFonts w:ascii="Arial" w:hAnsi="Arial" w:cs="Arial"/>
          <w:sz w:val="24"/>
          <w:szCs w:val="24"/>
        </w:rPr>
        <w:t>budynków</w:t>
      </w:r>
      <w:r w:rsidR="007E178B">
        <w:rPr>
          <w:rFonts w:ascii="Arial" w:hAnsi="Arial" w:cs="Arial"/>
          <w:sz w:val="24"/>
          <w:szCs w:val="24"/>
          <w:lang w:val="pl-PL"/>
        </w:rPr>
        <w:t xml:space="preserve"> publicznych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4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4"/>
      <w:tr w:rsidR="00A74A19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59D14A14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48321A" w14:textId="77777777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BB6C5C4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DCDE47E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C38C04" w14:textId="02E380E3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niezbędne</w:t>
            </w:r>
            <w:r w:rsidR="000B1F8E">
              <w:rPr>
                <w:rFonts w:ascii="Arial" w:hAnsi="Arial" w:cs="Arial"/>
                <w:bCs/>
                <w:sz w:val="24"/>
                <w:szCs w:val="24"/>
              </w:rPr>
              <w:t xml:space="preserve"> załączniki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B1F8E" w:rsidRPr="00A0133D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</w:t>
            </w:r>
            <w:r w:rsidR="000B1F8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DF51E9" w14:textId="77777777" w:rsidR="00A74A19" w:rsidRPr="004D7AF8" w:rsidRDefault="00A74A19" w:rsidP="00A74A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08565D65" w:rsidR="00A74A19" w:rsidRPr="002B1E8A" w:rsidRDefault="00A74A19" w:rsidP="00A74A1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994E75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7CD358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4BAC7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3E15A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235DC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633B91E2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4A19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2FD871C3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1D910588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 i podmiotowe</w:t>
            </w:r>
          </w:p>
        </w:tc>
        <w:tc>
          <w:tcPr>
            <w:tcW w:w="7199" w:type="dxa"/>
          </w:tcPr>
          <w:p w14:paraId="5F8DF504" w14:textId="4744AB26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0B1F8E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3FD86A6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23733D" w14:textId="2243CA80" w:rsidR="00A74A19" w:rsidRPr="00D42D7B" w:rsidRDefault="00A74A19" w:rsidP="00D42D7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D7B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B0891F9" w14:textId="77777777" w:rsidR="00A74A19" w:rsidRPr="004D7AF8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(UE) 2021/1058 z dnia 24 czerwca 2021 r. w sprawie Europejskiego Funduszu Rozwoju Regionalnego i Funduszu Spójności (Dz. U. UE. L. z 2021 r. Nr 231, str. 60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52D4DABE" w14:textId="77777777" w:rsidR="00A74A19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03FBA83" w14:textId="03F46398" w:rsidR="00A74A19" w:rsidRPr="00067707" w:rsidRDefault="00A74A19" w:rsidP="00D42D7B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F6432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E33969" w14:textId="77777777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431E5ADE" w14:textId="501122E2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7E90DBCC" w14:textId="77777777" w:rsidR="00A74A19" w:rsidRPr="004D7AF8" w:rsidRDefault="00A74A19" w:rsidP="00EA408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257E27DB" w14:textId="77777777" w:rsidR="00563552" w:rsidRDefault="00563552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B94D5A5" w14:textId="6A504BF0" w:rsidR="00A74A19" w:rsidRPr="002B1E8A" w:rsidRDefault="00A74A19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2C232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4D1CF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CA6AA" w14:textId="77777777" w:rsidR="00A74A19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72A26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548F19D6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1402E1C" w14:textId="25462264" w:rsidR="00451922" w:rsidRPr="002B1E8A" w:rsidRDefault="00451922" w:rsidP="00451922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2DAC4A2D" w14:textId="620D32C9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>wdzamy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5A65F83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1AAB0327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267C5F49" w:rsidR="00451922" w:rsidRPr="00326CCC" w:rsidRDefault="00451922" w:rsidP="0045192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terytorialnego dyskryminujących aktów prawa miejscowego oraz w oparciu o 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Rzecznika Praw Obywatelskich (RPO) 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</w:t>
            </w:r>
            <w:r w:rsidR="00EA408B">
              <w:rPr>
                <w:rFonts w:ascii="Arial" w:hAnsi="Arial" w:cs="Arial"/>
                <w:kern w:val="2"/>
                <w:sz w:val="24"/>
                <w:szCs w:val="24"/>
              </w:rPr>
              <w:t>aktualne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8A148C0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E70BFF2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808AB8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568C96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5C24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66A7F5D7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451922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5B4DFA1E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598128CA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B06B528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48D440DE" w:rsidR="00451922" w:rsidRPr="002B1E8A" w:rsidRDefault="00451922" w:rsidP="00024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A873D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15D3D5F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08498B" w14:textId="77777777" w:rsidR="00451922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FA1FDA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A4DD89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A8BF7A2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14F79" w:rsidRPr="002B1E8A" w14:paraId="55EADF5C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1441493" w14:textId="031524AA" w:rsidR="00614F79" w:rsidRPr="005526E5" w:rsidRDefault="00614F79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1BD61702" w14:textId="1A2FE186" w:rsidR="00614F79" w:rsidRPr="004D7AF8" w:rsidRDefault="00614F79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7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796DF77" w14:textId="77777777" w:rsidR="00614F79" w:rsidRDefault="00614F79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08FFA2" w14:textId="77777777" w:rsidR="00614F79" w:rsidRDefault="00614F79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E53B1A" w14:textId="2FACBDBB" w:rsidR="00614F79" w:rsidRPr="00935252" w:rsidRDefault="00614F79" w:rsidP="00614F79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7E4EEB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7E4EEB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6A1957B8" w14:textId="77777777" w:rsidR="00614F79" w:rsidRPr="005A20D9" w:rsidRDefault="00614F79" w:rsidP="00614F79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94710AC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6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 w:rsidRPr="00614F79">
              <w:rPr>
                <w:rFonts w:ascii="Arial" w:hAnsi="Arial" w:cs="Arial"/>
                <w:sz w:val="24"/>
                <w:szCs w:val="24"/>
              </w:rPr>
              <w:t>wskazanym w umowie o dofinansowanie projektu</w:t>
            </w:r>
            <w:r w:rsidRPr="00614F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14F79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614F79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614F79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665786BA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86B28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268560" w14:textId="77777777" w:rsidR="00614F79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3D65C3" w14:textId="48C7BABD" w:rsidR="00614F79" w:rsidRPr="004D7AF8" w:rsidRDefault="00614F79" w:rsidP="00614F7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  <w:bookmarkEnd w:id="6"/>
          </w:p>
        </w:tc>
        <w:tc>
          <w:tcPr>
            <w:tcW w:w="3260" w:type="dxa"/>
          </w:tcPr>
          <w:p w14:paraId="2F36C5AF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4AAA2E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6F9E39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15BFAE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676149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90BF6A6" w14:textId="77777777" w:rsidR="00614F79" w:rsidRPr="005526E5" w:rsidRDefault="00614F79" w:rsidP="00614F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175F953" w14:textId="77777777" w:rsidR="00614F79" w:rsidRPr="004D7AF8" w:rsidRDefault="00614F79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47B8" w:rsidRPr="002B1E8A" w14:paraId="225D7E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3FB39A01" w14:textId="41D70CA0" w:rsidR="00C647B8" w:rsidRPr="005526E5" w:rsidRDefault="00C647B8" w:rsidP="00C647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614F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827F50C" w14:textId="13560A72" w:rsidR="00C647B8" w:rsidRPr="004D7AF8" w:rsidRDefault="00C647B8" w:rsidP="00C647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66DB69EA" w14:textId="7A37511A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6A7221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C63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7B202F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8E6D50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3045F6A" w14:textId="77777777" w:rsidR="00C647B8" w:rsidRPr="006C63A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0C1A5" w14:textId="39CD5F0B" w:rsidR="00C647B8" w:rsidRPr="004D7AF8" w:rsidRDefault="00C647B8" w:rsidP="00C647B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6C3F44D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C63A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7FF680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20861C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C5B285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5E63B1" w14:textId="77777777" w:rsidR="00C647B8" w:rsidRPr="006C63A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3241D38C" w14:textId="3723732A" w:rsidR="00C647B8" w:rsidRPr="004D7AF8" w:rsidRDefault="00C647B8" w:rsidP="00C647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63A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0"/>
      </w:tblGrid>
      <w:tr w:rsidR="003C40D0" w:rsidRPr="002B1E8A" w14:paraId="5CFAE7FB" w14:textId="77777777" w:rsidTr="000E2251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C60B8" w:rsidRPr="002B1E8A" w14:paraId="243FA318" w14:textId="77777777" w:rsidTr="002C60B8">
        <w:trPr>
          <w:trHeight w:val="936"/>
        </w:trPr>
        <w:tc>
          <w:tcPr>
            <w:tcW w:w="1110" w:type="dxa"/>
            <w:vMerge w:val="restart"/>
            <w:vAlign w:val="center"/>
          </w:tcPr>
          <w:p w14:paraId="33BC7B23" w14:textId="4BF7DEC4" w:rsidR="002C60B8" w:rsidRPr="002B1E8A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Merge w:val="restart"/>
            <w:vAlign w:val="center"/>
          </w:tcPr>
          <w:p w14:paraId="71C813B9" w14:textId="02255447" w:rsidR="002C60B8" w:rsidRPr="002B1E8A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_Hlk173306157"/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  <w:bookmarkEnd w:id="7"/>
          </w:p>
        </w:tc>
        <w:tc>
          <w:tcPr>
            <w:tcW w:w="7199" w:type="dxa"/>
            <w:gridSpan w:val="2"/>
            <w:shd w:val="clear" w:color="auto" w:fill="auto"/>
          </w:tcPr>
          <w:p w14:paraId="0562CB0E" w14:textId="52B8D6A5" w:rsidR="002C60B8" w:rsidRPr="002B1E8A" w:rsidDel="007968FF" w:rsidRDefault="002C60B8" w:rsidP="002C6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</w:tc>
        <w:tc>
          <w:tcPr>
            <w:tcW w:w="3260" w:type="dxa"/>
            <w:vMerge w:val="restart"/>
          </w:tcPr>
          <w:p w14:paraId="3FF60A1D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EEC935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A9EB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C88A8A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77B343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176792C4" w:rsidR="002C60B8" w:rsidRPr="002B1E8A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C60B8" w:rsidRPr="002B1E8A" w14:paraId="68A1EF96" w14:textId="77777777" w:rsidTr="00C80110">
        <w:trPr>
          <w:trHeight w:val="539"/>
        </w:trPr>
        <w:tc>
          <w:tcPr>
            <w:tcW w:w="1110" w:type="dxa"/>
            <w:vMerge/>
            <w:vAlign w:val="center"/>
          </w:tcPr>
          <w:p w14:paraId="7D892CC8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287F7C9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75046D4C" w14:textId="556E181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  <w:shd w:val="clear" w:color="auto" w:fill="auto"/>
          </w:tcPr>
          <w:p w14:paraId="053988B4" w14:textId="4718D59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0" w:type="dxa"/>
            <w:vMerge/>
          </w:tcPr>
          <w:p w14:paraId="0B3E1B17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B41F5B0" w14:textId="77777777" w:rsidTr="0000587D">
        <w:trPr>
          <w:trHeight w:val="2060"/>
        </w:trPr>
        <w:tc>
          <w:tcPr>
            <w:tcW w:w="1110" w:type="dxa"/>
            <w:vMerge/>
            <w:vAlign w:val="center"/>
          </w:tcPr>
          <w:p w14:paraId="37C4B86C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0E3D40A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5169AB08" w14:textId="03BD5665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bookmarkStart w:id="8" w:name="_Hlk173306004"/>
            <w:r w:rsidRPr="00384712">
              <w:rPr>
                <w:rFonts w:ascii="Arial" w:hAnsi="Arial" w:cs="Arial"/>
                <w:sz w:val="24"/>
                <w:szCs w:val="24"/>
              </w:rPr>
              <w:t>samorząd województwa</w:t>
            </w:r>
            <w:r w:rsidR="006D38A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5026C3B" w14:textId="2E1FE752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</w:t>
            </w:r>
            <w:r>
              <w:rPr>
                <w:rFonts w:ascii="Arial" w:hAnsi="Arial" w:cs="Arial"/>
                <w:sz w:val="24"/>
                <w:szCs w:val="24"/>
              </w:rPr>
              <w:t xml:space="preserve"> udziałem samorządu </w:t>
            </w:r>
            <w:r w:rsidR="006D38A3">
              <w:rPr>
                <w:rFonts w:ascii="Arial" w:hAnsi="Arial" w:cs="Arial"/>
                <w:sz w:val="24"/>
                <w:szCs w:val="24"/>
              </w:rPr>
              <w:t>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1B590CB" w14:textId="77777777" w:rsidR="007D630B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7D630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F59F6B" w14:textId="77777777" w:rsidR="00CF1B69" w:rsidRDefault="00CF1B69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B69">
              <w:rPr>
                <w:rFonts w:ascii="Arial" w:hAnsi="Arial" w:cs="Arial"/>
                <w:sz w:val="24"/>
                <w:szCs w:val="24"/>
              </w:rPr>
              <w:t>nstytucje kultury</w:t>
            </w:r>
            <w:r>
              <w:rPr>
                <w:rFonts w:ascii="Arial" w:hAnsi="Arial" w:cs="Arial"/>
                <w:sz w:val="24"/>
                <w:szCs w:val="24"/>
              </w:rPr>
              <w:t xml:space="preserve"> podległe samorządowi województwa,</w:t>
            </w:r>
          </w:p>
          <w:p w14:paraId="7C27F97C" w14:textId="3205F5EE" w:rsidR="002C60B8" w:rsidRDefault="00CF1B69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CF1B69">
              <w:rPr>
                <w:rFonts w:ascii="Arial" w:hAnsi="Arial" w:cs="Arial"/>
                <w:sz w:val="24"/>
                <w:szCs w:val="24"/>
              </w:rPr>
              <w:t xml:space="preserve">ednostki organizacyjne działające w imieniu samorządu </w:t>
            </w:r>
            <w:r>
              <w:rPr>
                <w:rFonts w:ascii="Arial" w:hAnsi="Arial" w:cs="Arial"/>
                <w:sz w:val="24"/>
                <w:szCs w:val="24"/>
              </w:rPr>
              <w:t>województwa</w:t>
            </w:r>
            <w:bookmarkEnd w:id="8"/>
            <w:r w:rsidR="006D38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FE9BB" w14:textId="6DE39491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14:paraId="52BDD20E" w14:textId="2E48CE09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lastRenderedPageBreak/>
              <w:t>jednostki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D2A">
              <w:rPr>
                <w:rFonts w:ascii="Arial" w:hAnsi="Arial" w:cs="Arial"/>
                <w:sz w:val="24"/>
                <w:szCs w:val="24"/>
              </w:rPr>
              <w:t>(</w:t>
            </w:r>
            <w:r w:rsidR="00DB1A6A">
              <w:rPr>
                <w:rFonts w:ascii="Arial" w:hAnsi="Arial" w:cs="Arial"/>
                <w:sz w:val="24"/>
                <w:szCs w:val="24"/>
              </w:rPr>
              <w:t>inne niż samorząd województwa</w:t>
            </w:r>
            <w:r w:rsidR="00F84D2A">
              <w:rPr>
                <w:rFonts w:ascii="Arial" w:hAnsi="Arial" w:cs="Arial"/>
                <w:sz w:val="24"/>
                <w:szCs w:val="24"/>
              </w:rPr>
              <w:t>)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303CB3" w14:textId="5942BD4A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AF1E49" w14:textId="77777777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A076E">
              <w:rPr>
                <w:rFonts w:ascii="Arial" w:hAnsi="Arial" w:cs="Arial"/>
                <w:sz w:val="24"/>
                <w:szCs w:val="24"/>
              </w:rPr>
              <w:t>ościoły i związki wyznaniowe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29A3C6" w14:textId="77777777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A076E">
              <w:rPr>
                <w:rFonts w:ascii="Arial" w:hAnsi="Arial" w:cs="Arial"/>
                <w:sz w:val="24"/>
                <w:szCs w:val="24"/>
              </w:rPr>
              <w:t>rganizacje pozarządowe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7CA0D1" w14:textId="2CAAA75F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 </w:t>
            </w:r>
            <w:r>
              <w:rPr>
                <w:rFonts w:ascii="Arial" w:hAnsi="Arial" w:cs="Arial"/>
                <w:sz w:val="24"/>
                <w:szCs w:val="24"/>
              </w:rPr>
              <w:t xml:space="preserve">udziałem jednostek samorządu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ECB0064" w14:textId="77777777" w:rsidR="0081588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81588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BCD247" w14:textId="2388CA59" w:rsidR="0081588E" w:rsidRDefault="0081588E" w:rsidP="0081588E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B69">
              <w:rPr>
                <w:rFonts w:ascii="Arial" w:hAnsi="Arial" w:cs="Arial"/>
                <w:sz w:val="24"/>
                <w:szCs w:val="24"/>
              </w:rPr>
              <w:t>nstytucje kultury</w:t>
            </w:r>
            <w:r>
              <w:rPr>
                <w:rFonts w:ascii="Arial" w:hAnsi="Arial" w:cs="Arial"/>
                <w:sz w:val="24"/>
                <w:szCs w:val="24"/>
              </w:rPr>
              <w:t xml:space="preserve"> podległe jednostkom samorządu terytorialnego (inne niż samorząd województwa),</w:t>
            </w:r>
          </w:p>
          <w:p w14:paraId="0F4A3E15" w14:textId="50197AD7" w:rsidR="002C60B8" w:rsidRPr="002C60B8" w:rsidRDefault="0081588E" w:rsidP="0081588E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CF1B69">
              <w:rPr>
                <w:rFonts w:ascii="Arial" w:hAnsi="Arial" w:cs="Arial"/>
                <w:sz w:val="24"/>
                <w:szCs w:val="24"/>
              </w:rPr>
              <w:t xml:space="preserve">ednostki organizacyjne działające w imieniu </w:t>
            </w:r>
            <w:r>
              <w:rPr>
                <w:rFonts w:ascii="Arial" w:hAnsi="Arial" w:cs="Arial"/>
                <w:sz w:val="24"/>
                <w:szCs w:val="24"/>
              </w:rPr>
              <w:t>jednostek samorządu terytorialnego (inne niż samorząd województwa)</w:t>
            </w:r>
            <w:r w:rsidR="002C60B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</w:tcPr>
          <w:p w14:paraId="2E3C52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0BD086C" w14:textId="77777777" w:rsidTr="002C60B8">
        <w:trPr>
          <w:trHeight w:val="902"/>
        </w:trPr>
        <w:tc>
          <w:tcPr>
            <w:tcW w:w="1110" w:type="dxa"/>
            <w:vMerge/>
            <w:vAlign w:val="center"/>
          </w:tcPr>
          <w:p w14:paraId="0C7B5202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7205CDDF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  <w:shd w:val="clear" w:color="auto" w:fill="auto"/>
          </w:tcPr>
          <w:p w14:paraId="63B7D839" w14:textId="6D05ED6A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  <w:vMerge/>
          </w:tcPr>
          <w:p w14:paraId="1EEEF86C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B7B" w:rsidRPr="002B1E8A" w14:paraId="3EF922BE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A6AD98" w14:textId="6527D521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44283CB6" w14:textId="77777777" w:rsidR="009B6B7B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E5E556C" w14:textId="56ADF745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9"/>
          </w:p>
        </w:tc>
        <w:tc>
          <w:tcPr>
            <w:tcW w:w="7199" w:type="dxa"/>
            <w:gridSpan w:val="2"/>
            <w:shd w:val="clear" w:color="auto" w:fill="auto"/>
          </w:tcPr>
          <w:p w14:paraId="6AF3F425" w14:textId="77777777" w:rsidR="009B6B7B" w:rsidRPr="008C3417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BEA26BB" w14:textId="77777777" w:rsidR="009B6B7B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FC25D" w14:textId="50DC8E01" w:rsidR="009B6B7B" w:rsidRPr="005526E5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10"/>
          </w:p>
        </w:tc>
        <w:tc>
          <w:tcPr>
            <w:tcW w:w="3260" w:type="dxa"/>
          </w:tcPr>
          <w:p w14:paraId="38408D70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7EC9B2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0C7A7E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422E5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7B6CFB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5D0311E" w14:textId="5347A767" w:rsidR="009B6B7B" w:rsidRPr="004D7AF8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51C8996C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718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gridSpan w:val="2"/>
          </w:tcPr>
          <w:p w14:paraId="52CC8CE0" w14:textId="7DC04228" w:rsidR="00607AEF" w:rsidRDefault="00607AEF" w:rsidP="003366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zabytkowych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FBC">
              <w:rPr>
                <w:rFonts w:ascii="Arial" w:hAnsi="Arial" w:cs="Arial"/>
                <w:sz w:val="24"/>
                <w:szCs w:val="24"/>
              </w:rPr>
              <w:t>budynków publiczn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B5FB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B5FBC">
              <w:rPr>
                <w:rFonts w:ascii="Arial" w:hAnsi="Arial" w:cs="Arial"/>
                <w:sz w:val="24"/>
                <w:szCs w:val="24"/>
              </w:rPr>
              <w:t>. Przedsięwzięcia</w:t>
            </w:r>
            <w:r w:rsidRPr="00B02089">
              <w:rPr>
                <w:rFonts w:ascii="Arial" w:hAnsi="Arial" w:cs="Arial"/>
                <w:sz w:val="24"/>
                <w:szCs w:val="24"/>
              </w:rPr>
              <w:t xml:space="preserve"> mogą dotyczyć m.in.:</w:t>
            </w:r>
          </w:p>
          <w:p w14:paraId="64A0C602" w14:textId="2753BED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ocieplenia obiektu, wymiany pokrycia dachu, okien, drzwi zewnętrznych oraz oświetlenia na energooszczędne wraz z instalacją,</w:t>
            </w:r>
          </w:p>
          <w:p w14:paraId="06D92B46" w14:textId="2EEDB51A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przebudowy systemów grzewczych (wraz z wymianą i przyłączeniem źródła ciepła), systemów wentylacji i klimatyzacji oraz zastosowanie systemów zarządzania budynkiem,</w:t>
            </w:r>
          </w:p>
          <w:p w14:paraId="545DC929" w14:textId="5BD70B72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realizacji </w:t>
            </w:r>
            <w:proofErr w:type="spellStart"/>
            <w:r w:rsidRPr="00B0208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B0208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B0208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B0208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budowy i przebudowy instalacji OZE w modernizowanych energetycznie budynkach na potrzeby własne,</w:t>
            </w:r>
          </w:p>
          <w:p w14:paraId="016A5CDB" w14:textId="10225D3B" w:rsidR="00607AEF" w:rsidRPr="00607AEF" w:rsidRDefault="009B6B7B" w:rsidP="009B6B7B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instalacji systemów chłodzących, w tym również z OZE.</w:t>
            </w:r>
          </w:p>
          <w:p w14:paraId="003FD4EA" w14:textId="77777777" w:rsidR="00607AEF" w:rsidRDefault="00607AEF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7C0B6FDC" w:rsidR="009B6B7B" w:rsidRPr="00B02089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wymiany źródeł ciepła nie będą wprowadzane piece węglowe.</w:t>
            </w:r>
          </w:p>
          <w:p w14:paraId="04EB0192" w14:textId="77777777" w:rsidR="009B6B7B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8A12B" w14:textId="4AAD08F9" w:rsidR="009B6B7B" w:rsidRPr="002B1E8A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2189159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8CDD78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1932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A558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32EE17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341B2965" w:rsidR="009B6B7B" w:rsidRPr="002B1E8A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70DA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60ACD4EE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236A9DCD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  <w:gridSpan w:val="2"/>
          </w:tcPr>
          <w:p w14:paraId="1603E298" w14:textId="77777777" w:rsidR="00170DA1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2041C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041CE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18ABD9" w14:textId="7777777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03857A61" w:rsidR="00170DA1" w:rsidRPr="002B1E8A" w:rsidRDefault="00170DA1" w:rsidP="00170D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59D470A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BB17E2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01D5B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C3073F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9D7E6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2CC1A3F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4ABEF5A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  <w:gridSpan w:val="2"/>
          </w:tcPr>
          <w:p w14:paraId="2A1E0111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0008CBE" w14:textId="77777777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02402BB" w14:textId="1E74907D" w:rsidR="00B02089" w:rsidRPr="00BA0C9D" w:rsidRDefault="00BA0C9D" w:rsidP="00BA0C9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nr 2023/2831 lub rozporządzeniem ministra właściwego do spraw rozwoju </w:t>
            </w:r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regionalnego, określającym szczegółowe przeznaczenie, warunki i tryb udzielania pomocy de </w:t>
            </w:r>
            <w:proofErr w:type="spellStart"/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0899221" w14:textId="1BCC8ADF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11 października 2022 r. w sprawie udzielania regionalnej pomocy inwestycyjnej w ramach programów regionalnych na lata 2021–2027 (Dz. U. z </w:t>
            </w:r>
            <w:r w:rsidR="00EA408B">
              <w:rPr>
                <w:rFonts w:ascii="Arial" w:hAnsi="Arial" w:cs="Arial"/>
                <w:sz w:val="24"/>
                <w:szCs w:val="24"/>
              </w:rPr>
              <w:t>2023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A408B">
              <w:rPr>
                <w:rFonts w:ascii="Arial" w:hAnsi="Arial" w:cs="Arial"/>
                <w:sz w:val="24"/>
                <w:szCs w:val="24"/>
              </w:rPr>
              <w:t>2743</w:t>
            </w:r>
            <w:r w:rsidR="00CC1E10"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8B7ED94" w14:textId="7E3DB310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wspierające efektywność energetyczną w ramach regionalnych programów na lata 2021–2027 (Dz. U. z 2022 r. poz. 2607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A408B">
              <w:rPr>
                <w:rFonts w:ascii="Arial" w:hAnsi="Arial" w:cs="Arial"/>
                <w:sz w:val="24"/>
                <w:szCs w:val="24"/>
              </w:rPr>
              <w:t>póżn</w:t>
            </w:r>
            <w:proofErr w:type="spellEnd"/>
            <w:r w:rsidR="00EA408B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3222EB0" w14:textId="30F74EBB" w:rsidR="00B02089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40, 41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A408B">
              <w:rPr>
                <w:rFonts w:ascii="Arial" w:hAnsi="Arial" w:cs="Arial"/>
                <w:sz w:val="24"/>
                <w:szCs w:val="24"/>
              </w:rPr>
              <w:t>póżn</w:t>
            </w:r>
            <w:proofErr w:type="spellEnd"/>
            <w:r w:rsidR="00EA408B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BA0C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DA4ED1" w14:textId="77777777" w:rsidR="00BA0C9D" w:rsidRDefault="00BA0C9D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EB381" w14:textId="24FFA143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11D637" w14:textId="4DF18DD2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37B33C2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CEE5566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76089259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9B6B7B" w:rsidRPr="002B1E8A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1023B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37DC29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05C3D8" w14:textId="77777777" w:rsidR="00D97F55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6372317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49F93A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2F5B77DD" w:rsidR="009B6B7B" w:rsidRPr="002B1E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B6B7B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66E7400D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  <w:gridSpan w:val="2"/>
          </w:tcPr>
          <w:p w14:paraId="3424495E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E6E85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9B6B7B" w:rsidRPr="00552E99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DNSH:</w:t>
            </w:r>
          </w:p>
          <w:p w14:paraId="09000CC3" w14:textId="422348B4" w:rsidR="009B6B7B" w:rsidRPr="00552E99" w:rsidRDefault="009B6B7B" w:rsidP="009B6B7B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0315DD71" w:rsidR="009B6B7B" w:rsidRPr="00552E99" w:rsidRDefault="009B6B7B" w:rsidP="009B6B7B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EA408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552E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9B6B7B" w:rsidRPr="002B1E8A" w:rsidRDefault="009B6B7B" w:rsidP="009B6B7B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18B16CEA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4A78BB5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A74113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7830B8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F1F33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D3051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4F5A4B47" w:rsidR="009B6B7B" w:rsidRPr="002B1E8A" w:rsidRDefault="00D97F55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43AFF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25334442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7B814839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  <w:gridSpan w:val="2"/>
          </w:tcPr>
          <w:p w14:paraId="48FA1171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C7BECF9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93EECE3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54152345" w:rsidR="00343AFF" w:rsidRPr="002B1E8A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EA408B">
              <w:rPr>
                <w:rFonts w:ascii="Arial" w:hAnsi="Arial" w:cs="Arial"/>
                <w:sz w:val="24"/>
                <w:szCs w:val="24"/>
              </w:rPr>
              <w:t>n</w:t>
            </w:r>
            <w:r w:rsidRPr="00452FB1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5B386CB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EB0A2DF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65036C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415234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FB540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D47BA6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29984BC6" w:rsidR="00343AFF" w:rsidRPr="002B1E8A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2B351D4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8C02F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  <w:gridSpan w:val="2"/>
          </w:tcPr>
          <w:p w14:paraId="732EF92A" w14:textId="77777777" w:rsidR="009B6B7B" w:rsidRPr="005526E5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45DAAB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2023 r. poz. 1094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EE2D372" w14:textId="79463874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</w:t>
            </w:r>
            <w:r w:rsidR="00DB43E5">
              <w:rPr>
                <w:rFonts w:ascii="Arial" w:hAnsi="Arial" w:cs="Arial"/>
                <w:sz w:val="24"/>
                <w:szCs w:val="24"/>
              </w:rPr>
              <w:t>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DB43E5">
              <w:rPr>
                <w:rFonts w:ascii="Arial" w:hAnsi="Arial" w:cs="Arial"/>
                <w:sz w:val="24"/>
                <w:szCs w:val="24"/>
              </w:rPr>
              <w:t xml:space="preserve"> 54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ED6AA08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) i Dyrektywą Rady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92/43/EWG z dnia 21 maja 1992 r. w sprawie ochrony siedlisk przyrodniczych oraz dzikiej fauny i flory;</w:t>
            </w:r>
          </w:p>
          <w:p w14:paraId="3C45EB25" w14:textId="76A6D604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</w:t>
            </w:r>
            <w:r w:rsidR="00EA408B">
              <w:rPr>
                <w:rFonts w:ascii="Arial" w:hAnsi="Arial" w:cs="Arial"/>
                <w:sz w:val="24"/>
                <w:szCs w:val="24"/>
              </w:rPr>
              <w:t>ustanawiająca</w:t>
            </w:r>
            <w:r w:rsidR="00EA408B"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2FB1">
              <w:rPr>
                <w:rFonts w:ascii="Arial" w:hAnsi="Arial" w:cs="Arial"/>
                <w:sz w:val="24"/>
                <w:szCs w:val="24"/>
              </w:rPr>
              <w:t>ramy wspólnotowego działania w dziedzinie polityki wodnej;</w:t>
            </w:r>
          </w:p>
          <w:p w14:paraId="615AB631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23A61859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5DBDC7" w14:textId="335A35E8" w:rsidR="009B6B7B" w:rsidRPr="008465B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465BA">
              <w:rPr>
                <w:rFonts w:ascii="Arial" w:hAnsi="Arial" w:cs="Arial"/>
                <w:sz w:val="24"/>
                <w:szCs w:val="24"/>
              </w:rPr>
              <w:t>W odniesieniu do projektów uwzględniających ocieplanie ścian i inne uszczelnianie budynków, niezbędne będzie postępowanie zgodnie z wymogami dotyczącymi ochrony gatunkowej zwierząt zgodnie z §10 pkt 4 lit. h rozporządzenia Ministra Środowiska z dnia 16 grudnia 2016 r. w sprawie ochrony gatunkowej zwierząt (Dz. U. z 2022 r. poz. 2380) oraz art. 52 ustawy z dnia 16 kwietnia 2004 r. o ochronie przyrody (Dz. U. z 2023 r. poz. 1336), tj. między innymi dostosowaniu sposobów i terminów wykonywania prac budowlanych, remontowych i innych, tak aby zminimalizować ich wpływ na zwierzęta i ich siedliska.</w:t>
            </w:r>
          </w:p>
          <w:p w14:paraId="1ACC6C46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C43FE3" w14:textId="77777777" w:rsidR="008C02FD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zgodny z decyzją o środowiskowych uwarunkowaniach oraz zezwoleniem na realizację inwestycji.</w:t>
            </w:r>
          </w:p>
          <w:p w14:paraId="6F0FE3EA" w14:textId="77777777" w:rsidR="00507FAF" w:rsidRPr="00452FB1" w:rsidRDefault="00507FAF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48D39399" w:rsidR="009B6B7B" w:rsidRPr="002B1E8A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3A7AF6CE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5B12B5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E9636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96278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763A3C" w14:textId="5C27485D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2103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FD3848" w14:textId="6FD4FCC1" w:rsidR="009B6B7B" w:rsidRPr="002B1E8A" w:rsidRDefault="008C02FD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83867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A92B58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55DCA6FD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  <w:gridSpan w:val="2"/>
          </w:tcPr>
          <w:p w14:paraId="0CFF295B" w14:textId="77777777" w:rsidR="00883867" w:rsidRPr="00452FB1" w:rsidRDefault="00883867" w:rsidP="0088386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E23BAF" w14:textId="6838BB9F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EB52D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9188830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D2D443A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C9F0DAF" w14:textId="77777777" w:rsidR="00883867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DCB749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A7034A6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71C4D4CA" w:rsidR="00883867" w:rsidRPr="002B1E8A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BE8992E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5495785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AF730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D2BC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E5A03F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1141961D" w:rsidR="00883867" w:rsidRPr="002B1E8A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641C444F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50EF87F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EB5FBB" w:rsidRPr="002B1E8A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5A601B18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FC446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FD917B4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66F50FE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783232D" w14:textId="77777777" w:rsidR="00EB5FBB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CE93569" w14:textId="77777777" w:rsidR="00EB5FBB" w:rsidRPr="005A137E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B2E299" w14:textId="77777777" w:rsidR="00EB5FBB" w:rsidRPr="005A137E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44E871BC" w14:textId="77777777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A34187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15B1E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FCC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CF1152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D84504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6FE45914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B5FBB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253D8323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8BA7F4D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45B25B47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  <w:gridSpan w:val="2"/>
          </w:tcPr>
          <w:p w14:paraId="3BE9A3B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D3A57DC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2494520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FEDAAE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C318D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69BF826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288B84C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0B7177E6" w:rsidR="00EB5FBB" w:rsidRPr="002B1E8A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EE4249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D71AF6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1F34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BFD3E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2FF85D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57E64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51FCF23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7EEC89F1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125F09A" w14:textId="7C26024E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  <w:gridSpan w:val="2"/>
          </w:tcPr>
          <w:p w14:paraId="593369CA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246E432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513D23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2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2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473682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A6FB5DF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AA1291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3B15115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807FA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00ADE83D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3B48BA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61CBDE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D6DFF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5C21C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87985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8706D0" w14:textId="77D033E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4554B188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F98AD3B" w14:textId="77777777" w:rsidR="00EB5FBB" w:rsidRPr="005507E8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5F3A7C1C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  <w:gridSpan w:val="2"/>
          </w:tcPr>
          <w:p w14:paraId="711E9E7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EB368A5" w14:textId="77777777" w:rsidR="00EB5FBB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3C25B2F" w:rsidR="00EB5FBB" w:rsidRPr="002B1E8A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735F5C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C22C4E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E7FA07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6FB5E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A27D8B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B70581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0983EB6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B5FBB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269BC16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7BE65F" w14:textId="6AC32045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  <w:gridSpan w:val="2"/>
          </w:tcPr>
          <w:p w14:paraId="2661FC84" w14:textId="39CA82F5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EA408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5507E8">
              <w:rPr>
                <w:rFonts w:ascii="Arial" w:hAnsi="Arial" w:cs="Arial"/>
                <w:sz w:val="24"/>
                <w:szCs w:val="24"/>
              </w:rPr>
              <w:t>Kartą Praw Podstawowych Unii Europejskiej z dnia 26 października 2012 r. (Dz. Urz. UE C 326/391 z 26.10.2012) w zakresie odnoszącym się do sposobu realizacji, zakresu projektu i wnioskodawcy.</w:t>
            </w:r>
          </w:p>
          <w:p w14:paraId="18210D0D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6FE6EE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29F29E0B" w:rsidR="00EB5FBB" w:rsidRPr="002B1E8A" w:rsidRDefault="00EB5FBB" w:rsidP="00EB5FB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327BA2E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E37D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506D92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887BAA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D0BE4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BDE93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C37A9B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6088A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4A97B35A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7B1A407" w14:textId="2D57E0F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  <w:gridSpan w:val="2"/>
          </w:tcPr>
          <w:p w14:paraId="00F652FA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4D9FA12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5B2F53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7A335D9F" w:rsidR="0096088A" w:rsidRPr="002B1E8A" w:rsidRDefault="0096088A" w:rsidP="0096088A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C519C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7B423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A8C8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4FC4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E3E94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5537C12" w14:textId="77777777" w:rsidR="0096088A" w:rsidRPr="00926F8E" w:rsidRDefault="0096088A" w:rsidP="0096088A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1F05F5F1" w14:textId="75426028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96088A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66925741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CC3B238" w14:textId="63CD8BC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  <w:gridSpan w:val="2"/>
          </w:tcPr>
          <w:p w14:paraId="29B81A52" w14:textId="77777777" w:rsidR="0096088A" w:rsidRPr="005526E5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6D696FB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416AD0D5" w:rsidR="0096088A" w:rsidRPr="002B1E8A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549366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A762C8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56B5F" w14:textId="77777777" w:rsidR="0096088A" w:rsidRPr="00DC4E41" w:rsidRDefault="0096088A" w:rsidP="009608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074F7BF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514B3A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BFDF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776F92C3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04F715" w14:textId="77777777" w:rsidR="001D1648" w:rsidRPr="002B1E8A" w:rsidRDefault="001D1648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1"/>
      </w:tblGrid>
      <w:tr w:rsidR="00C742ED" w:rsidRPr="002B1E8A" w14:paraId="15931B07" w14:textId="77777777" w:rsidTr="0092600B"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1A81314D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039EE02" w14:textId="77777777" w:rsidR="002844F4" w:rsidRPr="0092600B" w:rsidRDefault="002844F4" w:rsidP="0092600B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575A6" w:rsidRPr="002B1E8A" w14:paraId="590455D0" w14:textId="77777777" w:rsidTr="00954093">
        <w:tc>
          <w:tcPr>
            <w:tcW w:w="1110" w:type="dxa"/>
            <w:vAlign w:val="center"/>
          </w:tcPr>
          <w:p w14:paraId="60EF8942" w14:textId="196F6163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AD32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  <w:gridSpan w:val="2"/>
          </w:tcPr>
          <w:p w14:paraId="444AC19D" w14:textId="06FC73A0" w:rsidR="003575A6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 xml:space="preserve">W kryterium sprawdzamy, czy projekt z zakresu modernizacji energetycznej budynków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zabytkowych</w:t>
            </w:r>
            <w:r w:rsidR="00BA0C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3A1D">
              <w:rPr>
                <w:rFonts w:ascii="Arial" w:hAnsi="Arial" w:cs="Arial"/>
                <w:sz w:val="24"/>
                <w:szCs w:val="24"/>
              </w:rPr>
              <w:t xml:space="preserve">zapewnia zwiększenie efektywności energetycznej o minimum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25</w:t>
            </w:r>
            <w:r w:rsidRPr="00423A1D">
              <w:rPr>
                <w:rFonts w:ascii="Arial" w:hAnsi="Arial" w:cs="Arial"/>
                <w:sz w:val="24"/>
                <w:szCs w:val="24"/>
              </w:rPr>
              <w:t>%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423A1D">
              <w:rPr>
                <w:rFonts w:ascii="Arial" w:hAnsi="Arial" w:cs="Arial"/>
                <w:sz w:val="24"/>
                <w:szCs w:val="24"/>
              </w:rPr>
              <w:t xml:space="preserve"> w odniesieniu do energii pierwotnej.</w:t>
            </w:r>
          </w:p>
          <w:p w14:paraId="2DA856F8" w14:textId="77777777" w:rsidR="00284FC1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59E36EB" w14:textId="6CE66A3E" w:rsidR="00AD32DE" w:rsidRPr="00194A16" w:rsidRDefault="00AD32DE" w:rsidP="00AD32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1ADC457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5217E6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ED50D6" w14:textId="50563CF0" w:rsidR="00E96E16" w:rsidRDefault="00AD32DE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7E28B3C" w14:textId="4013ED31" w:rsidR="003575A6" w:rsidRPr="002B1E8A" w:rsidRDefault="00AD32DE" w:rsidP="007136B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192682CD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gridSpan w:val="2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5981C4FF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57636D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7636D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61926E35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176CB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9B96CF" w14:textId="20BC5BB8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0145320" w14:textId="71B8EC7F" w:rsidR="0057057A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Przyznanie wartości „NIE” oznacza, iż kryterium nie jest spełnione.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1690B2A4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  <w:gridSpan w:val="2"/>
          </w:tcPr>
          <w:p w14:paraId="2AF02D39" w14:textId="77777777" w:rsidR="001910DC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szersze cele Europejskiego Zielonego Ładu jak np.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6E1F66" w14:textId="04361C81" w:rsidR="00AF2F34" w:rsidRDefault="00AF2F34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A7315DC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C1A50D2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265D8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9B4F19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A4165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63E82" w14:textId="77777777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5B078F" w14:textId="6F0E8E1B" w:rsidR="006C3F31" w:rsidRPr="002B1E8A" w:rsidRDefault="005E04C4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5D4B482A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gridSpan w:val="2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7FC0D" w14:textId="77777777" w:rsidR="00F613DF" w:rsidRDefault="00F613DF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C5476" w14:textId="7EB58A4F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61299A">
              <w:rPr>
                <w:rFonts w:ascii="Arial" w:hAnsi="Arial" w:cs="Arial"/>
                <w:sz w:val="24"/>
                <w:szCs w:val="24"/>
              </w:rPr>
              <w:t>,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9D46FA6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45CC1250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BAA13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76D31" w14:textId="77777777" w:rsidR="005E04C4" w:rsidRPr="00194A16" w:rsidRDefault="005E04C4" w:rsidP="005E04C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54BA62" w14:textId="5E55ACE3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1ED80CA" w14:textId="7098697F" w:rsidR="00A84143" w:rsidRPr="00394248" w:rsidRDefault="005E04C4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3AD8" w:rsidRPr="002B1E8A" w14:paraId="173216D5" w14:textId="77777777" w:rsidTr="399D1660">
        <w:tc>
          <w:tcPr>
            <w:tcW w:w="1110" w:type="dxa"/>
            <w:vAlign w:val="center"/>
          </w:tcPr>
          <w:p w14:paraId="30B5A44C" w14:textId="57672B7E" w:rsidR="00DE3AD8" w:rsidRPr="002B1E8A" w:rsidRDefault="004061E7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4AA471" w14:textId="626F51AA" w:rsidR="00DE3AD8" w:rsidRPr="002B1E8A" w:rsidRDefault="000433B9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14"/>
          </w:p>
        </w:tc>
        <w:tc>
          <w:tcPr>
            <w:tcW w:w="7199" w:type="dxa"/>
            <w:gridSpan w:val="2"/>
          </w:tcPr>
          <w:p w14:paraId="663C2BFD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2D7071D0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23349" w14:textId="15B87243" w:rsidR="00696ED9" w:rsidRPr="00954093" w:rsidRDefault="00021FEC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4093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7588EBFB" w14:textId="77777777" w:rsidR="00696ED9" w:rsidRDefault="00696ED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2BAD6D4B" w:rsidR="00DE3AD8" w:rsidRPr="002B1E8A" w:rsidRDefault="000433B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88FB1A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B9E7C01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8A99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07F86C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1B230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D21AB5" w14:textId="17D657E9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06C65B7" w14:textId="02C416F1" w:rsidR="00DE3AD8" w:rsidRPr="002B1E8A" w:rsidRDefault="005E04C4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0A52948A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  <w:gridSpan w:val="2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634A16B0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E23671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131D5E1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8AEA723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6032A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5D0E45" w14:textId="0DF9E77A" w:rsidR="002E76D7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818FCE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CD2C6F" w14:textId="14F73826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85F3B9" w14:textId="0D49EDFF" w:rsidR="006F6406" w:rsidRPr="002B1E8A" w:rsidRDefault="005E04C4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B2711" w:rsidRPr="002B1E8A" w14:paraId="1108E5BF" w14:textId="77777777" w:rsidTr="399D1660">
        <w:tc>
          <w:tcPr>
            <w:tcW w:w="1110" w:type="dxa"/>
            <w:vAlign w:val="center"/>
          </w:tcPr>
          <w:p w14:paraId="47A5EC1C" w14:textId="69A4D941" w:rsidR="005B2711" w:rsidRDefault="005B2711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35FBA00" w14:textId="37469B42" w:rsidR="005B2711" w:rsidRPr="00790F2F" w:rsidRDefault="00327557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  <w:gridSpan w:val="2"/>
          </w:tcPr>
          <w:p w14:paraId="2BAC71B1" w14:textId="7164DA30" w:rsidR="00327557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 w:rsidR="00327557"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0EADEE7C" w14:textId="61FF16F9" w:rsidR="00327557" w:rsidRPr="00227332" w:rsidRDefault="00327557" w:rsidP="00227332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możliwości wykorzystania ciepła systemowego - spełnione zostały warunki określone w kryterium C.</w:t>
            </w:r>
            <w:r w:rsidR="00423A1D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03107655" w14:textId="1CF90A3B" w:rsidR="005B2711" w:rsidRPr="00D917D8" w:rsidRDefault="005B2711" w:rsidP="00227332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 w:rsidR="00227332">
              <w:rPr>
                <w:rFonts w:ascii="Arial" w:hAnsi="Arial" w:cs="Arial"/>
                <w:sz w:val="24"/>
                <w:szCs w:val="24"/>
              </w:rPr>
              <w:t>wymiany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95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40FB0"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85C85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2124A" w14:textId="77777777" w:rsidR="005B2711" w:rsidRPr="00227332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172485AA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6F64F2" w14:textId="6F2889FF" w:rsidR="005B2711" w:rsidRPr="00790F2F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00B6FD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1CDAA00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9FB21C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FF8C41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B0EF0A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B473AE" w14:textId="6B31CD9D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E8074AD" w14:textId="1FAEC641" w:rsidR="005B2711" w:rsidRPr="00790F2F" w:rsidRDefault="005E04C4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D106D" w:rsidRPr="002B1E8A" w14:paraId="6FB9FC92" w14:textId="77777777" w:rsidTr="00D601D8">
        <w:trPr>
          <w:trHeight w:val="689"/>
        </w:trPr>
        <w:tc>
          <w:tcPr>
            <w:tcW w:w="1110" w:type="dxa"/>
            <w:vMerge w:val="restart"/>
            <w:vAlign w:val="center"/>
          </w:tcPr>
          <w:p w14:paraId="5350B761" w14:textId="03E2D04D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Merge w:val="restart"/>
            <w:vAlign w:val="center"/>
          </w:tcPr>
          <w:p w14:paraId="5A97EDD0" w14:textId="62B1E995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199" w:type="dxa"/>
            <w:gridSpan w:val="2"/>
          </w:tcPr>
          <w:p w14:paraId="118B1BC8" w14:textId="7669EF17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4614E">
              <w:rPr>
                <w:rFonts w:ascii="Arial" w:hAnsi="Arial" w:cs="Arial"/>
                <w:sz w:val="24"/>
                <w:szCs w:val="24"/>
              </w:rPr>
              <w:t>:</w:t>
            </w:r>
            <w:r w:rsidRPr="005B27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14:paraId="14EC37A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51FA33C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A80881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61D05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80BDD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543C0E" w14:textId="70A9E8A2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B58B9E" w14:textId="6A90CCDC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D106D" w:rsidRPr="002B1E8A" w14:paraId="12AC5242" w14:textId="77777777" w:rsidTr="00F37C5F">
        <w:trPr>
          <w:trHeight w:val="664"/>
        </w:trPr>
        <w:tc>
          <w:tcPr>
            <w:tcW w:w="1110" w:type="dxa"/>
            <w:vMerge/>
            <w:vAlign w:val="center"/>
          </w:tcPr>
          <w:p w14:paraId="48B6DE86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2A8385C2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6E85BE5D" w14:textId="6EC7ED8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</w:tcPr>
          <w:p w14:paraId="12AF3D78" w14:textId="717EA30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1" w:type="dxa"/>
            <w:vMerge/>
          </w:tcPr>
          <w:p w14:paraId="67D5DDD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0712DE3E" w14:textId="77777777" w:rsidTr="00806388">
        <w:trPr>
          <w:trHeight w:val="1110"/>
        </w:trPr>
        <w:tc>
          <w:tcPr>
            <w:tcW w:w="1110" w:type="dxa"/>
            <w:vMerge/>
            <w:vAlign w:val="center"/>
          </w:tcPr>
          <w:p w14:paraId="44883751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38BEF5CB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7E03322B" w14:textId="086F358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600" w:type="dxa"/>
          </w:tcPr>
          <w:p w14:paraId="10E83EA5" w14:textId="04700E7A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5" w:name="_Hlk161216161"/>
            <w:r w:rsidRPr="005B2711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wnioskowana wartość dofinansowania nie przekracza 2 mln zł.</w:t>
            </w:r>
            <w:bookmarkEnd w:id="15"/>
          </w:p>
        </w:tc>
        <w:tc>
          <w:tcPr>
            <w:tcW w:w="3261" w:type="dxa"/>
            <w:vMerge/>
          </w:tcPr>
          <w:p w14:paraId="38B807E0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2523A64F" w14:textId="77777777" w:rsidTr="399D1660">
        <w:trPr>
          <w:trHeight w:val="1102"/>
        </w:trPr>
        <w:tc>
          <w:tcPr>
            <w:tcW w:w="1110" w:type="dxa"/>
            <w:vMerge/>
            <w:vAlign w:val="center"/>
          </w:tcPr>
          <w:p w14:paraId="5E2BC82A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50AACD8C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439C48FA" w14:textId="6CBDCEC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Merge/>
          </w:tcPr>
          <w:p w14:paraId="5DA885D8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81DC21" w14:textId="77777777" w:rsidR="002E76D7" w:rsidRDefault="002E76D7" w:rsidP="009F4A95">
      <w:pPr>
        <w:rPr>
          <w:rFonts w:ascii="Arial" w:hAnsi="Arial" w:cs="Arial"/>
          <w:sz w:val="24"/>
          <w:szCs w:val="24"/>
        </w:rPr>
      </w:pPr>
    </w:p>
    <w:p w14:paraId="4AED7BFF" w14:textId="6E5CF0EB" w:rsidR="007828C1" w:rsidRPr="007828C1" w:rsidRDefault="007828C1" w:rsidP="007828C1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t>D. KRYTERIA MERYTORYCZNE PUNKTOWE, W TYM ROZ</w:t>
      </w:r>
      <w:r w:rsidR="00305353"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7828C1" w:rsidRPr="001F56F8" w14:paraId="4DF4F7F5" w14:textId="77777777" w:rsidTr="00941549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BAD462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278EA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55D29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3B18E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F7AC0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6637C9" w:rsidRPr="001F56F8" w14:paraId="3BAE76CE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1DCF" w14:textId="2EE37A96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4CB1" w14:textId="283EA3C0" w:rsidR="006637C9" w:rsidRPr="0031364C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Stopień w jakim projekt przyczyni się do zwiększenia efektywności energetycznej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B4BA" w14:textId="01E2DC02" w:rsidR="006637C9" w:rsidRPr="006637C9" w:rsidRDefault="008E2138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przyczynia się do zwiększenia efektywności energetycznej rozumianej jako redukcja zużycia energii [%]. Punktacja jest przydzielana w następujący sposób:</w:t>
            </w:r>
          </w:p>
          <w:p w14:paraId="164DEAFC" w14:textId="6C77E682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 xml:space="preserve">od 25%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2630D">
              <w:rPr>
                <w:rFonts w:ascii="Arial" w:hAnsi="Arial" w:cs="Arial"/>
                <w:sz w:val="24"/>
                <w:szCs w:val="24"/>
              </w:rPr>
              <w:t>2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63C8DDA" w14:textId="654A7684" w:rsidR="006637C9" w:rsidRPr="0062630D" w:rsidRDefault="006637C9" w:rsidP="008E2138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powyżej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45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CA7793E" w14:textId="265064AB" w:rsidR="008E2138" w:rsidRPr="0062630D" w:rsidRDefault="008E2138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ED5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62630D">
              <w:rPr>
                <w:rFonts w:ascii="Arial" w:hAnsi="Arial" w:cs="Arial"/>
                <w:sz w:val="24"/>
                <w:szCs w:val="24"/>
              </w:rPr>
              <w:t>60</w:t>
            </w:r>
            <w:r w:rsidRPr="001C7ED5">
              <w:rPr>
                <w:rFonts w:ascii="Arial" w:hAnsi="Arial" w:cs="Arial"/>
                <w:sz w:val="24"/>
                <w:szCs w:val="24"/>
              </w:rPr>
              <w:t>% -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8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1AC8E7" w14:textId="34100EC6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>powyżej 60%</w:t>
            </w:r>
            <w:r w:rsidR="0062630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-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10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0B96117" w14:textId="77777777" w:rsidR="006637C9" w:rsidRPr="006637C9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CE672E" w14:textId="77777777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W przypadku projektu obejmującego kilka budynków należy dokonać obliczeń wskaźnika dla każdego budynku, gdyż każdy z nich musi spełniać warunek zwiększenia efektywności energetycznej o przynajmniej 25%. Następnie należy przyrównać wartość obliczonego wskaźnika do odpowiedniego przedziału i na tym etapie obliczyć średnią arytmetyczną z uzyskanych punktów </w:t>
            </w:r>
            <w:r w:rsidRPr="00682782">
              <w:rPr>
                <w:rFonts w:ascii="Arial" w:hAnsi="Arial" w:cs="Arial"/>
                <w:sz w:val="24"/>
                <w:szCs w:val="24"/>
              </w:rPr>
              <w:t>przez każdy z budynków objętych projektem.</w:t>
            </w:r>
          </w:p>
          <w:p w14:paraId="33590F8D" w14:textId="36815A51" w:rsidR="006637C9" w:rsidRPr="00682782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na podstawie audytu energetycznego sporządzonego dla projektu, zawierającego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7B359" w14:textId="77777777" w:rsidR="008E213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C3332F" w14:textId="6477ABDF" w:rsidR="008E2138" w:rsidRPr="001F56F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1BCA" w14:textId="1F492252" w:rsidR="006637C9" w:rsidRPr="006637C9" w:rsidRDefault="006637C9" w:rsidP="00886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2-10 pkt </w:t>
            </w:r>
          </w:p>
          <w:p w14:paraId="186FA785" w14:textId="77777777" w:rsid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321A29F2" w14:textId="77777777" w:rsidR="00CB275D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9A58D8" w14:textId="7B5A7A48" w:rsidR="00282F51" w:rsidRPr="001F56F8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282F51">
              <w:rPr>
                <w:rFonts w:ascii="Arial" w:hAnsi="Arial" w:cs="Arial"/>
                <w:sz w:val="24"/>
                <w:szCs w:val="24"/>
              </w:rPr>
              <w:t>ryterium 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564B" w14:textId="0412E812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637C9" w:rsidRPr="001F56F8" w14:paraId="1E467164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E2C9" w14:textId="6249BC2D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1688" w14:textId="0F78C918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674D" w14:textId="727B6D81" w:rsidR="006637C9" w:rsidRPr="006637C9" w:rsidRDefault="00682782" w:rsidP="007136B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oceniamy 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w jakim stopniu projekt przyczynia się do redukcji gazów cieplarnianych, w szczególności CO2 w odniesieniu do wielkości zaangażowanych środków w realizację projektu. W ramach oceny kryterium należy obliczyć wartość wskaźnika w następujący sposób: redukcja CO2 (t/rok)/wartość całkowitą projektu.</w:t>
            </w:r>
          </w:p>
          <w:p w14:paraId="71AA24AB" w14:textId="0DC0A095" w:rsidR="003467E8" w:rsidRDefault="006637C9" w:rsidP="003467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 w:rsidR="003467E8"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 w:rsidR="003467E8"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45C32BE7" w14:textId="274D99CD" w:rsidR="003467E8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27D2B6B0" w14:textId="4F146B0A" w:rsidR="006637C9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 xml:space="preserve">WLWK-RCR105 - Szacowana emisja gazów cieplarnianych z kotłów i systemów ciepłowniczych </w:t>
            </w:r>
            <w:r w:rsidRPr="003467E8">
              <w:rPr>
                <w:rFonts w:ascii="Arial" w:hAnsi="Arial" w:cs="Arial"/>
                <w:sz w:val="24"/>
                <w:szCs w:val="24"/>
              </w:rPr>
              <w:lastRenderedPageBreak/>
              <w:t>przekształconych z zasilania stałymi paliwami kopalnymi na zasilanie gazem.</w:t>
            </w:r>
          </w:p>
          <w:p w14:paraId="59B73CE0" w14:textId="48E04C6E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badane w oparciu o wniosek o dofinansowanie projektu oraz audyt energetyczny sporządzony dla projektu, zawierający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3C6651" w14:textId="77777777" w:rsidR="000A14D9" w:rsidRDefault="000A14D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A74D64" w14:textId="17E75BD5" w:rsidR="006637C9" w:rsidRPr="00682782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3E83C833" w14:textId="77777777" w:rsidR="006637C9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76204" w14:textId="4F7F82FF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24C3FC" w14:textId="77777777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A94FF" w14:textId="12582233" w:rsidR="00682782" w:rsidRDefault="00682782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4D42D42" w14:textId="69D1526A" w:rsidR="00B63F6C" w:rsidRPr="006637C9" w:rsidRDefault="00B63F6C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03B1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>W kryterium można uzyskać maksymalnie 10 punktów. Punkty liczone będą w następujący sposób:</w:t>
            </w:r>
          </w:p>
          <w:p w14:paraId="2AD90C41" w14:textId="396888D3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D3D5" w14:textId="591214CA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61D8AC6C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97C" w14:textId="2FD839F3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E8FF" w14:textId="505BA3F1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Lokalizacja projektu na obszarze chronionym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464A" w14:textId="175E737A" w:rsidR="006637C9" w:rsidRPr="006637C9" w:rsidRDefault="00682782" w:rsidP="006637C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 xml:space="preserve">, czy projekt jest realizowany na obszarze chronionym w rozumieniu art. 6 ustawy o ochronie przyrody z dnia 16 kwietnia 2004 r. (Dz. U. z 2022 r. poz. 916 z </w:t>
            </w:r>
            <w:proofErr w:type="spellStart"/>
            <w:r w:rsidR="006637C9" w:rsidRPr="006637C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637C9" w:rsidRPr="006637C9">
              <w:rPr>
                <w:rFonts w:ascii="Arial" w:hAnsi="Arial" w:cs="Arial"/>
                <w:sz w:val="24"/>
                <w:szCs w:val="24"/>
              </w:rPr>
              <w:t>. zm.). Przy czym projekt powinien być traktowany jako zlokalizowany na obszarze chronionym, gdy większość budynków jest zlokalizowana na tym obszarze.</w:t>
            </w:r>
          </w:p>
          <w:p w14:paraId="673A04C9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51F114" w14:textId="1A133409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025F69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BDD14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5E1932CA" w14:textId="6DBFFE88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C90C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  <w:p w14:paraId="07BE4A0D" w14:textId="74B190CC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400D03">
              <w:rPr>
                <w:rFonts w:ascii="Arial" w:hAnsi="Arial" w:cs="Arial"/>
                <w:sz w:val="24"/>
                <w:szCs w:val="24"/>
              </w:rPr>
              <w:t>2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7FF5" w14:textId="25B4744F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41ECB503" w14:textId="77777777" w:rsidTr="009906B8">
        <w:trPr>
          <w:trHeight w:val="122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12E3" w14:textId="5D20341C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9906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319C" w14:textId="30E90384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Dodatkowe prace wynikające z audytu podnoszące standard techniczny budynku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A71B" w14:textId="1475C163" w:rsidR="006637C9" w:rsidRP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</w:t>
            </w:r>
            <w:r w:rsidR="008E018F">
              <w:rPr>
                <w:rFonts w:ascii="Arial" w:hAnsi="Arial" w:cs="Arial"/>
                <w:sz w:val="24"/>
                <w:szCs w:val="24"/>
              </w:rPr>
              <w:t xml:space="preserve">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przewiduje zastosowanie systemów zarządzania energią w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każdym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 xml:space="preserve"> budynku</w:t>
            </w:r>
            <w:r w:rsidR="00EB52D3">
              <w:rPr>
                <w:rFonts w:ascii="Arial" w:hAnsi="Arial" w:cs="Arial"/>
                <w:sz w:val="24"/>
                <w:szCs w:val="24"/>
              </w:rPr>
              <w:t xml:space="preserve"> objętym projektem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6FB3F0" w14:textId="77777777" w:rsidR="006637C9" w:rsidRPr="006637C9" w:rsidRDefault="006637C9" w:rsidP="0066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2B1DF" w14:textId="0C0B3AEA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6F332D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1FE97" w14:textId="2F4E8C75" w:rsid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B85E86B" w14:textId="25DFD656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01FF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B3213EF" w14:textId="53277950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Tak – 4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811B" w14:textId="16DEB5E5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</w:tbl>
    <w:p w14:paraId="06B0E27D" w14:textId="77777777" w:rsidR="007828C1" w:rsidRPr="002B1E8A" w:rsidRDefault="007828C1" w:rsidP="009F4A95">
      <w:pPr>
        <w:rPr>
          <w:rFonts w:ascii="Arial" w:hAnsi="Arial" w:cs="Arial"/>
          <w:sz w:val="24"/>
          <w:szCs w:val="24"/>
        </w:rPr>
      </w:pPr>
    </w:p>
    <w:sectPr w:rsidR="007828C1" w:rsidRPr="002B1E8A" w:rsidSect="005A7884"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3066ADF1" w14:textId="77777777" w:rsidR="000B1F8E" w:rsidRPr="007F71DB" w:rsidRDefault="000B1F8E" w:rsidP="000B1F8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93FFD96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16F02488" w14:textId="77777777" w:rsidR="00A74A19" w:rsidRPr="008D4EBB" w:rsidRDefault="00A74A19" w:rsidP="00AA06DD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  <w:p w14:paraId="15B6425C" w14:textId="77777777" w:rsidR="00A74A19" w:rsidRPr="00384712" w:rsidRDefault="00A74A19" w:rsidP="00067707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4">
    <w:p w14:paraId="2153965B" w14:textId="77777777" w:rsidR="00451922" w:rsidRDefault="00451922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793B259" w14:textId="25CCAE45" w:rsidR="00614F79" w:rsidRPr="00544205" w:rsidRDefault="00614F79" w:rsidP="00614F79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1524F9" w:rsidRPr="001524F9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="00337E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782DF1D8" w14:textId="77777777" w:rsidR="00614F79" w:rsidRPr="00C35067" w:rsidRDefault="00614F79" w:rsidP="00614F79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13A42FF" w14:textId="77777777" w:rsidR="00607AEF" w:rsidRPr="00342680" w:rsidRDefault="00607AEF" w:rsidP="00607AEF">
      <w:pPr>
        <w:pStyle w:val="Tekstprzypisudolnego"/>
      </w:pPr>
      <w:r w:rsidRPr="0034268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42680">
        <w:rPr>
          <w:rFonts w:ascii="Arial" w:hAnsi="Arial" w:cs="Arial"/>
          <w:sz w:val="24"/>
          <w:szCs w:val="24"/>
        </w:rPr>
        <w:t xml:space="preserve">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</w:t>
      </w:r>
      <w:r w:rsidRPr="00603C73">
        <w:rPr>
          <w:rFonts w:ascii="Arial" w:hAnsi="Arial" w:cs="Arial"/>
          <w:sz w:val="24"/>
          <w:szCs w:val="24"/>
        </w:rPr>
        <w:t xml:space="preserve">. 840 z </w:t>
      </w:r>
      <w:proofErr w:type="spellStart"/>
      <w:r w:rsidRPr="00603C73">
        <w:rPr>
          <w:rFonts w:ascii="Arial" w:hAnsi="Arial" w:cs="Arial"/>
          <w:sz w:val="24"/>
          <w:szCs w:val="24"/>
        </w:rPr>
        <w:t>późn</w:t>
      </w:r>
      <w:proofErr w:type="spellEnd"/>
      <w:r w:rsidRPr="00603C73">
        <w:rPr>
          <w:rFonts w:ascii="Arial" w:hAnsi="Arial" w:cs="Arial"/>
          <w:sz w:val="24"/>
          <w:szCs w:val="24"/>
        </w:rPr>
        <w:t>. zm.). Definicja zabytku w rozumieniu ww. ustawy.</w:t>
      </w:r>
    </w:p>
  </w:footnote>
  <w:footnote w:id="8">
    <w:p w14:paraId="5328EDA1" w14:textId="7FEF6E22" w:rsidR="00607AEF" w:rsidRPr="004B5ADF" w:rsidRDefault="00607AEF" w:rsidP="00607AEF">
      <w:pPr>
        <w:pStyle w:val="Tekstprzypisudolnego"/>
        <w:rPr>
          <w:rFonts w:ascii="Arial" w:hAnsi="Arial" w:cs="Arial"/>
          <w:sz w:val="24"/>
          <w:szCs w:val="24"/>
        </w:rPr>
      </w:pPr>
      <w:r w:rsidRPr="004B5A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B5A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  <w:lang w:val="pl-PL" w:eastAsia="en-US"/>
        </w:rPr>
        <w:t>Przez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budyn</w:t>
      </w:r>
      <w:r>
        <w:rPr>
          <w:rFonts w:ascii="Arial" w:hAnsi="Arial" w:cs="Arial"/>
          <w:iCs/>
          <w:sz w:val="24"/>
          <w:szCs w:val="24"/>
          <w:lang w:val="pl-PL" w:eastAsia="en-US"/>
        </w:rPr>
        <w:t>ek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użyteczności publicznej należy rozumieć budynek przeznaczony na potrzeby administracji publicznej, wymiaru sprawiedliwości, kultury, kultu religijnego, oświaty, szkolnictwa wyższego, nauki, wychowania, opieki zdrowotnej (z wyłączeniem obiektów szpitali, których funkcjonowanie w publicznym systemie zdrowia nie wynika z map potrzeb zdrowotnych), społecznej lub socjalnej, sportu oraz prowadzenia pozostałych zadań własnych samorządu terytorialnego, z wyłączeniem obiektów przeznaczonych na cele mieszkalne np.: akademiki, internaty, bursy, domy zakonne, domy nauczycielskie. Ponadto wspierane mogą być budynki, w</w:t>
      </w:r>
      <w:r w:rsidR="00CE5526">
        <w:rPr>
          <w:rFonts w:ascii="Arial" w:hAnsi="Arial" w:cs="Arial"/>
          <w:iCs/>
          <w:sz w:val="24"/>
          <w:szCs w:val="24"/>
          <w:lang w:eastAsia="en-US"/>
        </w:rPr>
        <w:t> 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>których działalność inna niż ww. zajmuje nie więcej niż 50% powierzchni wewnętrznej budynku</w:t>
      </w:r>
      <w:r w:rsidR="00183DA7">
        <w:rPr>
          <w:rFonts w:ascii="Arial" w:hAnsi="Arial" w:cs="Arial"/>
          <w:iCs/>
          <w:sz w:val="24"/>
          <w:szCs w:val="24"/>
          <w:lang w:eastAsia="en-US"/>
        </w:rPr>
        <w:t>. Z</w:t>
      </w:r>
      <w:r w:rsidR="00CE5526">
        <w:rPr>
          <w:rFonts w:ascii="Arial" w:hAnsi="Arial" w:cs="Arial"/>
          <w:iCs/>
          <w:sz w:val="24"/>
          <w:szCs w:val="24"/>
          <w:lang w:eastAsia="en-US"/>
        </w:rPr>
        <w:t xml:space="preserve">akres prac odnoszący się do części budynku niezwiązanej </w:t>
      </w:r>
      <w:r w:rsidR="00E80643">
        <w:rPr>
          <w:rFonts w:ascii="Arial" w:hAnsi="Arial" w:cs="Arial"/>
          <w:iCs/>
          <w:sz w:val="24"/>
          <w:szCs w:val="24"/>
          <w:lang w:eastAsia="en-US"/>
        </w:rPr>
        <w:t xml:space="preserve">z działalnością o </w:t>
      </w:r>
      <w:r w:rsidR="00C2328A">
        <w:rPr>
          <w:rFonts w:ascii="Arial" w:hAnsi="Arial" w:cs="Arial"/>
          <w:iCs/>
          <w:sz w:val="24"/>
          <w:szCs w:val="24"/>
          <w:lang w:eastAsia="en-US"/>
        </w:rPr>
        <w:t xml:space="preserve">ww. </w:t>
      </w:r>
      <w:r w:rsidR="00E80643">
        <w:rPr>
          <w:rFonts w:ascii="Arial" w:hAnsi="Arial" w:cs="Arial"/>
          <w:iCs/>
          <w:sz w:val="24"/>
          <w:szCs w:val="24"/>
          <w:lang w:eastAsia="en-US"/>
        </w:rPr>
        <w:t>charakterze publicznym stanowi koszt niekwalifikowalny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>.</w:t>
      </w:r>
    </w:p>
  </w:footnote>
  <w:footnote w:id="9">
    <w:p w14:paraId="32B486D9" w14:textId="77777777" w:rsidR="00170DA1" w:rsidRPr="00FC32E4" w:rsidRDefault="00170DA1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11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11"/>
    </w:p>
  </w:footnote>
  <w:footnote w:id="10">
    <w:p w14:paraId="5FE87102" w14:textId="158C7A83" w:rsidR="009B6B7B" w:rsidRPr="007007E7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CC14CBC" w14:textId="7D4254F0" w:rsidR="009B6B7B" w:rsidRPr="009C7AD5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78DCE561" w14:textId="7C9170F0" w:rsidR="00EA408B" w:rsidRPr="007F71DB" w:rsidRDefault="00EA408B" w:rsidP="00EA408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CC1E10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CC1E10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3">
    <w:p w14:paraId="2AB3130D" w14:textId="77777777" w:rsidR="00EB5FBB" w:rsidRPr="00384712" w:rsidRDefault="00EB5FB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13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1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3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3"/>
  <w:p w14:paraId="5B5642EE" w14:textId="2E35377B" w:rsidR="003C69E0" w:rsidRPr="003C69E0" w:rsidRDefault="00AB4601" w:rsidP="003C69E0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  <w:lang w:val="x-none"/>
      </w:rPr>
    </w:pPr>
    <w:r w:rsidRPr="00395B7F">
      <w:rPr>
        <w:rFonts w:ascii="Arial" w:hAnsi="Arial" w:cs="Arial"/>
        <w:bCs/>
        <w:lang w:val="x-none"/>
      </w:rPr>
      <w:t xml:space="preserve">Załącznik </w:t>
    </w:r>
    <w:r w:rsidR="003C69E0">
      <w:rPr>
        <w:rFonts w:ascii="Arial" w:hAnsi="Arial" w:cs="Arial"/>
        <w:bCs/>
        <w:lang w:val="x-none"/>
      </w:rPr>
      <w:t>do u</w:t>
    </w:r>
    <w:r w:rsidR="003C69E0" w:rsidRPr="003C69E0">
      <w:rPr>
        <w:rFonts w:ascii="Arial" w:hAnsi="Arial" w:cs="Arial"/>
        <w:bCs/>
        <w:lang w:val="x-none"/>
      </w:rPr>
      <w:t>chwał</w:t>
    </w:r>
    <w:r w:rsidR="003C69E0">
      <w:rPr>
        <w:rFonts w:ascii="Arial" w:hAnsi="Arial" w:cs="Arial"/>
        <w:bCs/>
        <w:lang w:val="x-none"/>
      </w:rPr>
      <w:t>y</w:t>
    </w:r>
    <w:r w:rsidR="003C69E0" w:rsidRPr="003C69E0">
      <w:rPr>
        <w:rFonts w:ascii="Arial" w:hAnsi="Arial" w:cs="Arial"/>
        <w:bCs/>
        <w:lang w:val="x-none"/>
      </w:rPr>
      <w:t xml:space="preserve"> Nr 75/2024</w:t>
    </w:r>
  </w:p>
  <w:p w14:paraId="17527ED4" w14:textId="77777777" w:rsidR="003C69E0" w:rsidRPr="003C69E0" w:rsidRDefault="003C69E0" w:rsidP="003C69E0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  <w:lang w:val="x-none"/>
      </w:rPr>
    </w:pPr>
    <w:r w:rsidRPr="003C69E0">
      <w:rPr>
        <w:rFonts w:ascii="Arial" w:hAnsi="Arial" w:cs="Arial"/>
        <w:bCs/>
        <w:lang w:val="x-none"/>
      </w:rPr>
      <w:t xml:space="preserve">Komitetu Monitorującego </w:t>
    </w:r>
  </w:p>
  <w:p w14:paraId="73085188" w14:textId="2FCB9451" w:rsidR="003C40D0" w:rsidRPr="003C69E0" w:rsidRDefault="003C69E0" w:rsidP="003C69E0">
    <w:pPr>
      <w:tabs>
        <w:tab w:val="left" w:pos="5103"/>
        <w:tab w:val="left" w:pos="9923"/>
      </w:tabs>
      <w:spacing w:after="0" w:line="240" w:lineRule="auto"/>
      <w:ind w:left="8789"/>
      <w:rPr>
        <w:rFonts w:ascii="Arial" w:hAnsi="Arial" w:cs="Arial"/>
        <w:bCs/>
        <w:lang w:val="x-none"/>
      </w:rPr>
    </w:pPr>
    <w:r w:rsidRPr="003C69E0">
      <w:rPr>
        <w:rFonts w:ascii="Arial" w:hAnsi="Arial" w:cs="Arial"/>
        <w:bCs/>
        <w:lang w:val="x-none"/>
      </w:rPr>
      <w:t>program Fundusze Europejskie dla Kujaw i Pomorza 2021-2027</w:t>
    </w:r>
    <w:r>
      <w:rPr>
        <w:rFonts w:ascii="Arial" w:hAnsi="Arial" w:cs="Arial"/>
        <w:bCs/>
        <w:lang w:val="x-none"/>
      </w:rPr>
      <w:t xml:space="preserve"> </w:t>
    </w:r>
    <w:r w:rsidRPr="003C69E0">
      <w:rPr>
        <w:rFonts w:ascii="Arial" w:hAnsi="Arial" w:cs="Arial"/>
        <w:bCs/>
        <w:lang w:val="x-none"/>
      </w:rPr>
      <w:t>z 17 października 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D39A5D04"/>
    <w:lvl w:ilvl="0" w:tplc="CDACF52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7C030F"/>
    <w:multiLevelType w:val="hybridMultilevel"/>
    <w:tmpl w:val="1AD6F46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82310"/>
    <w:multiLevelType w:val="hybridMultilevel"/>
    <w:tmpl w:val="97925F1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BDFC0C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9"/>
  </w:num>
  <w:num w:numId="2" w16cid:durableId="1558316882">
    <w:abstractNumId w:val="39"/>
  </w:num>
  <w:num w:numId="3" w16cid:durableId="283730786">
    <w:abstractNumId w:val="8"/>
  </w:num>
  <w:num w:numId="4" w16cid:durableId="228731417">
    <w:abstractNumId w:val="1"/>
  </w:num>
  <w:num w:numId="5" w16cid:durableId="970476649">
    <w:abstractNumId w:val="30"/>
  </w:num>
  <w:num w:numId="6" w16cid:durableId="491529595">
    <w:abstractNumId w:val="5"/>
  </w:num>
  <w:num w:numId="7" w16cid:durableId="1747606102">
    <w:abstractNumId w:val="13"/>
  </w:num>
  <w:num w:numId="8" w16cid:durableId="41516962">
    <w:abstractNumId w:val="26"/>
  </w:num>
  <w:num w:numId="9" w16cid:durableId="642538186">
    <w:abstractNumId w:val="24"/>
  </w:num>
  <w:num w:numId="10" w16cid:durableId="1151023340">
    <w:abstractNumId w:val="22"/>
  </w:num>
  <w:num w:numId="11" w16cid:durableId="2062705513">
    <w:abstractNumId w:val="10"/>
  </w:num>
  <w:num w:numId="12" w16cid:durableId="341470690">
    <w:abstractNumId w:val="14"/>
  </w:num>
  <w:num w:numId="13" w16cid:durableId="1194732508">
    <w:abstractNumId w:val="31"/>
  </w:num>
  <w:num w:numId="14" w16cid:durableId="1314676677">
    <w:abstractNumId w:val="19"/>
  </w:num>
  <w:num w:numId="15" w16cid:durableId="1250456925">
    <w:abstractNumId w:val="36"/>
  </w:num>
  <w:num w:numId="16" w16cid:durableId="1913654838">
    <w:abstractNumId w:val="33"/>
  </w:num>
  <w:num w:numId="17" w16cid:durableId="512840268">
    <w:abstractNumId w:val="9"/>
  </w:num>
  <w:num w:numId="18" w16cid:durableId="136728004">
    <w:abstractNumId w:val="18"/>
  </w:num>
  <w:num w:numId="19" w16cid:durableId="1760712996">
    <w:abstractNumId w:val="28"/>
  </w:num>
  <w:num w:numId="20" w16cid:durableId="724376284">
    <w:abstractNumId w:val="34"/>
  </w:num>
  <w:num w:numId="21" w16cid:durableId="44766216">
    <w:abstractNumId w:val="25"/>
  </w:num>
  <w:num w:numId="22" w16cid:durableId="513035798">
    <w:abstractNumId w:val="37"/>
  </w:num>
  <w:num w:numId="23" w16cid:durableId="2142722700">
    <w:abstractNumId w:val="21"/>
  </w:num>
  <w:num w:numId="24" w16cid:durableId="314843383">
    <w:abstractNumId w:val="38"/>
  </w:num>
  <w:num w:numId="25" w16cid:durableId="52389348">
    <w:abstractNumId w:val="7"/>
  </w:num>
  <w:num w:numId="26" w16cid:durableId="1479999517">
    <w:abstractNumId w:val="11"/>
  </w:num>
  <w:num w:numId="27" w16cid:durableId="885146038">
    <w:abstractNumId w:val="20"/>
  </w:num>
  <w:num w:numId="28" w16cid:durableId="1805004995">
    <w:abstractNumId w:val="2"/>
  </w:num>
  <w:num w:numId="29" w16cid:durableId="1672290955">
    <w:abstractNumId w:val="16"/>
  </w:num>
  <w:num w:numId="30" w16cid:durableId="753744561">
    <w:abstractNumId w:val="12"/>
  </w:num>
  <w:num w:numId="31" w16cid:durableId="1666398632">
    <w:abstractNumId w:val="23"/>
  </w:num>
  <w:num w:numId="32" w16cid:durableId="1977176889">
    <w:abstractNumId w:val="6"/>
  </w:num>
  <w:num w:numId="33" w16cid:durableId="2006393694">
    <w:abstractNumId w:val="17"/>
  </w:num>
  <w:num w:numId="34" w16cid:durableId="2056083278">
    <w:abstractNumId w:val="15"/>
  </w:num>
  <w:num w:numId="35" w16cid:durableId="688995715">
    <w:abstractNumId w:val="3"/>
  </w:num>
  <w:num w:numId="36" w16cid:durableId="1180897140">
    <w:abstractNumId w:val="32"/>
  </w:num>
  <w:num w:numId="37" w16cid:durableId="1615095698">
    <w:abstractNumId w:val="4"/>
  </w:num>
  <w:num w:numId="38" w16cid:durableId="657808865">
    <w:abstractNumId w:val="27"/>
  </w:num>
  <w:num w:numId="39" w16cid:durableId="1455713775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1FEC"/>
    <w:rsid w:val="00022525"/>
    <w:rsid w:val="00022E78"/>
    <w:rsid w:val="00023781"/>
    <w:rsid w:val="00023A45"/>
    <w:rsid w:val="0002428B"/>
    <w:rsid w:val="00024D24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4707"/>
    <w:rsid w:val="0006699E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672C"/>
    <w:rsid w:val="00086990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227"/>
    <w:rsid w:val="000A0C10"/>
    <w:rsid w:val="000A0CD3"/>
    <w:rsid w:val="000A11EC"/>
    <w:rsid w:val="000A14D9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1F8E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2F6E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251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13F"/>
    <w:rsid w:val="0014395E"/>
    <w:rsid w:val="0014592B"/>
    <w:rsid w:val="00145EB7"/>
    <w:rsid w:val="00146606"/>
    <w:rsid w:val="00147828"/>
    <w:rsid w:val="00152458"/>
    <w:rsid w:val="001524F9"/>
    <w:rsid w:val="00153C0A"/>
    <w:rsid w:val="00155285"/>
    <w:rsid w:val="00155A42"/>
    <w:rsid w:val="001573FB"/>
    <w:rsid w:val="001579CA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77CF0"/>
    <w:rsid w:val="0018103D"/>
    <w:rsid w:val="00183DA7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0DC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5406"/>
    <w:rsid w:val="001B6062"/>
    <w:rsid w:val="001B6BB3"/>
    <w:rsid w:val="001B7329"/>
    <w:rsid w:val="001B7756"/>
    <w:rsid w:val="001B7EFF"/>
    <w:rsid w:val="001B7F6E"/>
    <w:rsid w:val="001C0732"/>
    <w:rsid w:val="001C17D7"/>
    <w:rsid w:val="001C1F5B"/>
    <w:rsid w:val="001C27B3"/>
    <w:rsid w:val="001C2DD2"/>
    <w:rsid w:val="001C3F2D"/>
    <w:rsid w:val="001C660A"/>
    <w:rsid w:val="001C6A54"/>
    <w:rsid w:val="001C6B99"/>
    <w:rsid w:val="001C6C1B"/>
    <w:rsid w:val="001C778C"/>
    <w:rsid w:val="001C7CBD"/>
    <w:rsid w:val="001D03FB"/>
    <w:rsid w:val="001D04F9"/>
    <w:rsid w:val="001D1648"/>
    <w:rsid w:val="001D2BA8"/>
    <w:rsid w:val="001D3AF0"/>
    <w:rsid w:val="001D46CD"/>
    <w:rsid w:val="001D4CD9"/>
    <w:rsid w:val="001D4EFF"/>
    <w:rsid w:val="001D5770"/>
    <w:rsid w:val="001D73F9"/>
    <w:rsid w:val="001D7DF8"/>
    <w:rsid w:val="001D7E04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FAF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0329"/>
    <w:rsid w:val="00211DF1"/>
    <w:rsid w:val="00212CB3"/>
    <w:rsid w:val="00213A77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E0B"/>
    <w:rsid w:val="0026200B"/>
    <w:rsid w:val="0026248A"/>
    <w:rsid w:val="0026369F"/>
    <w:rsid w:val="00263B34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1D06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51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076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2E85"/>
    <w:rsid w:val="002C3269"/>
    <w:rsid w:val="002C3BB2"/>
    <w:rsid w:val="002C435E"/>
    <w:rsid w:val="002C4843"/>
    <w:rsid w:val="002C4FE0"/>
    <w:rsid w:val="002C50E4"/>
    <w:rsid w:val="002C5DB6"/>
    <w:rsid w:val="002C60B8"/>
    <w:rsid w:val="002C66D6"/>
    <w:rsid w:val="002C6D18"/>
    <w:rsid w:val="002D0017"/>
    <w:rsid w:val="002D18C1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6D7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5353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6CCC"/>
    <w:rsid w:val="003271C4"/>
    <w:rsid w:val="00327557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366B9"/>
    <w:rsid w:val="00337ED5"/>
    <w:rsid w:val="00342680"/>
    <w:rsid w:val="00342DB1"/>
    <w:rsid w:val="00343082"/>
    <w:rsid w:val="00343AFF"/>
    <w:rsid w:val="00343BEA"/>
    <w:rsid w:val="00345D0F"/>
    <w:rsid w:val="00345DDF"/>
    <w:rsid w:val="00346152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0280"/>
    <w:rsid w:val="00371DE3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79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6865"/>
    <w:rsid w:val="00397489"/>
    <w:rsid w:val="00397CAD"/>
    <w:rsid w:val="003A0754"/>
    <w:rsid w:val="003A1610"/>
    <w:rsid w:val="003A17CF"/>
    <w:rsid w:val="003A1F38"/>
    <w:rsid w:val="003A32E8"/>
    <w:rsid w:val="003A3E90"/>
    <w:rsid w:val="003A4AC4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69E0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2B"/>
    <w:rsid w:val="003D3D8E"/>
    <w:rsid w:val="003D4399"/>
    <w:rsid w:val="003D4E7D"/>
    <w:rsid w:val="003D5988"/>
    <w:rsid w:val="003D6454"/>
    <w:rsid w:val="003D6456"/>
    <w:rsid w:val="003D679A"/>
    <w:rsid w:val="003D6993"/>
    <w:rsid w:val="003D6ABA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52D6"/>
    <w:rsid w:val="003F7897"/>
    <w:rsid w:val="004007C2"/>
    <w:rsid w:val="00400CE7"/>
    <w:rsid w:val="00400D03"/>
    <w:rsid w:val="00401459"/>
    <w:rsid w:val="00401E35"/>
    <w:rsid w:val="00401FE8"/>
    <w:rsid w:val="00402E7D"/>
    <w:rsid w:val="00402FD8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4E2E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BD2"/>
    <w:rsid w:val="00425C12"/>
    <w:rsid w:val="00425C4E"/>
    <w:rsid w:val="0042622A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1922"/>
    <w:rsid w:val="00452541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1CCF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98C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25E4"/>
    <w:rsid w:val="004F30DB"/>
    <w:rsid w:val="004F3F95"/>
    <w:rsid w:val="004F50EA"/>
    <w:rsid w:val="004F62B3"/>
    <w:rsid w:val="004F6AE9"/>
    <w:rsid w:val="004F6D9D"/>
    <w:rsid w:val="004F7906"/>
    <w:rsid w:val="004F7D75"/>
    <w:rsid w:val="00500076"/>
    <w:rsid w:val="00500FB0"/>
    <w:rsid w:val="005013B3"/>
    <w:rsid w:val="005018EC"/>
    <w:rsid w:val="00502027"/>
    <w:rsid w:val="00502180"/>
    <w:rsid w:val="00503168"/>
    <w:rsid w:val="00503C69"/>
    <w:rsid w:val="00505150"/>
    <w:rsid w:val="005051ED"/>
    <w:rsid w:val="00505803"/>
    <w:rsid w:val="00507B1D"/>
    <w:rsid w:val="00507FAF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5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50D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6C4B"/>
    <w:rsid w:val="005B741A"/>
    <w:rsid w:val="005B747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1EC"/>
    <w:rsid w:val="005D4CBA"/>
    <w:rsid w:val="005D5E65"/>
    <w:rsid w:val="005D6B8D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4068"/>
    <w:rsid w:val="006054D7"/>
    <w:rsid w:val="006067A1"/>
    <w:rsid w:val="00607343"/>
    <w:rsid w:val="00607386"/>
    <w:rsid w:val="00607AEF"/>
    <w:rsid w:val="00607BF0"/>
    <w:rsid w:val="0061003F"/>
    <w:rsid w:val="00612233"/>
    <w:rsid w:val="0061299A"/>
    <w:rsid w:val="006131FD"/>
    <w:rsid w:val="00613DA5"/>
    <w:rsid w:val="0061493F"/>
    <w:rsid w:val="006149DD"/>
    <w:rsid w:val="00614F79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55EB"/>
    <w:rsid w:val="0062630D"/>
    <w:rsid w:val="00626571"/>
    <w:rsid w:val="00626CAB"/>
    <w:rsid w:val="00627879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782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5A6F"/>
    <w:rsid w:val="006A64AF"/>
    <w:rsid w:val="006A7054"/>
    <w:rsid w:val="006A7221"/>
    <w:rsid w:val="006A7899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3A8"/>
    <w:rsid w:val="006C660C"/>
    <w:rsid w:val="006C7682"/>
    <w:rsid w:val="006C7E4E"/>
    <w:rsid w:val="006D0AE6"/>
    <w:rsid w:val="006D106D"/>
    <w:rsid w:val="006D2375"/>
    <w:rsid w:val="006D2EB3"/>
    <w:rsid w:val="006D388E"/>
    <w:rsid w:val="006D38A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B4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443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2AB7"/>
    <w:rsid w:val="00792ED9"/>
    <w:rsid w:val="0079309D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40E"/>
    <w:rsid w:val="007D1DBB"/>
    <w:rsid w:val="007D394F"/>
    <w:rsid w:val="007D3A25"/>
    <w:rsid w:val="007D4D18"/>
    <w:rsid w:val="007D630B"/>
    <w:rsid w:val="007D66E4"/>
    <w:rsid w:val="007E008A"/>
    <w:rsid w:val="007E0407"/>
    <w:rsid w:val="007E0BF4"/>
    <w:rsid w:val="007E1633"/>
    <w:rsid w:val="007E178B"/>
    <w:rsid w:val="007E4915"/>
    <w:rsid w:val="007E4EEB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3DB2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6EE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3ACC"/>
    <w:rsid w:val="00814235"/>
    <w:rsid w:val="00814909"/>
    <w:rsid w:val="0081588E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27661"/>
    <w:rsid w:val="0083087A"/>
    <w:rsid w:val="00831400"/>
    <w:rsid w:val="008332FF"/>
    <w:rsid w:val="008339B6"/>
    <w:rsid w:val="00833FFD"/>
    <w:rsid w:val="00834DA6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1392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0D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18F"/>
    <w:rsid w:val="008E02A2"/>
    <w:rsid w:val="008E0DA2"/>
    <w:rsid w:val="008E2138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C1C"/>
    <w:rsid w:val="00911E61"/>
    <w:rsid w:val="009124B7"/>
    <w:rsid w:val="00912C34"/>
    <w:rsid w:val="00913BEA"/>
    <w:rsid w:val="00914A07"/>
    <w:rsid w:val="00915ACA"/>
    <w:rsid w:val="00916558"/>
    <w:rsid w:val="009166FA"/>
    <w:rsid w:val="0092270E"/>
    <w:rsid w:val="00922DD3"/>
    <w:rsid w:val="0092600B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06B8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1E02"/>
    <w:rsid w:val="009B2E78"/>
    <w:rsid w:val="009B33E2"/>
    <w:rsid w:val="009B377D"/>
    <w:rsid w:val="009B3B61"/>
    <w:rsid w:val="009B517B"/>
    <w:rsid w:val="009B5A30"/>
    <w:rsid w:val="009B5E48"/>
    <w:rsid w:val="009B6B7B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917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4A19"/>
    <w:rsid w:val="00A75A73"/>
    <w:rsid w:val="00A77266"/>
    <w:rsid w:val="00A77F67"/>
    <w:rsid w:val="00A826AD"/>
    <w:rsid w:val="00A84143"/>
    <w:rsid w:val="00A842C5"/>
    <w:rsid w:val="00A8449B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102D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18FF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4601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D0E48"/>
    <w:rsid w:val="00AD0E75"/>
    <w:rsid w:val="00AD312E"/>
    <w:rsid w:val="00AD32DE"/>
    <w:rsid w:val="00AD3671"/>
    <w:rsid w:val="00AD44C5"/>
    <w:rsid w:val="00AD48A7"/>
    <w:rsid w:val="00AD4975"/>
    <w:rsid w:val="00AD530B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01EA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2089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0E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14E"/>
    <w:rsid w:val="00B4636C"/>
    <w:rsid w:val="00B466DA"/>
    <w:rsid w:val="00B47085"/>
    <w:rsid w:val="00B47407"/>
    <w:rsid w:val="00B47966"/>
    <w:rsid w:val="00B50CB1"/>
    <w:rsid w:val="00B512C5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3F6C"/>
    <w:rsid w:val="00B6403B"/>
    <w:rsid w:val="00B648A8"/>
    <w:rsid w:val="00B64927"/>
    <w:rsid w:val="00B656BE"/>
    <w:rsid w:val="00B65765"/>
    <w:rsid w:val="00B65D35"/>
    <w:rsid w:val="00B66B5F"/>
    <w:rsid w:val="00B677A8"/>
    <w:rsid w:val="00B70729"/>
    <w:rsid w:val="00B70748"/>
    <w:rsid w:val="00B7160F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0B0F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0C9D"/>
    <w:rsid w:val="00BA1DC3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1C32"/>
    <w:rsid w:val="00BE2041"/>
    <w:rsid w:val="00BE2737"/>
    <w:rsid w:val="00BE2A95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328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3757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7B8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0110"/>
    <w:rsid w:val="00C8190B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421"/>
    <w:rsid w:val="00CB2520"/>
    <w:rsid w:val="00CB275D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1E10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544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526"/>
    <w:rsid w:val="00CE5FE0"/>
    <w:rsid w:val="00CE6A7D"/>
    <w:rsid w:val="00CE6B9C"/>
    <w:rsid w:val="00CE7045"/>
    <w:rsid w:val="00CE747D"/>
    <w:rsid w:val="00CF0989"/>
    <w:rsid w:val="00CF175B"/>
    <w:rsid w:val="00CF1B69"/>
    <w:rsid w:val="00CF1C12"/>
    <w:rsid w:val="00CF1CA8"/>
    <w:rsid w:val="00CF26E8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5EB5"/>
    <w:rsid w:val="00D26418"/>
    <w:rsid w:val="00D27AF8"/>
    <w:rsid w:val="00D302CC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49F"/>
    <w:rsid w:val="00D407C9"/>
    <w:rsid w:val="00D40E5C"/>
    <w:rsid w:val="00D42AC1"/>
    <w:rsid w:val="00D42D7B"/>
    <w:rsid w:val="00D43721"/>
    <w:rsid w:val="00D45DD8"/>
    <w:rsid w:val="00D46721"/>
    <w:rsid w:val="00D477DD"/>
    <w:rsid w:val="00D50C77"/>
    <w:rsid w:val="00D50E7E"/>
    <w:rsid w:val="00D515CA"/>
    <w:rsid w:val="00D53630"/>
    <w:rsid w:val="00D549FA"/>
    <w:rsid w:val="00D55123"/>
    <w:rsid w:val="00D57797"/>
    <w:rsid w:val="00D601D8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17D8"/>
    <w:rsid w:val="00D92276"/>
    <w:rsid w:val="00D92F97"/>
    <w:rsid w:val="00D936DC"/>
    <w:rsid w:val="00D93775"/>
    <w:rsid w:val="00D93EBC"/>
    <w:rsid w:val="00D94220"/>
    <w:rsid w:val="00D953C0"/>
    <w:rsid w:val="00D96307"/>
    <w:rsid w:val="00D967E4"/>
    <w:rsid w:val="00D97854"/>
    <w:rsid w:val="00D97F55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A6A"/>
    <w:rsid w:val="00DB369E"/>
    <w:rsid w:val="00DB398F"/>
    <w:rsid w:val="00DB3C6D"/>
    <w:rsid w:val="00DB3EEA"/>
    <w:rsid w:val="00DB4361"/>
    <w:rsid w:val="00DB43E5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6B5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491A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3671"/>
    <w:rsid w:val="00E24703"/>
    <w:rsid w:val="00E2486E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0DF5"/>
    <w:rsid w:val="00E612B4"/>
    <w:rsid w:val="00E62675"/>
    <w:rsid w:val="00E63370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49F4"/>
    <w:rsid w:val="00E77196"/>
    <w:rsid w:val="00E776EB"/>
    <w:rsid w:val="00E7796D"/>
    <w:rsid w:val="00E80122"/>
    <w:rsid w:val="00E80643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6E16"/>
    <w:rsid w:val="00E97001"/>
    <w:rsid w:val="00E9796E"/>
    <w:rsid w:val="00E97D8F"/>
    <w:rsid w:val="00EA014A"/>
    <w:rsid w:val="00EA04C7"/>
    <w:rsid w:val="00EA25EA"/>
    <w:rsid w:val="00EA383D"/>
    <w:rsid w:val="00EA3E22"/>
    <w:rsid w:val="00EA408B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2D3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F72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37C5F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C5B"/>
    <w:rsid w:val="00F57248"/>
    <w:rsid w:val="00F61295"/>
    <w:rsid w:val="00F613DF"/>
    <w:rsid w:val="00F62E67"/>
    <w:rsid w:val="00F63C68"/>
    <w:rsid w:val="00F64320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4D2A"/>
    <w:rsid w:val="00F8760D"/>
    <w:rsid w:val="00F90BAD"/>
    <w:rsid w:val="00F90C9C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5FBC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88E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qFormat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link w:val="FootnotesymbolCarZchn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  <w:style w:type="paragraph" w:customStyle="1" w:styleId="FootnotesymbolCarZchn">
    <w:name w:val="Footnote symbol Car Zchn"/>
    <w:basedOn w:val="Normalny"/>
    <w:link w:val="Odwoanieprzypisudolnego"/>
    <w:uiPriority w:val="99"/>
    <w:qFormat/>
    <w:rsid w:val="007E178B"/>
    <w:pPr>
      <w:spacing w:after="160" w:line="240" w:lineRule="exact"/>
      <w:jc w:val="both"/>
    </w:pPr>
    <w:rPr>
      <w:sz w:val="20"/>
      <w:szCs w:val="20"/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28</Pages>
  <Words>6018</Words>
  <Characters>36109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Paweł Łopatowski</cp:lastModifiedBy>
  <cp:revision>172</cp:revision>
  <cp:lastPrinted>2023-07-25T08:15:00Z</cp:lastPrinted>
  <dcterms:created xsi:type="dcterms:W3CDTF">2024-01-09T12:58:00Z</dcterms:created>
  <dcterms:modified xsi:type="dcterms:W3CDTF">2024-10-24T07:09:00Z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