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48BE3158">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135BED48"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5A029B">
              <w:rPr>
                <w:noProof/>
                <w:webHidden/>
              </w:rPr>
              <w:t>3</w:t>
            </w:r>
            <w:r w:rsidR="005A029B">
              <w:rPr>
                <w:noProof/>
                <w:webHidden/>
              </w:rPr>
              <w:fldChar w:fldCharType="end"/>
            </w:r>
          </w:hyperlink>
        </w:p>
        <w:p w14:paraId="539FD947" w14:textId="3FCFAF7D"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Pr>
                <w:noProof/>
                <w:webHidden/>
              </w:rPr>
              <w:t>3</w:t>
            </w:r>
            <w:r>
              <w:rPr>
                <w:noProof/>
                <w:webHidden/>
              </w:rPr>
              <w:fldChar w:fldCharType="end"/>
            </w:r>
          </w:hyperlink>
        </w:p>
        <w:p w14:paraId="365F630B" w14:textId="350E431A"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Pr>
                <w:noProof/>
                <w:webHidden/>
              </w:rPr>
              <w:t>4</w:t>
            </w:r>
            <w:r>
              <w:rPr>
                <w:noProof/>
                <w:webHidden/>
              </w:rPr>
              <w:fldChar w:fldCharType="end"/>
            </w:r>
          </w:hyperlink>
        </w:p>
        <w:p w14:paraId="04676634" w14:textId="68E1B035"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Pr>
                <w:noProof/>
                <w:webHidden/>
              </w:rPr>
              <w:t>4</w:t>
            </w:r>
            <w:r>
              <w:rPr>
                <w:noProof/>
                <w:webHidden/>
              </w:rPr>
              <w:fldChar w:fldCharType="end"/>
            </w:r>
          </w:hyperlink>
        </w:p>
        <w:p w14:paraId="0DC89E21" w14:textId="690E47B7"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Pr>
                <w:noProof/>
                <w:webHidden/>
              </w:rPr>
              <w:t>5</w:t>
            </w:r>
            <w:r>
              <w:rPr>
                <w:noProof/>
                <w:webHidden/>
              </w:rPr>
              <w:fldChar w:fldCharType="end"/>
            </w:r>
          </w:hyperlink>
        </w:p>
        <w:p w14:paraId="6467052B" w14:textId="71E7CC23"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Pr>
                <w:noProof/>
                <w:webHidden/>
              </w:rPr>
              <w:t>7</w:t>
            </w:r>
            <w:r>
              <w:rPr>
                <w:noProof/>
                <w:webHidden/>
              </w:rPr>
              <w:fldChar w:fldCharType="end"/>
            </w:r>
          </w:hyperlink>
        </w:p>
        <w:p w14:paraId="5F3E30C4" w14:textId="69E39677"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Pr>
                <w:noProof/>
                <w:webHidden/>
              </w:rPr>
              <w:t>9</w:t>
            </w:r>
            <w:r>
              <w:rPr>
                <w:noProof/>
                <w:webHidden/>
              </w:rPr>
              <w:fldChar w:fldCharType="end"/>
            </w:r>
          </w:hyperlink>
        </w:p>
        <w:p w14:paraId="6FE1A97D" w14:textId="43231E12"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Pr>
                <w:noProof/>
                <w:webHidden/>
              </w:rPr>
              <w:t>13</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B02DF8">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B02DF8">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B02DF8">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B02DF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B02DF8">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B02DF8">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B02DF8">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B02DF8">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B02DF8" w:rsidRDefault="00D47D78" w:rsidP="00B02DF8">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B02DF8">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B02DF8" w:rsidRDefault="00D47D78" w:rsidP="00B02DF8">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B02DF8">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B02DF8">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B02DF8" w:rsidRDefault="00D47D78" w:rsidP="00B02DF8">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B02DF8">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B02DF8">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B02DF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B02DF8">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B02DF8">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B02DF8">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B02DF8">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B02DF8">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B02DF8" w:rsidRDefault="007D02C1" w:rsidP="00B02DF8">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B02DF8">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B02DF8" w:rsidRDefault="007D02C1" w:rsidP="00B02DF8">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B02DF8">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B02DF8">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B02DF8">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B02DF8">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B02DF8">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B02DF8">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B02DF8">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B02DF8">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B02DF8">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B02DF8">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B02DF8" w:rsidRDefault="004C7836" w:rsidP="00B02DF8">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B02DF8">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B02DF8">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B02DF8">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B02DF8">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B02DF8">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B02DF8">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B02DF8">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14B91AFB"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328" w14:textId="77777777" w:rsidR="00762921" w:rsidRDefault="00762921" w:rsidP="006D08C8">
      <w:pPr>
        <w:spacing w:after="0" w:line="240" w:lineRule="auto"/>
      </w:pPr>
      <w:r>
        <w:separator/>
      </w:r>
    </w:p>
  </w:endnote>
  <w:endnote w:type="continuationSeparator" w:id="0">
    <w:p w14:paraId="323B581D" w14:textId="77777777" w:rsidR="00762921" w:rsidRDefault="0076292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C5BB" w14:textId="77777777" w:rsidR="00762921" w:rsidRDefault="00762921" w:rsidP="006D08C8">
      <w:pPr>
        <w:spacing w:after="0" w:line="240" w:lineRule="auto"/>
      </w:pPr>
      <w:r>
        <w:separator/>
      </w:r>
    </w:p>
  </w:footnote>
  <w:footnote w:type="continuationSeparator" w:id="0">
    <w:p w14:paraId="641F4A99" w14:textId="77777777" w:rsidR="00762921" w:rsidRDefault="0076292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573CB"/>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45EF9"/>
    <w:rsid w:val="00A66008"/>
    <w:rsid w:val="00A908A4"/>
    <w:rsid w:val="00A96F1F"/>
    <w:rsid w:val="00AB03C7"/>
    <w:rsid w:val="00AB6CE3"/>
    <w:rsid w:val="00AD7BBB"/>
    <w:rsid w:val="00AF5F28"/>
    <w:rsid w:val="00B02DF8"/>
    <w:rsid w:val="00B04ADD"/>
    <w:rsid w:val="00B12E7F"/>
    <w:rsid w:val="00B157A2"/>
    <w:rsid w:val="00B359AC"/>
    <w:rsid w:val="00B46519"/>
    <w:rsid w:val="00B64A32"/>
    <w:rsid w:val="00BA4DCE"/>
    <w:rsid w:val="00BB58ED"/>
    <w:rsid w:val="00BC378C"/>
    <w:rsid w:val="00BE2F5D"/>
    <w:rsid w:val="00C11720"/>
    <w:rsid w:val="00C34F96"/>
    <w:rsid w:val="00C3602B"/>
    <w:rsid w:val="00C84238"/>
    <w:rsid w:val="00C84B99"/>
    <w:rsid w:val="00C87D8D"/>
    <w:rsid w:val="00CB25F9"/>
    <w:rsid w:val="00CC19C3"/>
    <w:rsid w:val="00CC3445"/>
    <w:rsid w:val="00D0112F"/>
    <w:rsid w:val="00D11B51"/>
    <w:rsid w:val="00D26E48"/>
    <w:rsid w:val="00D3064F"/>
    <w:rsid w:val="00D41121"/>
    <w:rsid w:val="00D47D78"/>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87667"/>
    <w:rsid w:val="00EA34BE"/>
    <w:rsid w:val="00EA6DF5"/>
    <w:rsid w:val="00EB3E1C"/>
    <w:rsid w:val="00EC4562"/>
    <w:rsid w:val="00EE05BC"/>
    <w:rsid w:val="00EE1877"/>
    <w:rsid w:val="00EE601E"/>
    <w:rsid w:val="00EF788E"/>
    <w:rsid w:val="00F500D6"/>
    <w:rsid w:val="00F51996"/>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15</Pages>
  <Words>3266</Words>
  <Characters>19598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Ewelina Szostak</cp:lastModifiedBy>
  <cp:revision>66</cp:revision>
  <cp:lastPrinted>2023-05-17T09:52:00Z</cp:lastPrinted>
  <dcterms:created xsi:type="dcterms:W3CDTF">2023-04-28T08:42:00Z</dcterms:created>
  <dcterms:modified xsi:type="dcterms:W3CDTF">2025-03-11T07:01:00Z</dcterms:modified>
</cp:coreProperties>
</file>