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132E" w14:textId="77777777" w:rsidR="00704FDF" w:rsidRPr="00A246E4" w:rsidRDefault="0068325A" w:rsidP="001604E1">
      <w:pPr>
        <w:autoSpaceDE w:val="0"/>
        <w:autoSpaceDN w:val="0"/>
        <w:adjustRightInd w:val="0"/>
        <w:spacing w:before="600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Stanowisko</w:t>
      </w:r>
      <w:r w:rsidR="00E60C15" w:rsidRPr="00A246E4">
        <w:rPr>
          <w:rFonts w:ascii="Arial" w:hAnsi="Arial" w:cs="Arial"/>
          <w:color w:val="000000" w:themeColor="text1"/>
        </w:rPr>
        <w:t xml:space="preserve"> nr</w:t>
      </w:r>
      <w:r w:rsidR="00FB18CB" w:rsidRPr="00A246E4">
        <w:rPr>
          <w:rFonts w:ascii="Arial" w:hAnsi="Arial" w:cs="Arial"/>
          <w:color w:val="000000" w:themeColor="text1"/>
        </w:rPr>
        <w:t xml:space="preserve"> </w:t>
      </w:r>
      <w:r w:rsidR="00DD6801" w:rsidRPr="00A246E4">
        <w:rPr>
          <w:rFonts w:ascii="Arial" w:hAnsi="Arial" w:cs="Arial"/>
          <w:color w:val="000000" w:themeColor="text1"/>
        </w:rPr>
        <w:t>4</w:t>
      </w:r>
      <w:r w:rsidR="006F6A46" w:rsidRPr="00A246E4">
        <w:rPr>
          <w:rFonts w:ascii="Arial" w:hAnsi="Arial" w:cs="Arial"/>
          <w:color w:val="000000" w:themeColor="text1"/>
        </w:rPr>
        <w:t>/</w:t>
      </w:r>
      <w:r w:rsidR="00422881" w:rsidRPr="00A246E4">
        <w:rPr>
          <w:rFonts w:ascii="Arial" w:hAnsi="Arial" w:cs="Arial"/>
          <w:color w:val="000000" w:themeColor="text1"/>
        </w:rPr>
        <w:t>20</w:t>
      </w:r>
      <w:r w:rsidR="00BE6D45" w:rsidRPr="00A246E4">
        <w:rPr>
          <w:rFonts w:ascii="Arial" w:hAnsi="Arial" w:cs="Arial"/>
          <w:color w:val="000000" w:themeColor="text1"/>
        </w:rPr>
        <w:t>2</w:t>
      </w:r>
      <w:r w:rsidR="0056673B" w:rsidRPr="00A246E4">
        <w:rPr>
          <w:rFonts w:ascii="Arial" w:hAnsi="Arial" w:cs="Arial"/>
          <w:color w:val="000000" w:themeColor="text1"/>
        </w:rPr>
        <w:t>5</w:t>
      </w:r>
    </w:p>
    <w:p w14:paraId="3FF39A50" w14:textId="6C790F74" w:rsidR="00245BE4" w:rsidRPr="00A246E4" w:rsidRDefault="00245BE4" w:rsidP="001604E1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Grupy roboczej </w:t>
      </w:r>
      <w:bookmarkStart w:id="0" w:name="_Hlk129862032"/>
      <w:r w:rsidRPr="00A246E4">
        <w:rPr>
          <w:rFonts w:ascii="Arial" w:hAnsi="Arial" w:cs="Arial"/>
          <w:color w:val="000000" w:themeColor="text1"/>
        </w:rPr>
        <w:t xml:space="preserve">ds. </w:t>
      </w:r>
      <w:r w:rsidR="00DE154A" w:rsidRPr="00A246E4">
        <w:rPr>
          <w:rFonts w:ascii="Arial" w:hAnsi="Arial" w:cs="Arial"/>
          <w:color w:val="000000" w:themeColor="text1"/>
        </w:rPr>
        <w:t>realizacji zasad równościowych w programie</w:t>
      </w:r>
      <w:bookmarkEnd w:id="0"/>
    </w:p>
    <w:p w14:paraId="7F73B74A" w14:textId="77777777" w:rsidR="00092D89" w:rsidRPr="00A246E4" w:rsidRDefault="00245BE4" w:rsidP="001604E1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przy </w:t>
      </w:r>
      <w:r w:rsidR="00092D89" w:rsidRPr="00A246E4">
        <w:rPr>
          <w:rFonts w:ascii="Arial" w:hAnsi="Arial" w:cs="Arial"/>
          <w:color w:val="000000" w:themeColor="text1"/>
        </w:rPr>
        <w:t>K</w:t>
      </w:r>
      <w:r w:rsidRPr="00A246E4">
        <w:rPr>
          <w:rFonts w:ascii="Arial" w:hAnsi="Arial" w:cs="Arial"/>
          <w:color w:val="000000" w:themeColor="text1"/>
        </w:rPr>
        <w:t>omitecie</w:t>
      </w:r>
      <w:r w:rsidR="00092D89" w:rsidRPr="00A246E4">
        <w:rPr>
          <w:rFonts w:ascii="Arial" w:hAnsi="Arial" w:cs="Arial"/>
          <w:color w:val="000000" w:themeColor="text1"/>
        </w:rPr>
        <w:t xml:space="preserve"> Monitorują</w:t>
      </w:r>
      <w:r w:rsidRPr="00A246E4">
        <w:rPr>
          <w:rFonts w:ascii="Arial" w:hAnsi="Arial" w:cs="Arial"/>
          <w:color w:val="000000" w:themeColor="text1"/>
        </w:rPr>
        <w:t>cym</w:t>
      </w:r>
      <w:r w:rsidR="00092D89" w:rsidRPr="00A246E4">
        <w:rPr>
          <w:rFonts w:ascii="Arial" w:hAnsi="Arial" w:cs="Arial"/>
          <w:color w:val="000000" w:themeColor="text1"/>
        </w:rPr>
        <w:t xml:space="preserve"> </w:t>
      </w:r>
      <w:r w:rsidR="00DC5803" w:rsidRPr="00A246E4">
        <w:rPr>
          <w:rFonts w:ascii="Arial" w:hAnsi="Arial" w:cs="Arial"/>
          <w:color w:val="000000" w:themeColor="text1"/>
        </w:rPr>
        <w:t xml:space="preserve">program Fundusze Europejskie </w:t>
      </w:r>
      <w:r w:rsidR="00DC5803" w:rsidRPr="00A246E4">
        <w:rPr>
          <w:rFonts w:ascii="Arial" w:hAnsi="Arial" w:cs="Arial"/>
          <w:color w:val="000000" w:themeColor="text1"/>
        </w:rPr>
        <w:br/>
        <w:t>dla Kujaw i Pomorza 2021-2027</w:t>
      </w:r>
    </w:p>
    <w:p w14:paraId="154B95FC" w14:textId="77777777" w:rsidR="00092D89" w:rsidRPr="00A246E4" w:rsidRDefault="00092D89" w:rsidP="001604E1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z </w:t>
      </w:r>
      <w:r w:rsidR="00933C72" w:rsidRPr="00A246E4">
        <w:rPr>
          <w:rFonts w:ascii="Arial" w:hAnsi="Arial" w:cs="Arial"/>
          <w:color w:val="000000" w:themeColor="text1"/>
        </w:rPr>
        <w:t>31 marca</w:t>
      </w:r>
      <w:r w:rsidR="0056673B" w:rsidRPr="00A246E4">
        <w:rPr>
          <w:rFonts w:ascii="Arial" w:hAnsi="Arial" w:cs="Arial"/>
          <w:color w:val="000000" w:themeColor="text1"/>
        </w:rPr>
        <w:t xml:space="preserve"> </w:t>
      </w:r>
      <w:r w:rsidR="00531A63" w:rsidRPr="00A246E4">
        <w:rPr>
          <w:rFonts w:ascii="Arial" w:hAnsi="Arial" w:cs="Arial"/>
          <w:color w:val="000000" w:themeColor="text1"/>
        </w:rPr>
        <w:t>202</w:t>
      </w:r>
      <w:r w:rsidR="0056673B" w:rsidRPr="00A246E4">
        <w:rPr>
          <w:rFonts w:ascii="Arial" w:hAnsi="Arial" w:cs="Arial"/>
          <w:color w:val="000000" w:themeColor="text1"/>
        </w:rPr>
        <w:t>5</w:t>
      </w:r>
      <w:r w:rsidR="00531A63" w:rsidRPr="00A246E4">
        <w:rPr>
          <w:rFonts w:ascii="Arial" w:hAnsi="Arial" w:cs="Arial"/>
          <w:color w:val="000000" w:themeColor="text1"/>
        </w:rPr>
        <w:t xml:space="preserve"> r.</w:t>
      </w:r>
    </w:p>
    <w:p w14:paraId="0FC5A104" w14:textId="77777777" w:rsidR="00C62A36" w:rsidRPr="00A246E4" w:rsidRDefault="009E5C0D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w sprawie </w:t>
      </w:r>
      <w:r w:rsidR="00C91AAE" w:rsidRPr="00A246E4">
        <w:rPr>
          <w:rFonts w:ascii="Arial" w:hAnsi="Arial" w:cs="Arial"/>
          <w:color w:val="000000" w:themeColor="text1"/>
        </w:rPr>
        <w:t>zaopiniowania</w:t>
      </w:r>
      <w:r w:rsidR="0036709E" w:rsidRPr="00A246E4">
        <w:rPr>
          <w:rFonts w:ascii="Arial" w:hAnsi="Arial" w:cs="Arial"/>
          <w:color w:val="000000" w:themeColor="text1"/>
        </w:rPr>
        <w:t xml:space="preserve"> </w:t>
      </w:r>
      <w:r w:rsidR="00DD6801" w:rsidRPr="00A246E4">
        <w:rPr>
          <w:rFonts w:ascii="Arial" w:hAnsi="Arial" w:cs="Arial"/>
          <w:color w:val="000000" w:themeColor="text1"/>
        </w:rPr>
        <w:t>propozycji wprowadzenia nowego kryterium wyboru projektów „Audyt – projekt w sposób kompleksowy uwzględnia potrzeby osób ze szczególnymi potrzebami”</w:t>
      </w:r>
    </w:p>
    <w:p w14:paraId="2BBEE056" w14:textId="731B5A3C" w:rsidR="00DC5803" w:rsidRPr="00A246E4" w:rsidRDefault="00DC5803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Na podstawie Rozdziału 8, sekcji 8.2.5 Wytycznych dotyczących  komitetów monitorujących na lata 2021-2027 z dnia 21 września 2022 r.</w:t>
      </w:r>
      <w:r w:rsidR="00027475" w:rsidRPr="00A246E4">
        <w:rPr>
          <w:rFonts w:ascii="Arial" w:hAnsi="Arial" w:cs="Arial"/>
          <w:color w:val="000000" w:themeColor="text1"/>
        </w:rPr>
        <w:t xml:space="preserve"> (ze zm.)</w:t>
      </w:r>
      <w:r w:rsidRPr="00A246E4">
        <w:rPr>
          <w:rFonts w:ascii="Arial" w:hAnsi="Arial" w:cs="Arial"/>
          <w:color w:val="000000" w:themeColor="text1"/>
        </w:rPr>
        <w:t xml:space="preserve">, § 8 Regulaminu Komitetu Monitorującego program  Fundusze Europejskie dla Kujaw </w:t>
      </w:r>
      <w:r w:rsidR="00284DFD"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 xml:space="preserve">i Pomorza 2021-2027 z dnia 10 marca 2023 r. </w:t>
      </w:r>
      <w:r w:rsidR="00027475" w:rsidRPr="00A246E4">
        <w:rPr>
          <w:rFonts w:ascii="Arial" w:hAnsi="Arial" w:cs="Arial"/>
          <w:color w:val="000000" w:themeColor="text1"/>
        </w:rPr>
        <w:t xml:space="preserve">(ze zm.) </w:t>
      </w:r>
      <w:r w:rsidRPr="00A246E4">
        <w:rPr>
          <w:rFonts w:ascii="Arial" w:hAnsi="Arial" w:cs="Arial"/>
          <w:color w:val="000000" w:themeColor="text1"/>
        </w:rPr>
        <w:t>uchwala się, co następuje:</w:t>
      </w:r>
    </w:p>
    <w:p w14:paraId="54B0FA77" w14:textId="6B5B6FD9" w:rsidR="00277161" w:rsidRPr="00A246E4" w:rsidRDefault="00841B85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§1. </w:t>
      </w:r>
      <w:r w:rsidR="00785042" w:rsidRPr="00A246E4">
        <w:rPr>
          <w:rFonts w:ascii="Arial" w:hAnsi="Arial" w:cs="Arial"/>
          <w:color w:val="000000" w:themeColor="text1"/>
        </w:rPr>
        <w:t xml:space="preserve">Grupa robocza przedstawia Komitetowi Monitorującemu </w:t>
      </w:r>
      <w:r w:rsidR="004308BF" w:rsidRPr="00A246E4">
        <w:rPr>
          <w:rFonts w:ascii="Arial" w:hAnsi="Arial" w:cs="Arial"/>
          <w:color w:val="000000" w:themeColor="text1"/>
        </w:rPr>
        <w:t>pozytywną</w:t>
      </w:r>
      <w:r w:rsidR="00F50556" w:rsidRPr="00A246E4">
        <w:rPr>
          <w:rFonts w:ascii="Arial" w:hAnsi="Arial" w:cs="Arial"/>
          <w:color w:val="000000" w:themeColor="text1"/>
        </w:rPr>
        <w:t xml:space="preserve"> </w:t>
      </w:r>
      <w:r w:rsidR="00785042" w:rsidRPr="00A246E4">
        <w:rPr>
          <w:rFonts w:ascii="Arial" w:hAnsi="Arial" w:cs="Arial"/>
          <w:color w:val="000000" w:themeColor="text1"/>
        </w:rPr>
        <w:t xml:space="preserve">opinię </w:t>
      </w:r>
      <w:r w:rsidR="007A5100">
        <w:rPr>
          <w:rFonts w:ascii="Arial" w:hAnsi="Arial" w:cs="Arial"/>
          <w:color w:val="000000" w:themeColor="text1"/>
        </w:rPr>
        <w:t>w zakresie podjęcia dalszych prac związanych z wprowadzeniem</w:t>
      </w:r>
      <w:r w:rsidR="00DD6801" w:rsidRPr="00A246E4">
        <w:rPr>
          <w:rFonts w:ascii="Arial" w:hAnsi="Arial" w:cs="Arial"/>
          <w:color w:val="000000" w:themeColor="text1"/>
        </w:rPr>
        <w:t xml:space="preserve"> nowego kryterium wyboru projektów „Audyt – projekt w sposób kompleksowy uwzględnia potrzeby osób ze szczególnymi potrzebami”, </w:t>
      </w:r>
      <w:r w:rsidR="00045C2B" w:rsidRPr="00A246E4">
        <w:rPr>
          <w:rFonts w:ascii="Arial" w:hAnsi="Arial" w:cs="Arial"/>
          <w:color w:val="000000" w:themeColor="text1"/>
        </w:rPr>
        <w:t>zgodnie</w:t>
      </w:r>
      <w:r w:rsidR="00733BFB" w:rsidRPr="00A246E4">
        <w:rPr>
          <w:rFonts w:ascii="Arial" w:hAnsi="Arial" w:cs="Arial"/>
          <w:color w:val="000000" w:themeColor="text1"/>
        </w:rPr>
        <w:t xml:space="preserve"> </w:t>
      </w:r>
      <w:r w:rsidR="00045C2B" w:rsidRPr="00A246E4">
        <w:rPr>
          <w:rFonts w:ascii="Arial" w:hAnsi="Arial" w:cs="Arial"/>
          <w:color w:val="000000" w:themeColor="text1"/>
        </w:rPr>
        <w:t>z uzasadni</w:t>
      </w:r>
      <w:r w:rsidR="00277161" w:rsidRPr="00A246E4">
        <w:rPr>
          <w:rFonts w:ascii="Arial" w:hAnsi="Arial" w:cs="Arial"/>
          <w:color w:val="000000" w:themeColor="text1"/>
        </w:rPr>
        <w:t>eniem do niniejszego Stanowisk</w:t>
      </w:r>
      <w:r w:rsidR="00BB37A7" w:rsidRPr="00A246E4">
        <w:rPr>
          <w:rFonts w:ascii="Arial" w:hAnsi="Arial" w:cs="Arial"/>
          <w:color w:val="000000" w:themeColor="text1"/>
        </w:rPr>
        <w:t>a</w:t>
      </w:r>
      <w:r w:rsidR="00C62A36" w:rsidRPr="00A246E4">
        <w:rPr>
          <w:rFonts w:ascii="Arial" w:hAnsi="Arial" w:cs="Arial"/>
          <w:color w:val="000000" w:themeColor="text1"/>
        </w:rPr>
        <w:t>.</w:t>
      </w:r>
    </w:p>
    <w:p w14:paraId="24857C0D" w14:textId="7B61A80E" w:rsidR="00092D89" w:rsidRPr="00A246E4" w:rsidRDefault="00092D89" w:rsidP="001604E1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2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Przewodniczący </w:t>
      </w:r>
      <w:r w:rsidR="00045C2B" w:rsidRPr="00A246E4">
        <w:rPr>
          <w:rFonts w:ascii="Arial" w:hAnsi="Arial" w:cs="Arial"/>
          <w:color w:val="000000" w:themeColor="text1"/>
        </w:rPr>
        <w:t>Grupy roboczej</w:t>
      </w:r>
    </w:p>
    <w:p w14:paraId="2FF4C9E1" w14:textId="77777777" w:rsidR="0087144B" w:rsidRPr="00A246E4" w:rsidRDefault="00092D89" w:rsidP="00EB5928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4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…………………</w:t>
      </w:r>
    </w:p>
    <w:p w14:paraId="5CF17755" w14:textId="77777777" w:rsidR="00750C44" w:rsidRPr="00A246E4" w:rsidRDefault="00375E8C" w:rsidP="00EB5928">
      <w:pPr>
        <w:spacing w:before="100" w:beforeAutospacing="1" w:after="100" w:afterAutospacing="1" w:line="360" w:lineRule="auto"/>
        <w:rPr>
          <w:rFonts w:ascii="Arial" w:hAnsi="Arial" w:cs="Arial"/>
          <w:bCs/>
          <w:color w:val="000000" w:themeColor="text1"/>
        </w:rPr>
      </w:pPr>
      <w:r w:rsidRPr="00A246E4">
        <w:rPr>
          <w:rFonts w:ascii="Arial" w:hAnsi="Arial" w:cs="Arial"/>
          <w:b/>
          <w:color w:val="000000" w:themeColor="text1"/>
        </w:rPr>
        <w:br w:type="page"/>
      </w:r>
      <w:r w:rsidR="00750C44" w:rsidRPr="00A246E4">
        <w:rPr>
          <w:rFonts w:ascii="Arial" w:hAnsi="Arial" w:cs="Arial"/>
          <w:bCs/>
          <w:color w:val="000000" w:themeColor="text1"/>
        </w:rPr>
        <w:lastRenderedPageBreak/>
        <w:t>Uzasadnienie</w:t>
      </w:r>
    </w:p>
    <w:p w14:paraId="367BD35E" w14:textId="3145BFF2" w:rsidR="00140B98" w:rsidRPr="00A246E4" w:rsidRDefault="00DC5803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Na podstawie Rozdziału 8, sekcji 8.2.5 Wytycznych dotyczących komitetów monitorujących na lata 2021-2027 z dnia 21 września 2022 r., </w:t>
      </w:r>
      <w:r w:rsidR="00027475" w:rsidRPr="00A246E4">
        <w:rPr>
          <w:rFonts w:ascii="Arial" w:hAnsi="Arial" w:cs="Arial"/>
          <w:color w:val="000000" w:themeColor="text1"/>
        </w:rPr>
        <w:t xml:space="preserve">(ze zm.), </w:t>
      </w:r>
      <w:r w:rsidR="00A246E4"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>§ 8 Regulaminu Komitetu Monitorującego program  Fundusze Europejskie dla Kujaw i Pomorza 2021-2027 z dnia 10 marca 2023 r.</w:t>
      </w:r>
      <w:r w:rsidR="00027475" w:rsidRPr="00A246E4">
        <w:rPr>
          <w:rFonts w:ascii="Arial" w:hAnsi="Arial" w:cs="Arial"/>
          <w:color w:val="000000" w:themeColor="text1"/>
        </w:rPr>
        <w:t>(ze zm.),</w:t>
      </w:r>
      <w:r w:rsidRPr="00A246E4">
        <w:rPr>
          <w:rFonts w:ascii="Arial" w:hAnsi="Arial" w:cs="Arial"/>
          <w:color w:val="000000" w:themeColor="text1"/>
        </w:rPr>
        <w:t xml:space="preserve"> </w:t>
      </w:r>
      <w:r w:rsidR="00750C44" w:rsidRPr="00A246E4">
        <w:rPr>
          <w:rFonts w:ascii="Arial" w:hAnsi="Arial" w:cs="Arial"/>
          <w:color w:val="000000" w:themeColor="text1"/>
        </w:rPr>
        <w:t xml:space="preserve">Komitet Monitorujący analizuje i zatwierdza metodykę i kryteria wyboru projektów oraz ich zmiany </w:t>
      </w:r>
      <w:r w:rsidR="00A246E4">
        <w:rPr>
          <w:rFonts w:ascii="Arial" w:hAnsi="Arial" w:cs="Arial"/>
          <w:color w:val="000000" w:themeColor="text1"/>
        </w:rPr>
        <w:br/>
      </w:r>
      <w:r w:rsidR="00750C44" w:rsidRPr="00A246E4">
        <w:rPr>
          <w:rFonts w:ascii="Arial" w:hAnsi="Arial" w:cs="Arial"/>
          <w:color w:val="000000" w:themeColor="text1"/>
        </w:rPr>
        <w:t xml:space="preserve">w ramach </w:t>
      </w:r>
      <w:r w:rsidRPr="00A246E4">
        <w:rPr>
          <w:rFonts w:ascii="Arial" w:hAnsi="Arial" w:cs="Arial"/>
          <w:color w:val="000000" w:themeColor="text1"/>
        </w:rPr>
        <w:t>FEdKP 2021-2027</w:t>
      </w:r>
      <w:r w:rsidR="00DE7A10" w:rsidRPr="00A246E4">
        <w:rPr>
          <w:rFonts w:ascii="Arial" w:hAnsi="Arial" w:cs="Arial"/>
          <w:color w:val="000000" w:themeColor="text1"/>
        </w:rPr>
        <w:t xml:space="preserve">, </w:t>
      </w:r>
      <w:r w:rsidR="00316C58" w:rsidRPr="00A246E4">
        <w:rPr>
          <w:rFonts w:ascii="Arial" w:hAnsi="Arial" w:cs="Arial"/>
          <w:color w:val="000000" w:themeColor="text1"/>
        </w:rPr>
        <w:t>po </w:t>
      </w:r>
      <w:r w:rsidR="00750C44" w:rsidRPr="00A246E4">
        <w:rPr>
          <w:rFonts w:ascii="Arial" w:hAnsi="Arial" w:cs="Arial"/>
          <w:color w:val="000000" w:themeColor="text1"/>
        </w:rPr>
        <w:t xml:space="preserve">uprzednim zaopiniowaniu ich przez </w:t>
      </w:r>
      <w:r w:rsidR="00273B76" w:rsidRPr="00A246E4">
        <w:rPr>
          <w:rFonts w:ascii="Arial" w:hAnsi="Arial" w:cs="Arial"/>
          <w:color w:val="000000" w:themeColor="text1"/>
        </w:rPr>
        <w:t>stosowne grupy robocze.</w:t>
      </w:r>
    </w:p>
    <w:p w14:paraId="47688EAC" w14:textId="11D5D430" w:rsidR="00903C7B" w:rsidRPr="00A246E4" w:rsidRDefault="00CA6494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  <w:spacing w:val="-4"/>
        </w:rPr>
        <w:t xml:space="preserve">W </w:t>
      </w:r>
      <w:r w:rsidR="00933C72" w:rsidRPr="00A246E4">
        <w:rPr>
          <w:rFonts w:ascii="Arial" w:hAnsi="Arial" w:cs="Arial"/>
          <w:color w:val="000000" w:themeColor="text1"/>
          <w:spacing w:val="-4"/>
        </w:rPr>
        <w:t>dniu 31 marca</w:t>
      </w:r>
      <w:r w:rsidR="00CE36DD" w:rsidRPr="00A246E4">
        <w:rPr>
          <w:rFonts w:ascii="Arial" w:hAnsi="Arial" w:cs="Arial"/>
          <w:color w:val="000000" w:themeColor="text1"/>
          <w:spacing w:val="-4"/>
        </w:rPr>
        <w:t xml:space="preserve"> </w:t>
      </w:r>
      <w:r w:rsidR="00DC5803" w:rsidRPr="00A246E4">
        <w:rPr>
          <w:rFonts w:ascii="Arial" w:hAnsi="Arial" w:cs="Arial"/>
          <w:color w:val="000000" w:themeColor="text1"/>
          <w:spacing w:val="-4"/>
        </w:rPr>
        <w:t>202</w:t>
      </w:r>
      <w:r w:rsidR="0056673B" w:rsidRPr="00A246E4">
        <w:rPr>
          <w:rFonts w:ascii="Arial" w:hAnsi="Arial" w:cs="Arial"/>
          <w:color w:val="000000" w:themeColor="text1"/>
          <w:spacing w:val="-4"/>
        </w:rPr>
        <w:t>5</w:t>
      </w:r>
      <w:r w:rsidR="00DC5803" w:rsidRPr="00A246E4">
        <w:rPr>
          <w:rFonts w:ascii="Arial" w:hAnsi="Arial" w:cs="Arial"/>
          <w:color w:val="000000" w:themeColor="text1"/>
          <w:spacing w:val="-4"/>
        </w:rPr>
        <w:t xml:space="preserve"> r. </w:t>
      </w:r>
      <w:r w:rsidR="00BE1F36" w:rsidRPr="00A246E4">
        <w:rPr>
          <w:rFonts w:ascii="Arial" w:hAnsi="Arial" w:cs="Arial"/>
          <w:color w:val="000000" w:themeColor="text1"/>
          <w:spacing w:val="-4"/>
        </w:rPr>
        <w:t xml:space="preserve">Grupa robocza </w:t>
      </w:r>
      <w:r w:rsidR="00815AC2" w:rsidRPr="00A246E4">
        <w:rPr>
          <w:rFonts w:ascii="Arial" w:hAnsi="Arial" w:cs="Arial"/>
          <w:color w:val="000000" w:themeColor="text1"/>
          <w:spacing w:val="-4"/>
        </w:rPr>
        <w:t xml:space="preserve">do spraw </w:t>
      </w:r>
      <w:r w:rsidR="00DE154A" w:rsidRPr="00A246E4">
        <w:rPr>
          <w:rFonts w:ascii="Arial" w:hAnsi="Arial" w:cs="Arial"/>
          <w:color w:val="000000" w:themeColor="text1"/>
        </w:rPr>
        <w:t xml:space="preserve">realizacji zasad równościowych </w:t>
      </w:r>
      <w:r w:rsidR="00A246E4">
        <w:rPr>
          <w:rFonts w:ascii="Arial" w:hAnsi="Arial" w:cs="Arial"/>
          <w:color w:val="000000" w:themeColor="text1"/>
        </w:rPr>
        <w:br/>
      </w:r>
      <w:r w:rsidR="00DE154A" w:rsidRPr="00A246E4">
        <w:rPr>
          <w:rFonts w:ascii="Arial" w:hAnsi="Arial" w:cs="Arial"/>
          <w:color w:val="000000" w:themeColor="text1"/>
        </w:rPr>
        <w:t>w programie</w:t>
      </w:r>
      <w:r w:rsidR="00DC5803" w:rsidRPr="00A246E4">
        <w:rPr>
          <w:rFonts w:ascii="Arial" w:hAnsi="Arial" w:cs="Arial"/>
          <w:color w:val="000000" w:themeColor="text1"/>
          <w:spacing w:val="-4"/>
        </w:rPr>
        <w:t xml:space="preserve"> </w:t>
      </w:r>
      <w:r w:rsidR="0087144B" w:rsidRPr="00A246E4">
        <w:rPr>
          <w:rFonts w:ascii="Arial" w:hAnsi="Arial" w:cs="Arial"/>
          <w:color w:val="000000" w:themeColor="text1"/>
          <w:spacing w:val="-4"/>
        </w:rPr>
        <w:t xml:space="preserve">przeanalizowała </w:t>
      </w:r>
      <w:r w:rsidR="006961C6" w:rsidRPr="00A246E4">
        <w:rPr>
          <w:rFonts w:ascii="Arial" w:hAnsi="Arial" w:cs="Arial"/>
          <w:color w:val="000000" w:themeColor="text1"/>
          <w:spacing w:val="-4"/>
        </w:rPr>
        <w:t xml:space="preserve"> </w:t>
      </w:r>
      <w:r w:rsidR="00903C7B" w:rsidRPr="00A246E4">
        <w:rPr>
          <w:rFonts w:ascii="Arial" w:hAnsi="Arial" w:cs="Arial"/>
          <w:color w:val="000000" w:themeColor="text1"/>
        </w:rPr>
        <w:t>propozycję wprowadzenia nowego kryterium wyboru projektów „Audyt – projekt w sposób kompleksowy uwzględnia potrzeby osób ze szczególnymi potrzebami”.</w:t>
      </w:r>
    </w:p>
    <w:p w14:paraId="113627F1" w14:textId="2F84B9BA" w:rsidR="004308BF" w:rsidRPr="00A246E4" w:rsidRDefault="004308BF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Do projektu kryteriów zostały zgłoszone uwagi przed posiedzeniem Grupy roboczej przez Panią Agnieszkę Lisek-Charkiewicz – członka Komitetu Monitorującego, Gminę Miasto Włocławek, Gminę Miasta Toruń, Panią Annę Rybarczyk-</w:t>
      </w:r>
      <w:proofErr w:type="spellStart"/>
      <w:r w:rsidRPr="00A246E4">
        <w:rPr>
          <w:rFonts w:ascii="Arial" w:hAnsi="Arial" w:cs="Arial"/>
          <w:color w:val="000000" w:themeColor="text1"/>
        </w:rPr>
        <w:t>Bigoń</w:t>
      </w:r>
      <w:proofErr w:type="spellEnd"/>
      <w:r w:rsidRPr="00A246E4">
        <w:rPr>
          <w:rFonts w:ascii="Arial" w:hAnsi="Arial" w:cs="Arial"/>
          <w:color w:val="000000" w:themeColor="text1"/>
        </w:rPr>
        <w:t xml:space="preserve"> </w:t>
      </w:r>
      <w:r w:rsidR="00A246E4"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>z Fundacji Aktywizacja oraz Miasto Bydgoszcz (Załącznik nr 2).</w:t>
      </w:r>
    </w:p>
    <w:p w14:paraId="65A6F8A7" w14:textId="5BE16B9F" w:rsidR="006614D7" w:rsidRPr="00A246E4" w:rsidRDefault="006614D7" w:rsidP="001604E1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Celem kryterium jest zapewnienie zgodności projektów z „Wytycznymi dotyczącymi realizacji zasad równościowych w ramach funduszy unijnych na lata 2021-2027”</w:t>
      </w:r>
      <w:r w:rsidR="00E43288" w:rsidRPr="00A246E4">
        <w:rPr>
          <w:rFonts w:ascii="Arial" w:hAnsi="Arial" w:cs="Arial"/>
          <w:color w:val="000000" w:themeColor="text1"/>
        </w:rPr>
        <w:t xml:space="preserve">, </w:t>
      </w:r>
      <w:r w:rsidRPr="00A246E4">
        <w:rPr>
          <w:rFonts w:ascii="Arial" w:hAnsi="Arial" w:cs="Arial"/>
          <w:color w:val="000000" w:themeColor="text1"/>
        </w:rPr>
        <w:t>uzyska</w:t>
      </w:r>
      <w:r w:rsidR="00E43288" w:rsidRPr="00A246E4">
        <w:rPr>
          <w:rFonts w:ascii="Arial" w:hAnsi="Arial" w:cs="Arial"/>
          <w:color w:val="000000" w:themeColor="text1"/>
        </w:rPr>
        <w:t>nie</w:t>
      </w:r>
      <w:r w:rsidRPr="00A246E4">
        <w:rPr>
          <w:rFonts w:ascii="Arial" w:hAnsi="Arial" w:cs="Arial"/>
          <w:color w:val="000000" w:themeColor="text1"/>
        </w:rPr>
        <w:t xml:space="preserve"> wysokiej jakości projekt</w:t>
      </w:r>
      <w:r w:rsidR="00E43288" w:rsidRPr="00A246E4">
        <w:rPr>
          <w:rFonts w:ascii="Arial" w:hAnsi="Arial" w:cs="Arial"/>
          <w:color w:val="000000" w:themeColor="text1"/>
        </w:rPr>
        <w:t>ów</w:t>
      </w:r>
      <w:r w:rsidRPr="00A246E4">
        <w:rPr>
          <w:rFonts w:ascii="Arial" w:hAnsi="Arial" w:cs="Arial"/>
          <w:color w:val="000000" w:themeColor="text1"/>
        </w:rPr>
        <w:t xml:space="preserve"> dostosowan</w:t>
      </w:r>
      <w:r w:rsidR="00E43288" w:rsidRPr="00A246E4">
        <w:rPr>
          <w:rFonts w:ascii="Arial" w:hAnsi="Arial" w:cs="Arial"/>
          <w:color w:val="000000" w:themeColor="text1"/>
        </w:rPr>
        <w:t>ych</w:t>
      </w:r>
      <w:r w:rsidRPr="00A246E4">
        <w:rPr>
          <w:rFonts w:ascii="Arial" w:hAnsi="Arial" w:cs="Arial"/>
          <w:color w:val="000000" w:themeColor="text1"/>
        </w:rPr>
        <w:t xml:space="preserve"> do potrzeb osób </w:t>
      </w:r>
      <w:r w:rsidR="00284DFD"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 xml:space="preserve">z niepełnosprawnością, osób starszych i osób o ograniczonej mobilności oraz </w:t>
      </w:r>
      <w:r w:rsidR="004C09E8" w:rsidRPr="00A246E4">
        <w:rPr>
          <w:rFonts w:ascii="Arial" w:hAnsi="Arial" w:cs="Arial"/>
          <w:color w:val="000000" w:themeColor="text1"/>
        </w:rPr>
        <w:t xml:space="preserve">dla </w:t>
      </w:r>
      <w:r w:rsidRPr="00A246E4">
        <w:rPr>
          <w:rFonts w:ascii="Arial" w:hAnsi="Arial" w:cs="Arial"/>
          <w:color w:val="000000" w:themeColor="text1"/>
        </w:rPr>
        <w:t>zapobiegani</w:t>
      </w:r>
      <w:r w:rsidR="00122966">
        <w:rPr>
          <w:rFonts w:ascii="Arial" w:hAnsi="Arial" w:cs="Arial"/>
          <w:color w:val="000000" w:themeColor="text1"/>
        </w:rPr>
        <w:t>a</w:t>
      </w:r>
      <w:r w:rsidRPr="00A246E4">
        <w:rPr>
          <w:rFonts w:ascii="Arial" w:hAnsi="Arial" w:cs="Arial"/>
          <w:color w:val="000000" w:themeColor="text1"/>
        </w:rPr>
        <w:t xml:space="preserve"> nieprawidłowościom podczas wdrażania projektów związanych </w:t>
      </w:r>
      <w:r w:rsidR="00A246E4"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 xml:space="preserve">z naruszeniem zasad uniwersalnego projektowania, w tym </w:t>
      </w:r>
      <w:r w:rsidR="00022E7B" w:rsidRPr="00A246E4">
        <w:rPr>
          <w:rFonts w:ascii="Arial" w:hAnsi="Arial" w:cs="Arial"/>
          <w:color w:val="000000" w:themeColor="text1"/>
        </w:rPr>
        <w:t xml:space="preserve">spełnienia co najmniej </w:t>
      </w:r>
      <w:r w:rsidRPr="00A246E4">
        <w:rPr>
          <w:rFonts w:ascii="Arial" w:hAnsi="Arial" w:cs="Arial"/>
          <w:color w:val="000000" w:themeColor="text1"/>
        </w:rPr>
        <w:t>standardów dostępności dla polityki spójności 2021-2027.</w:t>
      </w:r>
    </w:p>
    <w:p w14:paraId="28F6FFBD" w14:textId="535B4483" w:rsidR="00E43288" w:rsidRPr="00A246E4" w:rsidRDefault="00E43288" w:rsidP="00613AA6">
      <w:pPr>
        <w:spacing w:before="120" w:after="120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W trakcie </w:t>
      </w:r>
      <w:r w:rsidR="0035762A" w:rsidRPr="00A246E4">
        <w:rPr>
          <w:rFonts w:ascii="Arial" w:hAnsi="Arial" w:cs="Arial"/>
          <w:color w:val="000000" w:themeColor="text1"/>
        </w:rPr>
        <w:t>spotkania</w:t>
      </w:r>
      <w:r w:rsidRPr="00A246E4">
        <w:rPr>
          <w:rFonts w:ascii="Arial" w:hAnsi="Arial" w:cs="Arial"/>
          <w:color w:val="000000" w:themeColor="text1"/>
        </w:rPr>
        <w:t xml:space="preserve"> poruszono kwestie</w:t>
      </w:r>
      <w:r w:rsidR="00893728" w:rsidRPr="00A246E4">
        <w:rPr>
          <w:rFonts w:ascii="Arial" w:hAnsi="Arial" w:cs="Arial"/>
          <w:color w:val="000000" w:themeColor="text1"/>
        </w:rPr>
        <w:t xml:space="preserve"> </w:t>
      </w:r>
      <w:r w:rsidR="00F208F8" w:rsidRPr="00A246E4">
        <w:rPr>
          <w:rFonts w:ascii="Arial" w:hAnsi="Arial" w:cs="Arial"/>
          <w:color w:val="000000" w:themeColor="text1"/>
        </w:rPr>
        <w:t>wynikające</w:t>
      </w:r>
      <w:r w:rsidR="00893728" w:rsidRPr="00A246E4">
        <w:rPr>
          <w:rFonts w:ascii="Arial" w:hAnsi="Arial" w:cs="Arial"/>
          <w:color w:val="000000" w:themeColor="text1"/>
        </w:rPr>
        <w:t xml:space="preserve"> ze zgłoszony</w:t>
      </w:r>
      <w:r w:rsidR="00F208F8" w:rsidRPr="00A246E4">
        <w:rPr>
          <w:rFonts w:ascii="Arial" w:hAnsi="Arial" w:cs="Arial"/>
          <w:color w:val="000000" w:themeColor="text1"/>
        </w:rPr>
        <w:t>ch</w:t>
      </w:r>
      <w:r w:rsidR="00893728" w:rsidRPr="00A246E4">
        <w:rPr>
          <w:rFonts w:ascii="Arial" w:hAnsi="Arial" w:cs="Arial"/>
          <w:color w:val="000000" w:themeColor="text1"/>
        </w:rPr>
        <w:t xml:space="preserve"> uwag</w:t>
      </w:r>
      <w:r w:rsidRPr="00A246E4">
        <w:rPr>
          <w:rFonts w:ascii="Arial" w:hAnsi="Arial" w:cs="Arial"/>
          <w:color w:val="000000" w:themeColor="text1"/>
        </w:rPr>
        <w:t>:</w:t>
      </w:r>
    </w:p>
    <w:p w14:paraId="10E6055E" w14:textId="4C95C5EF" w:rsidR="00E43288" w:rsidRPr="00A246E4" w:rsidRDefault="00E43288" w:rsidP="00284DFD">
      <w:pPr>
        <w:numPr>
          <w:ilvl w:val="0"/>
          <w:numId w:val="28"/>
        </w:numPr>
        <w:spacing w:before="120" w:after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Powielania obowiązujących przepisów prawa, w tym </w:t>
      </w:r>
      <w:r w:rsidR="0035762A" w:rsidRPr="00A246E4">
        <w:rPr>
          <w:rFonts w:ascii="Arial" w:hAnsi="Arial" w:cs="Arial"/>
          <w:color w:val="000000" w:themeColor="text1"/>
        </w:rPr>
        <w:t xml:space="preserve">kryterium dotyczącego zgodności z zasadami równości szans i niedyskryminacji, zgodności z Kartą Praw Podstawowych, zgodności z Konwencją o prawach osób niepełnosprawnych. </w:t>
      </w:r>
      <w:r w:rsidR="00284DFD">
        <w:rPr>
          <w:rFonts w:ascii="Arial" w:hAnsi="Arial" w:cs="Arial"/>
          <w:color w:val="000000" w:themeColor="text1"/>
        </w:rPr>
        <w:br/>
      </w:r>
      <w:r w:rsidR="0035762A" w:rsidRPr="00A246E4">
        <w:rPr>
          <w:rFonts w:ascii="Arial" w:hAnsi="Arial" w:cs="Arial"/>
          <w:color w:val="000000" w:themeColor="text1"/>
        </w:rPr>
        <w:t xml:space="preserve">W dyskusji wyjaśniono, iż przedmiotowe kryterium skupia się wyłącznie na potrzebie rzeczywistego zapewnienia dostępności w projekcie dla wszystkich użytkowników, nie wykluczając żadnej grupy osób. Zapisy we wnioskach </w:t>
      </w:r>
      <w:r w:rsidR="00284DFD">
        <w:rPr>
          <w:rFonts w:ascii="Arial" w:hAnsi="Arial" w:cs="Arial"/>
          <w:color w:val="000000" w:themeColor="text1"/>
        </w:rPr>
        <w:br/>
      </w:r>
      <w:r w:rsidR="0035762A" w:rsidRPr="00A246E4">
        <w:rPr>
          <w:rFonts w:ascii="Arial" w:hAnsi="Arial" w:cs="Arial"/>
          <w:color w:val="000000" w:themeColor="text1"/>
        </w:rPr>
        <w:t xml:space="preserve">o dofinansowanie w dużej mierze mają charakter deklaracji i nie wskazują, jakie działania wnioskodawca planuje podjąć, aby zapewnić dostępność. Wynika to </w:t>
      </w:r>
      <w:r w:rsidR="0001448E">
        <w:rPr>
          <w:rFonts w:ascii="Arial" w:hAnsi="Arial" w:cs="Arial"/>
          <w:color w:val="000000" w:themeColor="text1"/>
        </w:rPr>
        <w:br/>
      </w:r>
      <w:r w:rsidR="0035762A" w:rsidRPr="00A246E4">
        <w:rPr>
          <w:rFonts w:ascii="Arial" w:hAnsi="Arial" w:cs="Arial"/>
          <w:color w:val="000000" w:themeColor="text1"/>
        </w:rPr>
        <w:lastRenderedPageBreak/>
        <w:t xml:space="preserve">z braku wystarczającej wiedzy wnioskodawcy, w jaki sposób realizować projekt, aby wszystkie jego produkty/usługi były dostępne </w:t>
      </w:r>
      <w:r w:rsidR="00022E7B" w:rsidRPr="00A246E4">
        <w:rPr>
          <w:rFonts w:ascii="Arial" w:hAnsi="Arial" w:cs="Arial"/>
          <w:color w:val="000000" w:themeColor="text1"/>
        </w:rPr>
        <w:t xml:space="preserve">dla wszystkich użytkowników. Proponowane kryterium daje możliwość wprowadzenia odpowiednich działań </w:t>
      </w:r>
      <w:r w:rsidR="0001448E">
        <w:rPr>
          <w:rFonts w:ascii="Arial" w:hAnsi="Arial" w:cs="Arial"/>
          <w:color w:val="000000" w:themeColor="text1"/>
        </w:rPr>
        <w:br/>
      </w:r>
      <w:r w:rsidR="00022E7B" w:rsidRPr="00A246E4">
        <w:rPr>
          <w:rFonts w:ascii="Arial" w:hAnsi="Arial" w:cs="Arial"/>
          <w:color w:val="000000" w:themeColor="text1"/>
        </w:rPr>
        <w:t xml:space="preserve">w zakresie dostępności przed rozpoczęciem inwestycji i zweryfikowania na zakończenie, czy inwestycja faktycznie spełnia standardy dostępności dla polityki spójności 2021-2027. W obecnej perspektywie każdy kontrolowany projekt będzie sprawdzany również pod kątem spełnienia standardów dostępności. Zgodnie </w:t>
      </w:r>
      <w:r w:rsidR="00A246E4">
        <w:rPr>
          <w:rFonts w:ascii="Arial" w:hAnsi="Arial" w:cs="Arial"/>
          <w:color w:val="000000" w:themeColor="text1"/>
        </w:rPr>
        <w:br/>
      </w:r>
      <w:r w:rsidR="00022E7B" w:rsidRPr="00A246E4">
        <w:rPr>
          <w:rFonts w:ascii="Arial" w:hAnsi="Arial" w:cs="Arial"/>
          <w:color w:val="000000" w:themeColor="text1"/>
        </w:rPr>
        <w:t xml:space="preserve">z umową o dofinansowanie, w przypadku rażących </w:t>
      </w:r>
      <w:r w:rsidR="00A246E4" w:rsidRPr="00A246E4">
        <w:rPr>
          <w:rFonts w:ascii="Arial" w:hAnsi="Arial" w:cs="Arial"/>
          <w:color w:val="000000" w:themeColor="text1"/>
        </w:rPr>
        <w:t xml:space="preserve">naruszeń </w:t>
      </w:r>
      <w:r w:rsidR="00022E7B" w:rsidRPr="00A246E4">
        <w:rPr>
          <w:rFonts w:ascii="Arial" w:hAnsi="Arial" w:cs="Arial"/>
          <w:color w:val="000000" w:themeColor="text1"/>
        </w:rPr>
        <w:t>standardów dostępności, IZ może uznać część wydatków za niekwalifikowalne.</w:t>
      </w:r>
    </w:p>
    <w:p w14:paraId="5548B092" w14:textId="6512CF2D" w:rsidR="00022E7B" w:rsidRPr="00A246E4" w:rsidRDefault="00022E7B" w:rsidP="00284DFD">
      <w:pPr>
        <w:numPr>
          <w:ilvl w:val="0"/>
          <w:numId w:val="28"/>
        </w:numPr>
        <w:spacing w:before="120" w:after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Kosztu audytu, dostępności</w:t>
      </w:r>
      <w:r w:rsidR="00832509" w:rsidRPr="00A246E4">
        <w:rPr>
          <w:rFonts w:ascii="Arial" w:hAnsi="Arial" w:cs="Arial"/>
          <w:color w:val="000000" w:themeColor="text1"/>
        </w:rPr>
        <w:t xml:space="preserve"> i rzetelności</w:t>
      </w:r>
      <w:r w:rsidRPr="00A246E4">
        <w:rPr>
          <w:rFonts w:ascii="Arial" w:hAnsi="Arial" w:cs="Arial"/>
          <w:color w:val="000000" w:themeColor="text1"/>
        </w:rPr>
        <w:t xml:space="preserve"> firm przeprowadzających audyt. </w:t>
      </w:r>
      <w:r w:rsidR="00832509" w:rsidRPr="00A246E4">
        <w:rPr>
          <w:rFonts w:ascii="Arial" w:hAnsi="Arial" w:cs="Arial"/>
          <w:color w:val="000000" w:themeColor="text1"/>
        </w:rPr>
        <w:br/>
        <w:t xml:space="preserve">Wyjaśniono, iż jako IZ określimy wymagania dotyczące doświadczenia </w:t>
      </w:r>
      <w:r w:rsidR="00A246E4">
        <w:rPr>
          <w:rFonts w:ascii="Arial" w:hAnsi="Arial" w:cs="Arial"/>
          <w:color w:val="000000" w:themeColor="text1"/>
        </w:rPr>
        <w:br/>
      </w:r>
      <w:r w:rsidR="00832509" w:rsidRPr="00A246E4">
        <w:rPr>
          <w:rFonts w:ascii="Arial" w:hAnsi="Arial" w:cs="Arial"/>
          <w:color w:val="000000" w:themeColor="text1"/>
        </w:rPr>
        <w:t xml:space="preserve">i kompetencji audytora dostępności oraz zobowiążemy, by każdy audyt został wykonany przy zaangażowaniu osób z niepełnosprawnościami. Obecnie na rynku jest wiele firm, które oferują przeprowadzenie audytu. Czas przygotowania audytu to maksymalnie okres 1 miesiąca czasu, zwykle to czas 14 dni. Koszt audytu zależy od jego zakresu. Poza wymaganiami dotyczącymi audytora, zostanie przygotowany wzór struktury raportu. Informacje te będą </w:t>
      </w:r>
      <w:r w:rsidR="00F208F8" w:rsidRPr="00A246E4">
        <w:rPr>
          <w:rFonts w:ascii="Arial" w:hAnsi="Arial" w:cs="Arial"/>
          <w:color w:val="000000" w:themeColor="text1"/>
        </w:rPr>
        <w:t xml:space="preserve">stanowiły </w:t>
      </w:r>
      <w:r w:rsidR="00832509" w:rsidRPr="00A246E4">
        <w:rPr>
          <w:rFonts w:ascii="Arial" w:hAnsi="Arial" w:cs="Arial"/>
          <w:color w:val="000000" w:themeColor="text1"/>
        </w:rPr>
        <w:t>częś</w:t>
      </w:r>
      <w:r w:rsidR="00F208F8" w:rsidRPr="00A246E4">
        <w:rPr>
          <w:rFonts w:ascii="Arial" w:hAnsi="Arial" w:cs="Arial"/>
          <w:color w:val="000000" w:themeColor="text1"/>
        </w:rPr>
        <w:t>ć</w:t>
      </w:r>
      <w:r w:rsidR="00832509" w:rsidRPr="00A246E4">
        <w:rPr>
          <w:rFonts w:ascii="Arial" w:hAnsi="Arial" w:cs="Arial"/>
          <w:color w:val="000000" w:themeColor="text1"/>
        </w:rPr>
        <w:t xml:space="preserve"> dokumentacji </w:t>
      </w:r>
      <w:proofErr w:type="spellStart"/>
      <w:r w:rsidR="00832509" w:rsidRPr="00A246E4">
        <w:rPr>
          <w:rFonts w:ascii="Arial" w:hAnsi="Arial" w:cs="Arial"/>
          <w:color w:val="000000" w:themeColor="text1"/>
        </w:rPr>
        <w:t>naborowej</w:t>
      </w:r>
      <w:proofErr w:type="spellEnd"/>
      <w:r w:rsidR="00832509" w:rsidRPr="00A246E4">
        <w:rPr>
          <w:rFonts w:ascii="Arial" w:hAnsi="Arial" w:cs="Arial"/>
          <w:color w:val="000000" w:themeColor="text1"/>
        </w:rPr>
        <w:t xml:space="preserve">. Zostaną również odpowiednio wcześniej opublikowane </w:t>
      </w:r>
      <w:r w:rsidR="0001448E">
        <w:rPr>
          <w:rFonts w:ascii="Arial" w:hAnsi="Arial" w:cs="Arial"/>
          <w:color w:val="000000" w:themeColor="text1"/>
        </w:rPr>
        <w:br/>
      </w:r>
      <w:r w:rsidR="00832509" w:rsidRPr="00A246E4">
        <w:rPr>
          <w:rFonts w:ascii="Arial" w:hAnsi="Arial" w:cs="Arial"/>
          <w:color w:val="000000" w:themeColor="text1"/>
        </w:rPr>
        <w:t xml:space="preserve">i podane do informacji dla wszystkich osób, które będą chciały </w:t>
      </w:r>
      <w:r w:rsidR="00695164" w:rsidRPr="00A246E4">
        <w:rPr>
          <w:rFonts w:ascii="Arial" w:hAnsi="Arial" w:cs="Arial"/>
          <w:color w:val="000000" w:themeColor="text1"/>
        </w:rPr>
        <w:t>aplikować</w:t>
      </w:r>
      <w:r w:rsidR="00832509" w:rsidRPr="00A246E4">
        <w:rPr>
          <w:rFonts w:ascii="Arial" w:hAnsi="Arial" w:cs="Arial"/>
          <w:color w:val="000000" w:themeColor="text1"/>
        </w:rPr>
        <w:t xml:space="preserve"> </w:t>
      </w:r>
      <w:r w:rsidR="0001448E">
        <w:rPr>
          <w:rFonts w:ascii="Arial" w:hAnsi="Arial" w:cs="Arial"/>
          <w:color w:val="000000" w:themeColor="text1"/>
        </w:rPr>
        <w:br/>
      </w:r>
      <w:r w:rsidR="00832509" w:rsidRPr="00A246E4">
        <w:rPr>
          <w:rFonts w:ascii="Arial" w:hAnsi="Arial" w:cs="Arial"/>
          <w:color w:val="000000" w:themeColor="text1"/>
        </w:rPr>
        <w:t xml:space="preserve">o dofinansowanie z funduszy UE. </w:t>
      </w:r>
      <w:r w:rsidR="00D313C5" w:rsidRPr="00A246E4">
        <w:rPr>
          <w:rFonts w:ascii="Arial" w:hAnsi="Arial" w:cs="Arial"/>
          <w:color w:val="000000" w:themeColor="text1"/>
        </w:rPr>
        <w:t>Na temat opisanych wyżej dokumentów, zgodnie z deklaracją IZ, będziemy rozmawiać  na kolejnym posiedzeniu Grupy.</w:t>
      </w:r>
    </w:p>
    <w:p w14:paraId="579DEF1F" w14:textId="54B14949" w:rsidR="00832509" w:rsidRPr="00A246E4" w:rsidRDefault="001604E1" w:rsidP="00284DFD">
      <w:pPr>
        <w:numPr>
          <w:ilvl w:val="0"/>
          <w:numId w:val="28"/>
        </w:numPr>
        <w:spacing w:before="120" w:after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Obowiązku, aby audyt ekspercki dostępności był przeprowadzony przy współudziale osób z niepełnosprawnościami lub organizacji działających na rzecz osób z niepełnosprawnościami. </w:t>
      </w:r>
      <w:r w:rsidRPr="00A246E4">
        <w:rPr>
          <w:rFonts w:ascii="Arial" w:hAnsi="Arial" w:cs="Arial"/>
          <w:color w:val="000000" w:themeColor="text1"/>
        </w:rPr>
        <w:br/>
        <w:t xml:space="preserve">Wyjaśniono, iż perspektywa osób z niepełnosprawnościami zaangażowanych </w:t>
      </w:r>
      <w:r w:rsidR="0001448E">
        <w:rPr>
          <w:rFonts w:ascii="Arial" w:hAnsi="Arial" w:cs="Arial"/>
          <w:color w:val="000000" w:themeColor="text1"/>
        </w:rPr>
        <w:br/>
      </w:r>
      <w:r w:rsidRPr="00A246E4">
        <w:rPr>
          <w:rFonts w:ascii="Arial" w:hAnsi="Arial" w:cs="Arial"/>
          <w:color w:val="000000" w:themeColor="text1"/>
        </w:rPr>
        <w:t xml:space="preserve">w audyty dostępności jest kluczowa, ponieważ to osoby z niepełnosprawnościami na co dzień doświadczają barier i najlepiej ocenią, czy dane rozwiązania są rzeczywiście funkcjonalne i komfortowe. Osoby z niepełnosprawnościami dostarczają praktycznych informacji o realnych trudnościach, testują rozwiązania </w:t>
      </w:r>
      <w:r w:rsidR="0001448E">
        <w:rPr>
          <w:rFonts w:ascii="Arial" w:hAnsi="Arial" w:cs="Arial"/>
          <w:color w:val="000000" w:themeColor="text1"/>
        </w:rPr>
        <w:br/>
      </w:r>
      <w:r w:rsidR="00695164" w:rsidRPr="00A246E4">
        <w:rPr>
          <w:rFonts w:ascii="Arial" w:hAnsi="Arial" w:cs="Arial"/>
          <w:color w:val="000000" w:themeColor="text1"/>
        </w:rPr>
        <w:t>i często</w:t>
      </w:r>
      <w:r w:rsidRPr="00A246E4">
        <w:rPr>
          <w:rFonts w:ascii="Arial" w:hAnsi="Arial" w:cs="Arial"/>
          <w:color w:val="000000" w:themeColor="text1"/>
        </w:rPr>
        <w:t xml:space="preserve"> są ekspertami dostępności.</w:t>
      </w:r>
    </w:p>
    <w:p w14:paraId="3FA314BC" w14:textId="536AD2C0" w:rsidR="00893728" w:rsidRPr="00A246E4" w:rsidRDefault="001604E1" w:rsidP="00284DFD">
      <w:pPr>
        <w:numPr>
          <w:ilvl w:val="0"/>
          <w:numId w:val="28"/>
        </w:numPr>
        <w:spacing w:before="120" w:after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Limitu: „Wydatki na dostępność”.</w:t>
      </w:r>
      <w:r w:rsidRPr="00A246E4">
        <w:rPr>
          <w:rFonts w:ascii="Arial" w:hAnsi="Arial" w:cs="Arial"/>
          <w:color w:val="000000" w:themeColor="text1"/>
        </w:rPr>
        <w:br/>
        <w:t xml:space="preserve">Wyjaśniono, iż nie ma przewidzianego limitu „wydatków na dostępność”, chyba, że taki został określony w regulaminie naboru. Wydatki na dostępność muszą zawsze wynikać </w:t>
      </w:r>
      <w:r w:rsidR="00893728" w:rsidRPr="00A246E4">
        <w:rPr>
          <w:rFonts w:ascii="Arial" w:hAnsi="Arial" w:cs="Arial"/>
          <w:color w:val="000000" w:themeColor="text1"/>
        </w:rPr>
        <w:t xml:space="preserve">z celu projektu, być spójne z zadaniami, które będą w projekcie realizowane i dostosowane do możliwości budżetowych w projekcie. Wydatki na </w:t>
      </w:r>
      <w:r w:rsidR="00893728" w:rsidRPr="00A246E4">
        <w:rPr>
          <w:rFonts w:ascii="Arial" w:hAnsi="Arial" w:cs="Arial"/>
          <w:color w:val="000000" w:themeColor="text1"/>
        </w:rPr>
        <w:lastRenderedPageBreak/>
        <w:t>dostępność muszą być racjonalnie oszacowane</w:t>
      </w:r>
      <w:r w:rsidR="00613AA6" w:rsidRPr="00A246E4">
        <w:rPr>
          <w:rFonts w:ascii="Arial" w:hAnsi="Arial" w:cs="Arial"/>
          <w:color w:val="000000" w:themeColor="text1"/>
        </w:rPr>
        <w:t xml:space="preserve">, </w:t>
      </w:r>
      <w:r w:rsidR="00893728" w:rsidRPr="00A246E4">
        <w:rPr>
          <w:rFonts w:ascii="Arial" w:hAnsi="Arial" w:cs="Arial"/>
          <w:color w:val="000000" w:themeColor="text1"/>
        </w:rPr>
        <w:t xml:space="preserve">zapewniać dostępność oraz </w:t>
      </w:r>
      <w:r w:rsidR="00613AA6" w:rsidRPr="00A246E4">
        <w:rPr>
          <w:rFonts w:ascii="Arial" w:hAnsi="Arial" w:cs="Arial"/>
          <w:color w:val="000000" w:themeColor="text1"/>
        </w:rPr>
        <w:t xml:space="preserve">muszą być </w:t>
      </w:r>
      <w:r w:rsidR="00893728" w:rsidRPr="00A246E4">
        <w:rPr>
          <w:rFonts w:ascii="Arial" w:hAnsi="Arial" w:cs="Arial"/>
          <w:color w:val="000000" w:themeColor="text1"/>
        </w:rPr>
        <w:t>zgodn</w:t>
      </w:r>
      <w:r w:rsidR="00613AA6" w:rsidRPr="00A246E4">
        <w:rPr>
          <w:rFonts w:ascii="Arial" w:hAnsi="Arial" w:cs="Arial"/>
          <w:color w:val="000000" w:themeColor="text1"/>
        </w:rPr>
        <w:t xml:space="preserve">e </w:t>
      </w:r>
      <w:r w:rsidR="00893728" w:rsidRPr="00A246E4">
        <w:rPr>
          <w:rFonts w:ascii="Arial" w:hAnsi="Arial" w:cs="Arial"/>
          <w:color w:val="000000" w:themeColor="text1"/>
        </w:rPr>
        <w:t>ze standardami dostępności dla polityki spójności 2021-2027 lub inn</w:t>
      </w:r>
      <w:r w:rsidR="00ED46B3">
        <w:rPr>
          <w:rFonts w:ascii="Arial" w:hAnsi="Arial" w:cs="Arial"/>
          <w:color w:val="000000" w:themeColor="text1"/>
        </w:rPr>
        <w:t>ym</w:t>
      </w:r>
      <w:r w:rsidR="00893728" w:rsidRPr="00A246E4">
        <w:rPr>
          <w:rFonts w:ascii="Arial" w:hAnsi="Arial" w:cs="Arial"/>
          <w:color w:val="000000" w:themeColor="text1"/>
        </w:rPr>
        <w:t xml:space="preserve"> standard</w:t>
      </w:r>
      <w:r w:rsidR="00ED46B3">
        <w:rPr>
          <w:rFonts w:ascii="Arial" w:hAnsi="Arial" w:cs="Arial"/>
          <w:color w:val="000000" w:themeColor="text1"/>
        </w:rPr>
        <w:t>em</w:t>
      </w:r>
      <w:r w:rsidR="00893728" w:rsidRPr="00A246E4">
        <w:rPr>
          <w:rFonts w:ascii="Arial" w:hAnsi="Arial" w:cs="Arial"/>
          <w:color w:val="000000" w:themeColor="text1"/>
        </w:rPr>
        <w:t xml:space="preserve"> dostępności określon</w:t>
      </w:r>
      <w:r w:rsidR="00ED46B3">
        <w:rPr>
          <w:rFonts w:ascii="Arial" w:hAnsi="Arial" w:cs="Arial"/>
          <w:color w:val="000000" w:themeColor="text1"/>
        </w:rPr>
        <w:t>ym</w:t>
      </w:r>
      <w:r w:rsidR="00893728" w:rsidRPr="00A246E4">
        <w:rPr>
          <w:rFonts w:ascii="Arial" w:hAnsi="Arial" w:cs="Arial"/>
          <w:color w:val="000000" w:themeColor="text1"/>
        </w:rPr>
        <w:t xml:space="preserve"> we wskazanym przez wnioskodawcę dokumencie właściwym dla danego rodzaju wsparcia zamieszczonym na stronie internetowej programu </w:t>
      </w:r>
      <w:hyperlink r:id="rId8" w:history="1">
        <w:r w:rsidR="00893728" w:rsidRPr="00A246E4">
          <w:rPr>
            <w:rStyle w:val="Hipercze"/>
            <w:rFonts w:ascii="Arial" w:hAnsi="Arial" w:cs="Arial"/>
            <w:color w:val="000000" w:themeColor="text1"/>
          </w:rPr>
          <w:t>Dostępność Plus</w:t>
        </w:r>
      </w:hyperlink>
      <w:r w:rsidR="00893728" w:rsidRPr="00A246E4">
        <w:rPr>
          <w:rFonts w:ascii="Arial" w:hAnsi="Arial" w:cs="Arial"/>
          <w:color w:val="000000" w:themeColor="text1"/>
        </w:rPr>
        <w:t>.</w:t>
      </w:r>
    </w:p>
    <w:p w14:paraId="3F59CBD0" w14:textId="74DBDA5F" w:rsidR="00893728" w:rsidRPr="00A246E4" w:rsidRDefault="00F208F8" w:rsidP="00284DFD">
      <w:pPr>
        <w:numPr>
          <w:ilvl w:val="0"/>
          <w:numId w:val="28"/>
        </w:numPr>
        <w:spacing w:before="120" w:after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Zasadności wprowadzenia kryterium audytu dla projektów, które będą współfinansowane z funduszu EFS+. W toku dyskusji ustalono, iż temat ten zostanie jeszcze przedyskutowany w ramach IZ i IP</w:t>
      </w:r>
      <w:r w:rsidR="00613AA6" w:rsidRPr="00A246E4">
        <w:rPr>
          <w:rFonts w:ascii="Arial" w:hAnsi="Arial" w:cs="Arial"/>
          <w:color w:val="000000" w:themeColor="text1"/>
        </w:rPr>
        <w:t>, a następnie omówiony na kolejnym posiedzeniu Grupy</w:t>
      </w:r>
      <w:r w:rsidRPr="00A246E4">
        <w:rPr>
          <w:rFonts w:ascii="Arial" w:hAnsi="Arial" w:cs="Arial"/>
          <w:color w:val="000000" w:themeColor="text1"/>
        </w:rPr>
        <w:t>.</w:t>
      </w:r>
    </w:p>
    <w:p w14:paraId="10B3A58D" w14:textId="3DEFC2CF" w:rsidR="00F208F8" w:rsidRPr="00A246E4" w:rsidRDefault="00695164" w:rsidP="00284DFD">
      <w:pPr>
        <w:numPr>
          <w:ilvl w:val="0"/>
          <w:numId w:val="28"/>
        </w:numPr>
        <w:spacing w:before="120" w:after="120" w:line="360" w:lineRule="auto"/>
        <w:ind w:left="284" w:hanging="284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>W kwestii o</w:t>
      </w:r>
      <w:r w:rsidR="00F208F8" w:rsidRPr="00A246E4">
        <w:rPr>
          <w:rFonts w:ascii="Arial" w:hAnsi="Arial" w:cs="Arial"/>
          <w:color w:val="000000" w:themeColor="text1"/>
        </w:rPr>
        <w:t>stateczn</w:t>
      </w:r>
      <w:r w:rsidRPr="00A246E4">
        <w:rPr>
          <w:rFonts w:ascii="Arial" w:hAnsi="Arial" w:cs="Arial"/>
          <w:color w:val="000000" w:themeColor="text1"/>
        </w:rPr>
        <w:t>ych</w:t>
      </w:r>
      <w:r w:rsidR="00F208F8" w:rsidRPr="00A246E4">
        <w:rPr>
          <w:rFonts w:ascii="Arial" w:hAnsi="Arial" w:cs="Arial"/>
          <w:color w:val="000000" w:themeColor="text1"/>
        </w:rPr>
        <w:t xml:space="preserve"> warunk</w:t>
      </w:r>
      <w:r w:rsidRPr="00A246E4">
        <w:rPr>
          <w:rFonts w:ascii="Arial" w:hAnsi="Arial" w:cs="Arial"/>
          <w:color w:val="000000" w:themeColor="text1"/>
        </w:rPr>
        <w:t>ów</w:t>
      </w:r>
      <w:r w:rsidR="00F208F8" w:rsidRPr="00A246E4">
        <w:rPr>
          <w:rFonts w:ascii="Arial" w:hAnsi="Arial" w:cs="Arial"/>
          <w:color w:val="000000" w:themeColor="text1"/>
        </w:rPr>
        <w:t>, zakres</w:t>
      </w:r>
      <w:r w:rsidRPr="00A246E4">
        <w:rPr>
          <w:rFonts w:ascii="Arial" w:hAnsi="Arial" w:cs="Arial"/>
          <w:color w:val="000000" w:themeColor="text1"/>
        </w:rPr>
        <w:t>u</w:t>
      </w:r>
      <w:r w:rsidR="00F208F8" w:rsidRPr="00A246E4">
        <w:rPr>
          <w:rFonts w:ascii="Arial" w:hAnsi="Arial" w:cs="Arial"/>
          <w:color w:val="000000" w:themeColor="text1"/>
        </w:rPr>
        <w:t xml:space="preserve"> kryterium, czas</w:t>
      </w:r>
      <w:r w:rsidRPr="00A246E4">
        <w:rPr>
          <w:rFonts w:ascii="Arial" w:hAnsi="Arial" w:cs="Arial"/>
          <w:color w:val="000000" w:themeColor="text1"/>
        </w:rPr>
        <w:t>u</w:t>
      </w:r>
      <w:r w:rsidR="00F208F8" w:rsidRPr="00A246E4">
        <w:rPr>
          <w:rFonts w:ascii="Arial" w:hAnsi="Arial" w:cs="Arial"/>
          <w:color w:val="000000" w:themeColor="text1"/>
        </w:rPr>
        <w:t xml:space="preserve"> wdrożenia kryterium oraz dla jakich naborów to kryterium będzie dedykowane ustalono, iż </w:t>
      </w:r>
      <w:r w:rsidRPr="00A246E4">
        <w:rPr>
          <w:rFonts w:ascii="Arial" w:hAnsi="Arial" w:cs="Arial"/>
          <w:color w:val="000000" w:themeColor="text1"/>
        </w:rPr>
        <w:t>tematy te zostaną poddane dyskusji na kolejnym posiedzeniu Grupy roboczej do spraw realizacji zasad równościowych w programie FEdKP 2021-2027.</w:t>
      </w:r>
    </w:p>
    <w:p w14:paraId="37D9FC4A" w14:textId="5D301636" w:rsidR="00EB5928" w:rsidRPr="00A246E4" w:rsidRDefault="00695164" w:rsidP="00EB5928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Podsumowując, </w:t>
      </w:r>
      <w:r w:rsidR="004C09E8" w:rsidRPr="00A246E4">
        <w:rPr>
          <w:rFonts w:ascii="Arial" w:hAnsi="Arial" w:cs="Arial"/>
          <w:color w:val="000000" w:themeColor="text1"/>
        </w:rPr>
        <w:t>Grupa pozytywnie</w:t>
      </w:r>
      <w:r w:rsidR="000E4F2F" w:rsidRPr="00A246E4">
        <w:rPr>
          <w:rFonts w:ascii="Arial" w:hAnsi="Arial" w:cs="Arial"/>
          <w:color w:val="000000" w:themeColor="text1"/>
        </w:rPr>
        <w:t xml:space="preserve"> </w:t>
      </w:r>
      <w:r w:rsidR="004C09E8" w:rsidRPr="00A246E4">
        <w:rPr>
          <w:rFonts w:ascii="Arial" w:hAnsi="Arial" w:cs="Arial"/>
          <w:color w:val="000000" w:themeColor="text1"/>
        </w:rPr>
        <w:t xml:space="preserve">zarekomendowała inicjatywę wprowadzenia </w:t>
      </w:r>
      <w:r w:rsidR="000E4F2F" w:rsidRPr="00A246E4">
        <w:rPr>
          <w:rFonts w:ascii="Arial" w:hAnsi="Arial" w:cs="Arial"/>
          <w:color w:val="000000" w:themeColor="text1"/>
        </w:rPr>
        <w:t>nowego kryterium wyboru projektów</w:t>
      </w:r>
      <w:r w:rsidR="004C09E8" w:rsidRPr="00A246E4">
        <w:rPr>
          <w:rFonts w:ascii="Arial" w:hAnsi="Arial" w:cs="Arial"/>
          <w:color w:val="000000" w:themeColor="text1"/>
        </w:rPr>
        <w:t xml:space="preserve"> „Audyt – projekt w sposób kompleksowy uwzględnia potrzeby osób ze szczególnymi potrzebami”</w:t>
      </w:r>
      <w:r w:rsidR="000E4F2F" w:rsidRPr="00A246E4">
        <w:rPr>
          <w:rFonts w:ascii="Arial" w:hAnsi="Arial" w:cs="Arial"/>
          <w:color w:val="000000" w:themeColor="text1"/>
        </w:rPr>
        <w:t>.</w:t>
      </w:r>
    </w:p>
    <w:p w14:paraId="73D0A8B1" w14:textId="7CB6F581" w:rsidR="00333117" w:rsidRPr="00A246E4" w:rsidRDefault="006F6A46" w:rsidP="00613AA6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A246E4">
        <w:rPr>
          <w:rFonts w:ascii="Arial" w:hAnsi="Arial" w:cs="Arial"/>
          <w:color w:val="000000" w:themeColor="text1"/>
        </w:rPr>
        <w:t xml:space="preserve">Stanowisko zostanie przekazane Komitetowi Monitorującemu </w:t>
      </w:r>
      <w:r w:rsidR="00DC5803" w:rsidRPr="00A246E4">
        <w:rPr>
          <w:rFonts w:ascii="Arial" w:hAnsi="Arial" w:cs="Arial"/>
          <w:color w:val="000000" w:themeColor="text1"/>
        </w:rPr>
        <w:t>FEdKP 2021-2027</w:t>
      </w:r>
      <w:r w:rsidR="00613AA6" w:rsidRPr="00A246E4">
        <w:rPr>
          <w:rFonts w:ascii="Arial" w:hAnsi="Arial" w:cs="Arial"/>
          <w:color w:val="000000" w:themeColor="text1"/>
        </w:rPr>
        <w:t>.</w:t>
      </w:r>
    </w:p>
    <w:sectPr w:rsidR="00333117" w:rsidRPr="00A246E4" w:rsidSect="0049105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8515C" w14:textId="77777777" w:rsidR="004B46A5" w:rsidRDefault="004B46A5" w:rsidP="00E60C15">
      <w:r>
        <w:separator/>
      </w:r>
    </w:p>
  </w:endnote>
  <w:endnote w:type="continuationSeparator" w:id="0">
    <w:p w14:paraId="17D7963B" w14:textId="77777777" w:rsidR="004B46A5" w:rsidRDefault="004B46A5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CAB27" w14:textId="77777777" w:rsidR="004B46A5" w:rsidRDefault="004B46A5" w:rsidP="00E60C15">
      <w:r>
        <w:separator/>
      </w:r>
    </w:p>
  </w:footnote>
  <w:footnote w:type="continuationSeparator" w:id="0">
    <w:p w14:paraId="2E302DB6" w14:textId="77777777" w:rsidR="004B46A5" w:rsidRDefault="004B46A5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B6CB9"/>
    <w:multiLevelType w:val="hybridMultilevel"/>
    <w:tmpl w:val="9F58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9626D"/>
    <w:multiLevelType w:val="hybridMultilevel"/>
    <w:tmpl w:val="672C6B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17CFC"/>
    <w:multiLevelType w:val="hybridMultilevel"/>
    <w:tmpl w:val="DED6484A"/>
    <w:lvl w:ilvl="0" w:tplc="4788A7E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77E9"/>
    <w:multiLevelType w:val="hybridMultilevel"/>
    <w:tmpl w:val="E45A1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EC662D"/>
    <w:multiLevelType w:val="hybridMultilevel"/>
    <w:tmpl w:val="EC54E1C2"/>
    <w:lvl w:ilvl="0" w:tplc="87C033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8261E"/>
    <w:multiLevelType w:val="hybridMultilevel"/>
    <w:tmpl w:val="6362305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-4944" w:hanging="360"/>
      </w:pPr>
      <w:rPr>
        <w:rFonts w:ascii="Symbol" w:hAnsi="Symbol" w:hint="default"/>
        <w:vertAlign w:val="superscript"/>
      </w:rPr>
    </w:lvl>
    <w:lvl w:ilvl="1" w:tplc="04150003">
      <w:start w:val="1"/>
      <w:numFmt w:val="bullet"/>
      <w:lvlText w:val="o"/>
      <w:lvlJc w:val="left"/>
      <w:pPr>
        <w:ind w:left="-42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-35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-27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-20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-13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-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6" w:hanging="360"/>
      </w:pPr>
      <w:rPr>
        <w:rFonts w:ascii="Wingdings" w:hAnsi="Wingdings" w:hint="default"/>
      </w:rPr>
    </w:lvl>
  </w:abstractNum>
  <w:abstractNum w:abstractNumId="14" w15:restartNumberingAfterBreak="0">
    <w:nsid w:val="40857FB4"/>
    <w:multiLevelType w:val="hybridMultilevel"/>
    <w:tmpl w:val="57247496"/>
    <w:lvl w:ilvl="0" w:tplc="0C428E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297D4C"/>
    <w:multiLevelType w:val="hybridMultilevel"/>
    <w:tmpl w:val="2AF2F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54673"/>
    <w:multiLevelType w:val="hybridMultilevel"/>
    <w:tmpl w:val="BFCC99DA"/>
    <w:lvl w:ilvl="0" w:tplc="4BD4991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75DCC"/>
    <w:multiLevelType w:val="hybridMultilevel"/>
    <w:tmpl w:val="6324B204"/>
    <w:lvl w:ilvl="0" w:tplc="4BD499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CAE1B7C"/>
    <w:multiLevelType w:val="hybridMultilevel"/>
    <w:tmpl w:val="1016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580738">
    <w:abstractNumId w:val="20"/>
  </w:num>
  <w:num w:numId="2" w16cid:durableId="675378737">
    <w:abstractNumId w:val="19"/>
  </w:num>
  <w:num w:numId="3" w16cid:durableId="430470434">
    <w:abstractNumId w:val="12"/>
  </w:num>
  <w:num w:numId="4" w16cid:durableId="1718970252">
    <w:abstractNumId w:val="2"/>
  </w:num>
  <w:num w:numId="5" w16cid:durableId="597834048">
    <w:abstractNumId w:val="24"/>
  </w:num>
  <w:num w:numId="6" w16cid:durableId="171335969">
    <w:abstractNumId w:val="6"/>
  </w:num>
  <w:num w:numId="7" w16cid:durableId="193232501">
    <w:abstractNumId w:val="11"/>
  </w:num>
  <w:num w:numId="8" w16cid:durableId="7973385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9961539">
    <w:abstractNumId w:val="21"/>
  </w:num>
  <w:num w:numId="10" w16cid:durableId="1016154129">
    <w:abstractNumId w:val="18"/>
  </w:num>
  <w:num w:numId="11" w16cid:durableId="1727029146">
    <w:abstractNumId w:val="17"/>
  </w:num>
  <w:num w:numId="12" w16cid:durableId="17045971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78806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2650336">
    <w:abstractNumId w:val="23"/>
  </w:num>
  <w:num w:numId="15" w16cid:durableId="1166479060">
    <w:abstractNumId w:val="5"/>
  </w:num>
  <w:num w:numId="16" w16cid:durableId="2115051322">
    <w:abstractNumId w:val="8"/>
  </w:num>
  <w:num w:numId="17" w16cid:durableId="591472229">
    <w:abstractNumId w:val="15"/>
  </w:num>
  <w:num w:numId="18" w16cid:durableId="396707935">
    <w:abstractNumId w:val="9"/>
  </w:num>
  <w:num w:numId="19" w16cid:durableId="416288392">
    <w:abstractNumId w:val="4"/>
  </w:num>
  <w:num w:numId="20" w16cid:durableId="993681517">
    <w:abstractNumId w:val="0"/>
  </w:num>
  <w:num w:numId="21" w16cid:durableId="152449910">
    <w:abstractNumId w:val="3"/>
  </w:num>
  <w:num w:numId="22" w16cid:durableId="1742867462">
    <w:abstractNumId w:val="25"/>
  </w:num>
  <w:num w:numId="23" w16cid:durableId="23216052">
    <w:abstractNumId w:val="14"/>
  </w:num>
  <w:num w:numId="24" w16cid:durableId="785734356">
    <w:abstractNumId w:val="13"/>
  </w:num>
  <w:num w:numId="25" w16cid:durableId="1221013610">
    <w:abstractNumId w:val="22"/>
  </w:num>
  <w:num w:numId="26" w16cid:durableId="320934340">
    <w:abstractNumId w:val="16"/>
  </w:num>
  <w:num w:numId="27" w16cid:durableId="837116387">
    <w:abstractNumId w:val="1"/>
  </w:num>
  <w:num w:numId="28" w16cid:durableId="13326379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7DB8"/>
    <w:rsid w:val="0001169C"/>
    <w:rsid w:val="00013BD1"/>
    <w:rsid w:val="0001448E"/>
    <w:rsid w:val="00016AEA"/>
    <w:rsid w:val="00022E7B"/>
    <w:rsid w:val="0002701C"/>
    <w:rsid w:val="00027475"/>
    <w:rsid w:val="00031132"/>
    <w:rsid w:val="00036052"/>
    <w:rsid w:val="00040F68"/>
    <w:rsid w:val="00041624"/>
    <w:rsid w:val="00045361"/>
    <w:rsid w:val="00045C2B"/>
    <w:rsid w:val="000500AD"/>
    <w:rsid w:val="00055700"/>
    <w:rsid w:val="00057A48"/>
    <w:rsid w:val="00084C22"/>
    <w:rsid w:val="00092D89"/>
    <w:rsid w:val="00094A6C"/>
    <w:rsid w:val="000962D4"/>
    <w:rsid w:val="000A0F6C"/>
    <w:rsid w:val="000A1EF1"/>
    <w:rsid w:val="000A61B9"/>
    <w:rsid w:val="000B55DB"/>
    <w:rsid w:val="000C2012"/>
    <w:rsid w:val="000C5DC2"/>
    <w:rsid w:val="000D214E"/>
    <w:rsid w:val="000D21CC"/>
    <w:rsid w:val="000D38E1"/>
    <w:rsid w:val="000D4ECA"/>
    <w:rsid w:val="000E13E8"/>
    <w:rsid w:val="000E45C5"/>
    <w:rsid w:val="000E4F2F"/>
    <w:rsid w:val="000E5834"/>
    <w:rsid w:val="000F1330"/>
    <w:rsid w:val="00105E74"/>
    <w:rsid w:val="00115713"/>
    <w:rsid w:val="00122966"/>
    <w:rsid w:val="00122C1C"/>
    <w:rsid w:val="00123DB5"/>
    <w:rsid w:val="00124DFE"/>
    <w:rsid w:val="001311E4"/>
    <w:rsid w:val="00136038"/>
    <w:rsid w:val="00136A8A"/>
    <w:rsid w:val="00140B98"/>
    <w:rsid w:val="0014262E"/>
    <w:rsid w:val="00146A0E"/>
    <w:rsid w:val="00150B90"/>
    <w:rsid w:val="00156E06"/>
    <w:rsid w:val="001604E1"/>
    <w:rsid w:val="00164D43"/>
    <w:rsid w:val="001664EB"/>
    <w:rsid w:val="00180E1A"/>
    <w:rsid w:val="0018679A"/>
    <w:rsid w:val="001958C6"/>
    <w:rsid w:val="001A0D55"/>
    <w:rsid w:val="001B479B"/>
    <w:rsid w:val="001B5F2D"/>
    <w:rsid w:val="001C01D5"/>
    <w:rsid w:val="001C363B"/>
    <w:rsid w:val="001C3E61"/>
    <w:rsid w:val="001D0E91"/>
    <w:rsid w:val="001D557C"/>
    <w:rsid w:val="001F5659"/>
    <w:rsid w:val="00220B24"/>
    <w:rsid w:val="00223243"/>
    <w:rsid w:val="00232BB7"/>
    <w:rsid w:val="00235273"/>
    <w:rsid w:val="00236B59"/>
    <w:rsid w:val="002448BE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002A"/>
    <w:rsid w:val="002823DA"/>
    <w:rsid w:val="00284DFD"/>
    <w:rsid w:val="00287B77"/>
    <w:rsid w:val="00291676"/>
    <w:rsid w:val="002A0F23"/>
    <w:rsid w:val="002A3741"/>
    <w:rsid w:val="002B3A07"/>
    <w:rsid w:val="002B41D3"/>
    <w:rsid w:val="002B6D35"/>
    <w:rsid w:val="002C4734"/>
    <w:rsid w:val="002D67F5"/>
    <w:rsid w:val="002E430B"/>
    <w:rsid w:val="002F18BA"/>
    <w:rsid w:val="002F3F89"/>
    <w:rsid w:val="002F79AC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42A6"/>
    <w:rsid w:val="00331E66"/>
    <w:rsid w:val="00332D2D"/>
    <w:rsid w:val="00333117"/>
    <w:rsid w:val="003343BE"/>
    <w:rsid w:val="00335314"/>
    <w:rsid w:val="00340ABF"/>
    <w:rsid w:val="0034511A"/>
    <w:rsid w:val="0035168D"/>
    <w:rsid w:val="0035411A"/>
    <w:rsid w:val="00355283"/>
    <w:rsid w:val="0035762A"/>
    <w:rsid w:val="00357D58"/>
    <w:rsid w:val="0036709E"/>
    <w:rsid w:val="00373525"/>
    <w:rsid w:val="00375E8C"/>
    <w:rsid w:val="003806CB"/>
    <w:rsid w:val="003977EB"/>
    <w:rsid w:val="003A0C90"/>
    <w:rsid w:val="003A3FA3"/>
    <w:rsid w:val="003B738C"/>
    <w:rsid w:val="003C609B"/>
    <w:rsid w:val="003C6254"/>
    <w:rsid w:val="003C6287"/>
    <w:rsid w:val="003D07F3"/>
    <w:rsid w:val="003D2DCA"/>
    <w:rsid w:val="003D491D"/>
    <w:rsid w:val="00406103"/>
    <w:rsid w:val="00406C57"/>
    <w:rsid w:val="00407515"/>
    <w:rsid w:val="00412E19"/>
    <w:rsid w:val="004159DE"/>
    <w:rsid w:val="00417DFE"/>
    <w:rsid w:val="004223BE"/>
    <w:rsid w:val="00422881"/>
    <w:rsid w:val="004308BF"/>
    <w:rsid w:val="004322F5"/>
    <w:rsid w:val="004404E3"/>
    <w:rsid w:val="00443083"/>
    <w:rsid w:val="004502F4"/>
    <w:rsid w:val="00450319"/>
    <w:rsid w:val="00451ED4"/>
    <w:rsid w:val="00452551"/>
    <w:rsid w:val="004542C1"/>
    <w:rsid w:val="00473BD0"/>
    <w:rsid w:val="0048193D"/>
    <w:rsid w:val="004845A6"/>
    <w:rsid w:val="00486481"/>
    <w:rsid w:val="00490C79"/>
    <w:rsid w:val="00491052"/>
    <w:rsid w:val="004917D0"/>
    <w:rsid w:val="004B3B20"/>
    <w:rsid w:val="004B46A5"/>
    <w:rsid w:val="004C09E8"/>
    <w:rsid w:val="004D3873"/>
    <w:rsid w:val="004D4CF8"/>
    <w:rsid w:val="004D5705"/>
    <w:rsid w:val="004E4D8C"/>
    <w:rsid w:val="005108E9"/>
    <w:rsid w:val="0051280A"/>
    <w:rsid w:val="00515B6E"/>
    <w:rsid w:val="00516D0C"/>
    <w:rsid w:val="00531A63"/>
    <w:rsid w:val="005346C3"/>
    <w:rsid w:val="0054307F"/>
    <w:rsid w:val="00543260"/>
    <w:rsid w:val="005454F7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673B"/>
    <w:rsid w:val="00567074"/>
    <w:rsid w:val="00567955"/>
    <w:rsid w:val="0057220C"/>
    <w:rsid w:val="005905BA"/>
    <w:rsid w:val="00591B9C"/>
    <w:rsid w:val="00592DF3"/>
    <w:rsid w:val="005A52F7"/>
    <w:rsid w:val="005A6999"/>
    <w:rsid w:val="005A6DA4"/>
    <w:rsid w:val="005B3037"/>
    <w:rsid w:val="005B75B7"/>
    <w:rsid w:val="005C0B92"/>
    <w:rsid w:val="005C6359"/>
    <w:rsid w:val="005D7CC2"/>
    <w:rsid w:val="005E06AB"/>
    <w:rsid w:val="005E4F94"/>
    <w:rsid w:val="005F253C"/>
    <w:rsid w:val="005F29C6"/>
    <w:rsid w:val="006024A5"/>
    <w:rsid w:val="00605A97"/>
    <w:rsid w:val="00613AA6"/>
    <w:rsid w:val="00637EBA"/>
    <w:rsid w:val="00642C79"/>
    <w:rsid w:val="006449D7"/>
    <w:rsid w:val="0064550D"/>
    <w:rsid w:val="006469F7"/>
    <w:rsid w:val="0065336E"/>
    <w:rsid w:val="006614D7"/>
    <w:rsid w:val="00664B96"/>
    <w:rsid w:val="00666128"/>
    <w:rsid w:val="00666EFE"/>
    <w:rsid w:val="00672465"/>
    <w:rsid w:val="006769DD"/>
    <w:rsid w:val="00681507"/>
    <w:rsid w:val="00681A64"/>
    <w:rsid w:val="00682D46"/>
    <w:rsid w:val="0068325A"/>
    <w:rsid w:val="00695164"/>
    <w:rsid w:val="006961C6"/>
    <w:rsid w:val="00697C23"/>
    <w:rsid w:val="006A4A4C"/>
    <w:rsid w:val="006B07C1"/>
    <w:rsid w:val="006B0CA1"/>
    <w:rsid w:val="006B3F80"/>
    <w:rsid w:val="006C5224"/>
    <w:rsid w:val="006D245F"/>
    <w:rsid w:val="006D27D7"/>
    <w:rsid w:val="006D499D"/>
    <w:rsid w:val="006D7DCC"/>
    <w:rsid w:val="006F0F36"/>
    <w:rsid w:val="006F6A46"/>
    <w:rsid w:val="00703474"/>
    <w:rsid w:val="0070409A"/>
    <w:rsid w:val="00704FDF"/>
    <w:rsid w:val="00705727"/>
    <w:rsid w:val="00707EC0"/>
    <w:rsid w:val="00710EF4"/>
    <w:rsid w:val="007125B6"/>
    <w:rsid w:val="00714C2E"/>
    <w:rsid w:val="00725645"/>
    <w:rsid w:val="00733BFB"/>
    <w:rsid w:val="00737BEA"/>
    <w:rsid w:val="00750C44"/>
    <w:rsid w:val="00756F96"/>
    <w:rsid w:val="00761643"/>
    <w:rsid w:val="00762C83"/>
    <w:rsid w:val="007701B2"/>
    <w:rsid w:val="00770BD3"/>
    <w:rsid w:val="00773AE7"/>
    <w:rsid w:val="00775FD6"/>
    <w:rsid w:val="00777D20"/>
    <w:rsid w:val="007802F8"/>
    <w:rsid w:val="007807E5"/>
    <w:rsid w:val="00781EFA"/>
    <w:rsid w:val="007822F2"/>
    <w:rsid w:val="00783B36"/>
    <w:rsid w:val="00785042"/>
    <w:rsid w:val="007A5100"/>
    <w:rsid w:val="007A7615"/>
    <w:rsid w:val="007B2515"/>
    <w:rsid w:val="007B5848"/>
    <w:rsid w:val="007C1BFC"/>
    <w:rsid w:val="007C6652"/>
    <w:rsid w:val="007C6B3B"/>
    <w:rsid w:val="007D0345"/>
    <w:rsid w:val="007D2BE4"/>
    <w:rsid w:val="007D42B7"/>
    <w:rsid w:val="007D6992"/>
    <w:rsid w:val="007D7038"/>
    <w:rsid w:val="007E6215"/>
    <w:rsid w:val="007F079F"/>
    <w:rsid w:val="007F34F5"/>
    <w:rsid w:val="007F47E1"/>
    <w:rsid w:val="007F58CC"/>
    <w:rsid w:val="00801333"/>
    <w:rsid w:val="0080184F"/>
    <w:rsid w:val="008027B0"/>
    <w:rsid w:val="00806FB1"/>
    <w:rsid w:val="00815AC2"/>
    <w:rsid w:val="00817D6C"/>
    <w:rsid w:val="008204F2"/>
    <w:rsid w:val="008217D7"/>
    <w:rsid w:val="00824A64"/>
    <w:rsid w:val="008272F2"/>
    <w:rsid w:val="00832509"/>
    <w:rsid w:val="008413BB"/>
    <w:rsid w:val="0084170E"/>
    <w:rsid w:val="00841B85"/>
    <w:rsid w:val="00844407"/>
    <w:rsid w:val="00844536"/>
    <w:rsid w:val="00845839"/>
    <w:rsid w:val="00856E4B"/>
    <w:rsid w:val="0086020C"/>
    <w:rsid w:val="008605EF"/>
    <w:rsid w:val="0086189F"/>
    <w:rsid w:val="00867788"/>
    <w:rsid w:val="0087144B"/>
    <w:rsid w:val="00871E0A"/>
    <w:rsid w:val="00874828"/>
    <w:rsid w:val="00876F32"/>
    <w:rsid w:val="00881DB8"/>
    <w:rsid w:val="00886D73"/>
    <w:rsid w:val="00892130"/>
    <w:rsid w:val="00893728"/>
    <w:rsid w:val="00896C7F"/>
    <w:rsid w:val="0089778D"/>
    <w:rsid w:val="008B2F62"/>
    <w:rsid w:val="008B4B2F"/>
    <w:rsid w:val="008B52A1"/>
    <w:rsid w:val="008C76BF"/>
    <w:rsid w:val="008D4627"/>
    <w:rsid w:val="008D5BB3"/>
    <w:rsid w:val="008F1BD1"/>
    <w:rsid w:val="008F5924"/>
    <w:rsid w:val="00903C7B"/>
    <w:rsid w:val="009147E3"/>
    <w:rsid w:val="00922857"/>
    <w:rsid w:val="00925F7A"/>
    <w:rsid w:val="00933C72"/>
    <w:rsid w:val="00936B59"/>
    <w:rsid w:val="00940A9D"/>
    <w:rsid w:val="009439AF"/>
    <w:rsid w:val="00947B49"/>
    <w:rsid w:val="0096221D"/>
    <w:rsid w:val="0097144B"/>
    <w:rsid w:val="00976B76"/>
    <w:rsid w:val="009777E8"/>
    <w:rsid w:val="00980F85"/>
    <w:rsid w:val="009838F8"/>
    <w:rsid w:val="0098468B"/>
    <w:rsid w:val="00992611"/>
    <w:rsid w:val="00995963"/>
    <w:rsid w:val="009A1F1F"/>
    <w:rsid w:val="009B2B09"/>
    <w:rsid w:val="009B76FF"/>
    <w:rsid w:val="009D324F"/>
    <w:rsid w:val="009E53B6"/>
    <w:rsid w:val="009E5C0D"/>
    <w:rsid w:val="009E5FDC"/>
    <w:rsid w:val="009F5399"/>
    <w:rsid w:val="009F6E62"/>
    <w:rsid w:val="00A01D5D"/>
    <w:rsid w:val="00A1602B"/>
    <w:rsid w:val="00A17718"/>
    <w:rsid w:val="00A213A3"/>
    <w:rsid w:val="00A23087"/>
    <w:rsid w:val="00A246E4"/>
    <w:rsid w:val="00A31D53"/>
    <w:rsid w:val="00A34802"/>
    <w:rsid w:val="00A348C7"/>
    <w:rsid w:val="00A37181"/>
    <w:rsid w:val="00A37684"/>
    <w:rsid w:val="00A43066"/>
    <w:rsid w:val="00A503EC"/>
    <w:rsid w:val="00A50889"/>
    <w:rsid w:val="00A636E5"/>
    <w:rsid w:val="00A64166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6164"/>
    <w:rsid w:val="00A96AD2"/>
    <w:rsid w:val="00A96BDF"/>
    <w:rsid w:val="00AB1A5D"/>
    <w:rsid w:val="00AB5C00"/>
    <w:rsid w:val="00AC4696"/>
    <w:rsid w:val="00AD1A25"/>
    <w:rsid w:val="00AD2B45"/>
    <w:rsid w:val="00AD543A"/>
    <w:rsid w:val="00B03074"/>
    <w:rsid w:val="00B05527"/>
    <w:rsid w:val="00B05546"/>
    <w:rsid w:val="00B238BD"/>
    <w:rsid w:val="00B41AFB"/>
    <w:rsid w:val="00B5002C"/>
    <w:rsid w:val="00B64E9A"/>
    <w:rsid w:val="00B67B96"/>
    <w:rsid w:val="00B70A8F"/>
    <w:rsid w:val="00B734AF"/>
    <w:rsid w:val="00B8258E"/>
    <w:rsid w:val="00B852BE"/>
    <w:rsid w:val="00B90239"/>
    <w:rsid w:val="00B909C1"/>
    <w:rsid w:val="00B910AD"/>
    <w:rsid w:val="00B91179"/>
    <w:rsid w:val="00B9617E"/>
    <w:rsid w:val="00BA26FE"/>
    <w:rsid w:val="00BA453D"/>
    <w:rsid w:val="00BA4ED8"/>
    <w:rsid w:val="00BB0700"/>
    <w:rsid w:val="00BB37A7"/>
    <w:rsid w:val="00BC0949"/>
    <w:rsid w:val="00BC09FD"/>
    <w:rsid w:val="00BC0C55"/>
    <w:rsid w:val="00BC3005"/>
    <w:rsid w:val="00BC32E3"/>
    <w:rsid w:val="00BC65F7"/>
    <w:rsid w:val="00BC68BB"/>
    <w:rsid w:val="00BC718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5D3C"/>
    <w:rsid w:val="00C20AA4"/>
    <w:rsid w:val="00C32209"/>
    <w:rsid w:val="00C33C6D"/>
    <w:rsid w:val="00C34BF5"/>
    <w:rsid w:val="00C51455"/>
    <w:rsid w:val="00C57307"/>
    <w:rsid w:val="00C60A2C"/>
    <w:rsid w:val="00C62A36"/>
    <w:rsid w:val="00C717CD"/>
    <w:rsid w:val="00C7284A"/>
    <w:rsid w:val="00C81EFF"/>
    <w:rsid w:val="00C859CC"/>
    <w:rsid w:val="00C91AAE"/>
    <w:rsid w:val="00CA5293"/>
    <w:rsid w:val="00CA6494"/>
    <w:rsid w:val="00CC5561"/>
    <w:rsid w:val="00CD4ED8"/>
    <w:rsid w:val="00CD59DB"/>
    <w:rsid w:val="00CE2BD3"/>
    <w:rsid w:val="00CE36DD"/>
    <w:rsid w:val="00CE4CEC"/>
    <w:rsid w:val="00CE69B8"/>
    <w:rsid w:val="00CE72CE"/>
    <w:rsid w:val="00CF5CAC"/>
    <w:rsid w:val="00D056F0"/>
    <w:rsid w:val="00D15804"/>
    <w:rsid w:val="00D1626B"/>
    <w:rsid w:val="00D24116"/>
    <w:rsid w:val="00D27FBB"/>
    <w:rsid w:val="00D313C5"/>
    <w:rsid w:val="00D35CFD"/>
    <w:rsid w:val="00D361FE"/>
    <w:rsid w:val="00D437ED"/>
    <w:rsid w:val="00D45FD0"/>
    <w:rsid w:val="00D464F1"/>
    <w:rsid w:val="00D53652"/>
    <w:rsid w:val="00D57C16"/>
    <w:rsid w:val="00D6272E"/>
    <w:rsid w:val="00D64C52"/>
    <w:rsid w:val="00D728FD"/>
    <w:rsid w:val="00D7381B"/>
    <w:rsid w:val="00D7477A"/>
    <w:rsid w:val="00D76F7E"/>
    <w:rsid w:val="00D860F3"/>
    <w:rsid w:val="00D874AF"/>
    <w:rsid w:val="00D90405"/>
    <w:rsid w:val="00D970E9"/>
    <w:rsid w:val="00D97F77"/>
    <w:rsid w:val="00DA2B9C"/>
    <w:rsid w:val="00DA31A4"/>
    <w:rsid w:val="00DA3D52"/>
    <w:rsid w:val="00DB1A6E"/>
    <w:rsid w:val="00DB5789"/>
    <w:rsid w:val="00DB5AC3"/>
    <w:rsid w:val="00DC5803"/>
    <w:rsid w:val="00DC60B6"/>
    <w:rsid w:val="00DD6801"/>
    <w:rsid w:val="00DD6F76"/>
    <w:rsid w:val="00DE154A"/>
    <w:rsid w:val="00DE3603"/>
    <w:rsid w:val="00DE3C9A"/>
    <w:rsid w:val="00DE4E26"/>
    <w:rsid w:val="00DE76CA"/>
    <w:rsid w:val="00DE7A10"/>
    <w:rsid w:val="00DF5585"/>
    <w:rsid w:val="00DF75B8"/>
    <w:rsid w:val="00E04969"/>
    <w:rsid w:val="00E065D2"/>
    <w:rsid w:val="00E10F2B"/>
    <w:rsid w:val="00E20869"/>
    <w:rsid w:val="00E221A6"/>
    <w:rsid w:val="00E23264"/>
    <w:rsid w:val="00E23899"/>
    <w:rsid w:val="00E32F9B"/>
    <w:rsid w:val="00E35606"/>
    <w:rsid w:val="00E43288"/>
    <w:rsid w:val="00E4695D"/>
    <w:rsid w:val="00E55A9F"/>
    <w:rsid w:val="00E60C15"/>
    <w:rsid w:val="00E61742"/>
    <w:rsid w:val="00E649D1"/>
    <w:rsid w:val="00E7617A"/>
    <w:rsid w:val="00E77DA6"/>
    <w:rsid w:val="00E80A6B"/>
    <w:rsid w:val="00E83938"/>
    <w:rsid w:val="00E95DA2"/>
    <w:rsid w:val="00EA4719"/>
    <w:rsid w:val="00EB1051"/>
    <w:rsid w:val="00EB32A9"/>
    <w:rsid w:val="00EB5928"/>
    <w:rsid w:val="00EB604F"/>
    <w:rsid w:val="00EC129B"/>
    <w:rsid w:val="00EC1B5A"/>
    <w:rsid w:val="00EC48B6"/>
    <w:rsid w:val="00EC4F75"/>
    <w:rsid w:val="00EC6C4A"/>
    <w:rsid w:val="00ED016F"/>
    <w:rsid w:val="00ED46B3"/>
    <w:rsid w:val="00ED6886"/>
    <w:rsid w:val="00EE0276"/>
    <w:rsid w:val="00EE10A0"/>
    <w:rsid w:val="00EE25B1"/>
    <w:rsid w:val="00EF6926"/>
    <w:rsid w:val="00F10012"/>
    <w:rsid w:val="00F208F8"/>
    <w:rsid w:val="00F21D21"/>
    <w:rsid w:val="00F3650B"/>
    <w:rsid w:val="00F4708D"/>
    <w:rsid w:val="00F50556"/>
    <w:rsid w:val="00F52472"/>
    <w:rsid w:val="00F5539A"/>
    <w:rsid w:val="00F57E20"/>
    <w:rsid w:val="00F612A5"/>
    <w:rsid w:val="00F74955"/>
    <w:rsid w:val="00F775C3"/>
    <w:rsid w:val="00FA1AEA"/>
    <w:rsid w:val="00FA1D49"/>
    <w:rsid w:val="00FA530F"/>
    <w:rsid w:val="00FB18CB"/>
    <w:rsid w:val="00FB257B"/>
    <w:rsid w:val="00FB38A8"/>
    <w:rsid w:val="00FB4A82"/>
    <w:rsid w:val="00FC1E92"/>
    <w:rsid w:val="00FC323A"/>
    <w:rsid w:val="00FD0448"/>
    <w:rsid w:val="00FD358F"/>
    <w:rsid w:val="00FE05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1E7D5"/>
  <w15:chartTrackingRefBased/>
  <w15:docId w15:val="{FB0A82DF-A55B-4646-8A2E-0D8CBE9D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43260"/>
    <w:pPr>
      <w:spacing w:after="0" w:line="240" w:lineRule="auto"/>
    </w:pPr>
    <w:rPr>
      <w:rFonts w:ascii="Times New Roman" w:eastAsia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link w:val="Tematkomentarza"/>
    <w:rsid w:val="00543260"/>
    <w:rPr>
      <w:rFonts w:ascii="Calibri" w:eastAsia="Calibri" w:hAnsi="Calibri"/>
      <w:b/>
      <w:bCs/>
      <w:lang w:val="x-none" w:eastAsia="en-US"/>
    </w:rPr>
  </w:style>
  <w:style w:type="paragraph" w:styleId="Poprawka">
    <w:name w:val="Revision"/>
    <w:hidden/>
    <w:uiPriority w:val="99"/>
    <w:semiHidden/>
    <w:rsid w:val="004308BF"/>
    <w:rPr>
      <w:sz w:val="24"/>
      <w:szCs w:val="24"/>
    </w:rPr>
  </w:style>
  <w:style w:type="character" w:styleId="Hipercze">
    <w:name w:val="Hyperlink"/>
    <w:basedOn w:val="Domylnaczcionkaakapitu"/>
    <w:rsid w:val="008937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3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europejskie-bez-barier/dostepnosc/program/poradniki/standard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868</Words>
  <Characters>6116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równościowej z 31.03.2025</vt:lpstr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równościowej z 31.03.2025</dc:title>
  <dc:subject/>
  <dc:creator>D.Sawicka</dc:creator>
  <cp:keywords/>
  <dc:description/>
  <cp:lastModifiedBy>Lucyna Tkaczyk</cp:lastModifiedBy>
  <cp:revision>2</cp:revision>
  <cp:lastPrinted>2020-03-03T08:09:00Z</cp:lastPrinted>
  <dcterms:created xsi:type="dcterms:W3CDTF">2025-04-02T09:10:00Z</dcterms:created>
  <dcterms:modified xsi:type="dcterms:W3CDTF">2025-04-02T09:10:00Z</dcterms:modified>
</cp:coreProperties>
</file>