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A9B9" w14:textId="77777777" w:rsidR="003B0164" w:rsidRPr="00EA6124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EA6124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Priorytet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4</w:t>
      </w:r>
      <w:r w:rsidRPr="00EA612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i</w:t>
      </w:r>
      <w:r w:rsidRPr="00EA6124">
        <w:rPr>
          <w:rFonts w:ascii="Arial" w:hAnsi="Arial" w:cs="Arial"/>
          <w:b/>
          <w:bCs/>
          <w:sz w:val="24"/>
          <w:szCs w:val="24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EA6124">
        <w:rPr>
          <w:rFonts w:ascii="Arial" w:hAnsi="Arial" w:cs="Arial"/>
          <w:sz w:val="24"/>
          <w:szCs w:val="24"/>
        </w:rPr>
        <w:t xml:space="preserve"> </w:t>
      </w:r>
      <w:r w:rsidR="00B75BC4" w:rsidRPr="00EA6124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79BC52BA" w:rsidR="003B0164" w:rsidRPr="00EA6124" w:rsidRDefault="003B0164" w:rsidP="00F30096">
      <w:pPr>
        <w:tabs>
          <w:tab w:val="left" w:pos="10770"/>
        </w:tabs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>6.</w:t>
      </w:r>
      <w:r w:rsidR="002B3528">
        <w:rPr>
          <w:rFonts w:ascii="Arial" w:hAnsi="Arial" w:cs="Arial"/>
          <w:b/>
          <w:bCs/>
          <w:sz w:val="24"/>
          <w:szCs w:val="24"/>
        </w:rPr>
        <w:t>15</w:t>
      </w:r>
      <w:r w:rsidR="00B75BC4" w:rsidRPr="00EA6124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EA6124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EA6124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r w:rsidR="002B3528">
        <w:rPr>
          <w:rFonts w:ascii="Arial" w:hAnsi="Arial" w:cs="Arial"/>
          <w:b/>
          <w:bCs/>
          <w:sz w:val="24"/>
          <w:szCs w:val="24"/>
        </w:rPr>
        <w:t>OPPT</w:t>
      </w:r>
    </w:p>
    <w:p w14:paraId="4E044196" w14:textId="77777777" w:rsidR="003B0164" w:rsidRPr="00EA6124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EA6124">
        <w:rPr>
          <w:rFonts w:ascii="Arial" w:hAnsi="Arial" w:cs="Arial"/>
          <w:sz w:val="24"/>
          <w:szCs w:val="24"/>
        </w:rPr>
        <w:t xml:space="preserve"> konkurencyjny</w:t>
      </w:r>
    </w:p>
    <w:p w14:paraId="12F0BAAB" w14:textId="778D5DDF" w:rsidR="00D27BD4" w:rsidRPr="00EA6124" w:rsidRDefault="00871D13" w:rsidP="00F30096">
      <w:pPr>
        <w:spacing w:before="100" w:beforeAutospacing="1" w:after="120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Nabór</w:t>
      </w:r>
      <w:r w:rsidR="00A621A3" w:rsidRPr="00EA6124">
        <w:rPr>
          <w:rFonts w:ascii="Arial" w:hAnsi="Arial" w:cs="Arial"/>
          <w:sz w:val="24"/>
          <w:szCs w:val="24"/>
        </w:rPr>
        <w:t xml:space="preserve"> jest skierowany do następujących podmiotów z </w:t>
      </w:r>
      <w:r w:rsidR="002B3528">
        <w:rPr>
          <w:rFonts w:ascii="Arial" w:hAnsi="Arial" w:cs="Arial"/>
          <w:sz w:val="24"/>
          <w:szCs w:val="24"/>
        </w:rPr>
        <w:t>OPPT</w:t>
      </w:r>
      <w:r w:rsidR="008E6E76" w:rsidRPr="00EA6124">
        <w:rPr>
          <w:rFonts w:ascii="Arial" w:hAnsi="Arial" w:cs="Arial"/>
          <w:sz w:val="24"/>
          <w:szCs w:val="24"/>
        </w:rPr>
        <w:t>:</w:t>
      </w:r>
      <w:r w:rsidR="00A621A3" w:rsidRPr="00EA6124">
        <w:rPr>
          <w:rFonts w:ascii="Arial" w:hAnsi="Arial" w:cs="Arial"/>
          <w:sz w:val="24"/>
          <w:szCs w:val="24"/>
        </w:rPr>
        <w:t xml:space="preserve"> </w:t>
      </w:r>
      <w:r w:rsidR="008E6E76" w:rsidRPr="00EA6124">
        <w:rPr>
          <w:rFonts w:ascii="Arial" w:hAnsi="Arial" w:cs="Arial"/>
          <w:sz w:val="24"/>
          <w:szCs w:val="24"/>
        </w:rPr>
        <w:t>j</w:t>
      </w:r>
      <w:r w:rsidR="00A621A3" w:rsidRPr="00EA6124">
        <w:rPr>
          <w:rFonts w:ascii="Arial" w:hAnsi="Arial" w:cs="Arial"/>
          <w:sz w:val="24"/>
          <w:szCs w:val="24"/>
        </w:rPr>
        <w:t xml:space="preserve">ednostek </w:t>
      </w:r>
      <w:r w:rsidR="008E6E76" w:rsidRPr="00EA6124">
        <w:rPr>
          <w:rFonts w:ascii="Arial" w:hAnsi="Arial" w:cs="Arial"/>
          <w:sz w:val="24"/>
          <w:szCs w:val="24"/>
        </w:rPr>
        <w:t>s</w:t>
      </w:r>
      <w:r w:rsidR="00A621A3" w:rsidRPr="00EA6124">
        <w:rPr>
          <w:rFonts w:ascii="Arial" w:hAnsi="Arial" w:cs="Arial"/>
          <w:sz w:val="24"/>
          <w:szCs w:val="24"/>
        </w:rPr>
        <w:t xml:space="preserve">amorządu </w:t>
      </w:r>
      <w:r w:rsidR="008E6E76" w:rsidRPr="00EA6124">
        <w:rPr>
          <w:rFonts w:ascii="Arial" w:hAnsi="Arial" w:cs="Arial"/>
          <w:sz w:val="24"/>
          <w:szCs w:val="24"/>
        </w:rPr>
        <w:t>t</w:t>
      </w:r>
      <w:r w:rsidR="00A621A3" w:rsidRPr="00EA6124">
        <w:rPr>
          <w:rFonts w:ascii="Arial" w:hAnsi="Arial" w:cs="Arial"/>
          <w:sz w:val="24"/>
          <w:szCs w:val="24"/>
        </w:rPr>
        <w:t>erytorialnego, osób fizycznych</w:t>
      </w:r>
      <w:r w:rsidR="000D31C6" w:rsidRPr="00EA6124">
        <w:rPr>
          <w:rFonts w:ascii="Arial" w:hAnsi="Arial" w:cs="Arial"/>
          <w:sz w:val="24"/>
          <w:szCs w:val="24"/>
        </w:rPr>
        <w:t xml:space="preserve">, osób </w:t>
      </w:r>
      <w:r w:rsidR="00A621A3" w:rsidRPr="00EA6124">
        <w:rPr>
          <w:rFonts w:ascii="Arial" w:hAnsi="Arial" w:cs="Arial"/>
          <w:sz w:val="24"/>
          <w:szCs w:val="24"/>
        </w:rPr>
        <w:t>prawnych</w:t>
      </w:r>
      <w:r w:rsidR="000D31C6" w:rsidRPr="00EA6124">
        <w:rPr>
          <w:rFonts w:ascii="Arial" w:hAnsi="Arial" w:cs="Arial"/>
          <w:sz w:val="24"/>
          <w:szCs w:val="24"/>
        </w:rPr>
        <w:t xml:space="preserve">, organizacji pozarządowych, przedsiębiorstw </w:t>
      </w:r>
      <w:r w:rsidR="00A621A3" w:rsidRPr="00EA6124">
        <w:rPr>
          <w:rFonts w:ascii="Arial" w:hAnsi="Arial" w:cs="Arial"/>
          <w:sz w:val="24"/>
          <w:szCs w:val="24"/>
        </w:rPr>
        <w:t xml:space="preserve">będących organami prowadzącymi </w:t>
      </w:r>
      <w:r w:rsidR="00C949F7" w:rsidRPr="00EA6124">
        <w:rPr>
          <w:rFonts w:ascii="Arial" w:hAnsi="Arial" w:cs="Arial"/>
          <w:sz w:val="24"/>
          <w:szCs w:val="24"/>
        </w:rPr>
        <w:t>szkoły i placówki systemu oświaty realizujące kształcenie zawodowe lub ustawiczne</w:t>
      </w:r>
      <w:r w:rsidR="00296012" w:rsidRPr="00EA6124">
        <w:rPr>
          <w:rFonts w:ascii="Arial" w:hAnsi="Arial" w:cs="Arial"/>
          <w:sz w:val="24"/>
          <w:szCs w:val="24"/>
        </w:rPr>
        <w:t>.</w:t>
      </w:r>
    </w:p>
    <w:p w14:paraId="67DAFA25" w14:textId="1FCEAC45" w:rsidR="00D27BD4" w:rsidRPr="00EA6124" w:rsidRDefault="00D64FB0" w:rsidP="00F30096">
      <w:pPr>
        <w:spacing w:before="120" w:after="120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 xml:space="preserve">Projekt musi wynikać z właściwej ze względu na obszar strategii </w:t>
      </w:r>
      <w:r w:rsidR="002B3528">
        <w:rPr>
          <w:rFonts w:ascii="Arial" w:hAnsi="Arial" w:cs="Arial"/>
          <w:sz w:val="24"/>
          <w:szCs w:val="24"/>
        </w:rPr>
        <w:t>IIT dla OPPT</w:t>
      </w:r>
      <w:r w:rsidRPr="00EA6124">
        <w:rPr>
          <w:rFonts w:ascii="Arial" w:hAnsi="Arial" w:cs="Arial"/>
          <w:sz w:val="24"/>
          <w:szCs w:val="24"/>
        </w:rPr>
        <w:t>.</w:t>
      </w:r>
    </w:p>
    <w:p w14:paraId="6A2B23F9" w14:textId="606C1E87" w:rsidR="005436A3" w:rsidRPr="00EA6124" w:rsidRDefault="008002A5" w:rsidP="00F30096">
      <w:pPr>
        <w:spacing w:before="120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 xml:space="preserve">Zakres wsparcia </w:t>
      </w:r>
      <w:r w:rsidR="00A621A3" w:rsidRPr="00EA6124">
        <w:rPr>
          <w:rFonts w:ascii="Arial" w:hAnsi="Arial" w:cs="Arial"/>
          <w:sz w:val="24"/>
          <w:szCs w:val="24"/>
        </w:rPr>
        <w:t>obejmuje inwestycje w infrastrukturę</w:t>
      </w:r>
      <w:r w:rsidR="005436A3" w:rsidRPr="00EA6124">
        <w:rPr>
          <w:rFonts w:ascii="Arial" w:hAnsi="Arial" w:cs="Arial"/>
          <w:sz w:val="24"/>
          <w:szCs w:val="24"/>
        </w:rPr>
        <w:t xml:space="preserve"> edukacyjną i szkoleniową szkół oraz centrów i placówek prowadzących kształcenie zawodowe lub ustawiczne (z wyłączeniem specjalnych):</w:t>
      </w:r>
    </w:p>
    <w:p w14:paraId="4B566F50" w14:textId="6FDB9CAD" w:rsidR="00A621A3" w:rsidRPr="00EA6124" w:rsidRDefault="005436A3" w:rsidP="00CC11E5">
      <w:pPr>
        <w:pStyle w:val="Akapitzlist"/>
        <w:numPr>
          <w:ilvl w:val="0"/>
          <w:numId w:val="14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Budowa, przebudowa, remont, wyposażenie obiektów ukierunkowane m.in. na tworzenie i rozwój warsztatów/pracowni kształcenia praktycznego w branżach zgodnych z potrzebami rynku pracy.</w:t>
      </w:r>
    </w:p>
    <w:p w14:paraId="7D6F386B" w14:textId="75C09E03" w:rsidR="00CC11E5" w:rsidRPr="00EA6124" w:rsidRDefault="00FC7F74" w:rsidP="00B12C9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A6124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 w:rsidR="00C77E9A" w:rsidRPr="00EA6124">
        <w:rPr>
          <w:rFonts w:ascii="Arial" w:hAnsi="Arial" w:cs="Arial"/>
          <w:b/>
          <w:bCs/>
          <w:sz w:val="24"/>
          <w:szCs w:val="24"/>
        </w:rPr>
        <w:t>.</w:t>
      </w:r>
    </w:p>
    <w:p w14:paraId="68736F7D" w14:textId="65ABD8FE" w:rsidR="005172B5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19182618" w14:textId="77777777" w:rsidTr="00B73DDD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A6124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A6124" w:rsidRDefault="003E4D45" w:rsidP="00CC11E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A6124" w:rsidRDefault="003E4D45" w:rsidP="00CC11E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5643EDAF" w:rsidR="003E4D45" w:rsidRPr="008D2873" w:rsidRDefault="002D4075" w:rsidP="008D2873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D4075">
              <w:rPr>
                <w:rFonts w:ascii="Arial" w:hAnsi="Arial" w:cs="Arial"/>
                <w:bCs/>
                <w:sz w:val="24"/>
                <w:szCs w:val="24"/>
                <w:lang w:val="pl-PL"/>
              </w:rPr>
              <w:t>wszystkie załączniki zostały podpisane zgodnie ze sposobem wskazanym w Regulaminie wyboru projektów.</w:t>
            </w:r>
          </w:p>
          <w:p w14:paraId="77C642A7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1652C15A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7FD0496C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49DA91F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FC99FC1" w14:textId="1696FC0F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56" w:type="dxa"/>
            <w:vAlign w:val="center"/>
          </w:tcPr>
          <w:p w14:paraId="67938ACF" w14:textId="17E57366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5B005EE1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2D407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8778D4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A6124" w:rsidRDefault="003E4D45" w:rsidP="00CC11E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późn. zm.);</w:t>
            </w:r>
          </w:p>
          <w:p w14:paraId="5006B934" w14:textId="605D6A75" w:rsidR="003E4D45" w:rsidRPr="002D4075" w:rsidRDefault="003E4D45" w:rsidP="002D407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zastosowaniu art. 107 i 108 Traktatu) (Dz. Urz. UE L 187 z 26.06.2014 z późn. zm.)</w:t>
            </w:r>
            <w:r w:rsidR="002D407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FBCFEA" w14:textId="701E561F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5F2D3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3641D8C" w14:textId="7AC9E4B7" w:rsidR="003E4D45" w:rsidRPr="00EA6124" w:rsidRDefault="003E4D45" w:rsidP="00CC11E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24689B2" w14:textId="266E4D2F" w:rsidR="003E4D45" w:rsidRPr="00EA6124" w:rsidRDefault="00B21F03" w:rsidP="00571EF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71D180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5888D30A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14150F5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06F91A0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9AD8DE" w14:textId="08F5DF8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0C8FF631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06866E77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DEF9A66" w14:textId="286D0700" w:rsidR="002F5391" w:rsidRPr="00EA6124" w:rsidRDefault="00063324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0287FE58" w14:textId="77777777" w:rsidR="00FF096D" w:rsidRPr="00FF096D" w:rsidRDefault="00FF096D" w:rsidP="00FF096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F096D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36351FC8" w14:textId="77777777" w:rsidR="00FF096D" w:rsidRPr="00FF096D" w:rsidRDefault="00FF096D" w:rsidP="00FF096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F096D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10FCC6" w14:textId="77777777" w:rsidR="00FF096D" w:rsidRPr="00FF096D" w:rsidRDefault="00FF096D" w:rsidP="00FF096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FF096D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F9A89F7" w14:textId="62D26CFB" w:rsidR="00063324" w:rsidRPr="00D93F86" w:rsidRDefault="00FF096D" w:rsidP="00D93F8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F096D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D93F8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FF096D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2D4075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FF096D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2D4075">
              <w:rPr>
                <w:rFonts w:ascii="Arial" w:hAnsi="Arial" w:cs="Arial"/>
                <w:sz w:val="24"/>
                <w:szCs w:val="24"/>
              </w:rPr>
              <w:t>dotyczące</w:t>
            </w:r>
            <w:r w:rsidRPr="00FF096D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2D4075">
              <w:rPr>
                <w:rFonts w:ascii="Arial" w:hAnsi="Arial" w:cs="Arial"/>
                <w:sz w:val="24"/>
                <w:szCs w:val="24"/>
              </w:rPr>
              <w:t>e</w:t>
            </w:r>
            <w:r w:rsidRPr="00FF096D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6ABB932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59EC65B" w14:textId="7093C45C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72789" w14:textId="09A96BFA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247348" w14:textId="43A009AC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F677A0E" w14:textId="3361C99D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FC25050" w14:textId="3DABB42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3324" w:rsidRPr="00EA6124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34DC895E" w14:textId="2083D19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638C82D3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33C96F20" w14:textId="7C0C47C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7E2A606D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3AC22C36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1AF1430" w14:textId="2A69BEF2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35CF1DC3" w:rsidR="000633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230C72C9" w14:textId="77777777" w:rsidR="002D4075" w:rsidRPr="002D4075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2F9C4B42" w14:textId="77777777" w:rsidR="002D4075" w:rsidRPr="002D4075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na moment złożenia wniosku o dofinansowanie, wnioskodawca nie posiada pozwolenia administracyjnego </w:t>
            </w: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zezwalającego na realizację inwestycji (np. decyzji o pozwoleniu na budowę, zezwolenia na realizację inwestycji drogowej)</w:t>
            </w:r>
            <w:bookmarkStart w:id="1" w:name="_Hlk177989520"/>
            <w:r w:rsidRPr="002D4075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2D4075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m-cy od daty uchwały zarządu województwa o wyborze projektu do dofinansowania.</w:t>
            </w:r>
          </w:p>
          <w:p w14:paraId="76CA5F62" w14:textId="44845B24" w:rsidR="002D4075" w:rsidRPr="00EA6124" w:rsidRDefault="002D4075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4075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"/>
          </w:p>
          <w:p w14:paraId="1C35725B" w14:textId="47885708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547FB322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42080867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49372438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3212E2" w14:textId="3A0A35AA" w:rsidR="00063324" w:rsidRPr="00EA6124" w:rsidRDefault="000633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392C5F09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29794853" w14:textId="1C6C0999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2CD863C2" w14:textId="77B9048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0FF08A7D" w14:textId="77777777" w:rsidR="002D4075" w:rsidRPr="002B480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03F9A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19FD9B3B" w14:textId="77777777" w:rsidR="002D4075" w:rsidRPr="002B4804" w:rsidRDefault="002D4075" w:rsidP="002D4075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0477C785" w14:textId="3138D44A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C34FB03" w14:textId="77777777" w:rsidR="002D4075" w:rsidRPr="002B480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B4804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480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8EA404" w14:textId="77777777" w:rsidR="002D4075" w:rsidRPr="002B480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370618" w14:textId="77777777" w:rsidR="002D4075" w:rsidRPr="002B480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22DFC15" w14:textId="47F19BF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480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0C12CD4" w14:textId="796AA7A0" w:rsidR="002C2CE8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6CDD5FE9" w14:textId="77777777" w:rsidTr="00B73DDD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27E9FAB8" w:rsidR="003E4D45" w:rsidRPr="00EA6124" w:rsidRDefault="003E4D45" w:rsidP="00571EF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049A35B3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2B0AC09C" w14:textId="77777777" w:rsidR="003E4D45" w:rsidRPr="00EA6124" w:rsidRDefault="003E4D45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568BFD6F" w14:textId="0C3D1F07" w:rsidR="00174B5F" w:rsidRPr="00EA6124" w:rsidRDefault="00B95C8D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32638059"/>
            <w:r w:rsidRPr="00EA6124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53866038" w14:textId="70FF1018" w:rsidR="00B95C8D" w:rsidRPr="00EA6124" w:rsidRDefault="00B95C8D" w:rsidP="00CC11E5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osoby prawne</w:t>
            </w:r>
            <w:r w:rsidR="00A864DE" w:rsidRPr="00EA6124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65261677" w14:textId="1541972F" w:rsidR="00B95C8D" w:rsidRPr="00EA6124" w:rsidRDefault="00B95C8D" w:rsidP="00CC11E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organizacje pozarządowe;</w:t>
            </w:r>
          </w:p>
          <w:p w14:paraId="76C75809" w14:textId="1A1E3E1D" w:rsidR="00B95C8D" w:rsidRPr="00EA6124" w:rsidRDefault="00B95C8D" w:rsidP="00571EF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przedsiębiorstwa</w:t>
            </w:r>
            <w:bookmarkEnd w:id="2"/>
          </w:p>
          <w:p w14:paraId="71C21C64" w14:textId="1051A5D7" w:rsidR="00F262E6" w:rsidRPr="00EA6124" w:rsidRDefault="00831B24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będące organami prowadzącymi szkoły i placówki systemu oświaty realizujące kształcenie zawodowe lub ustawiczne.</w:t>
            </w:r>
          </w:p>
          <w:p w14:paraId="535B0B1B" w14:textId="6B0674F7" w:rsidR="003E4D45" w:rsidRPr="00EA6124" w:rsidDel="007968FF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9D45901" w14:textId="2753F2B0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BBD16C" w14:textId="500AA8CC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683DE930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23AF4EA8" w14:textId="49B97D92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176952FC" w14:textId="6C131B1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3403EF8B" w14:textId="77777777" w:rsidR="002D4075" w:rsidRPr="00FF5DEB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EA139C1" w14:textId="1609706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</w:tcPr>
          <w:p w14:paraId="0329EF25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AC81C1B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EB2474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E27597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4A318165" w14:textId="16C620F0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43FA7D8A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2BCAA3" w14:textId="5A920BA6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2FD5C49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41281812"/>
            <w:r w:rsidRPr="00EA6124">
              <w:rPr>
                <w:rFonts w:ascii="Arial" w:hAnsi="Arial" w:cs="Arial"/>
                <w:sz w:val="24"/>
                <w:szCs w:val="24"/>
              </w:rPr>
              <w:t>Inwestycje w infrastrukturę edukacyjną i szkoleniową szkół oraz centrów i placówek prowadzących kształcenie zawodowe lub ustawiczne (z wyłączeniem specjalnych):</w:t>
            </w:r>
          </w:p>
          <w:p w14:paraId="2C9EB0D5" w14:textId="0BC8FC14" w:rsidR="002D4075" w:rsidRPr="00EA6124" w:rsidRDefault="002D4075" w:rsidP="002D407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3"/>
          </w:p>
          <w:p w14:paraId="1033798E" w14:textId="36E45E54" w:rsidR="002D4075" w:rsidRPr="00EA6124" w:rsidRDefault="002D4075" w:rsidP="002D4075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36435DBD" w14:textId="4D95F3B5" w:rsidR="002D4075" w:rsidRPr="00EA6124" w:rsidRDefault="002D4075" w:rsidP="002D4075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lastRenderedPageBreak/>
              <w:t>Szkoły specjalne</w:t>
            </w:r>
            <w:r w:rsidRPr="00EA6124">
              <w:rPr>
                <w:rStyle w:val="Odwoanieprzypisudolnego"/>
                <w:rFonts w:ascii="Arial" w:eastAsia="Arial" w:hAnsi="Arial" w:cs="Arial"/>
                <w:sz w:val="24"/>
                <w:szCs w:val="24"/>
              </w:rPr>
              <w:footnoteReference w:id="7"/>
            </w:r>
            <w:r w:rsidRPr="00EA6124">
              <w:rPr>
                <w:rFonts w:ascii="Arial" w:eastAsia="Arial" w:hAnsi="Arial" w:cs="Arial"/>
                <w:sz w:val="24"/>
                <w:szCs w:val="24"/>
              </w:rPr>
              <w:t xml:space="preserve"> i inne placówki, które prowadzą do segregacji lub utrzymania segregacji jakiejkolwiek grupy defaworyzowanej i/lub zagrożonej wykluczeniem społecznym nie będą wspierane w zakresie infrastruktury i wyposażenia.</w:t>
            </w:r>
          </w:p>
          <w:p w14:paraId="4B898AF2" w14:textId="7252376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udowa nowych obiektów jest możliwa jedynie gdy Wnioskodawca uzasadni brak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Pr="00EA6124">
              <w:rPr>
                <w:rFonts w:ascii="Arial" w:hAnsi="Arial" w:cs="Arial"/>
                <w:sz w:val="24"/>
                <w:szCs w:val="24"/>
              </w:rPr>
              <w:t>, zgodnie z przeznaczeniem opisanym w projekcie, obiektów na danym obszarze.</w:t>
            </w:r>
          </w:p>
          <w:p w14:paraId="76A433B0" w14:textId="1515B89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43FD4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45FD59C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0C19B059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508F106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66F306" w14:textId="31EA6E0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F85F077" w14:textId="7BAEF26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075" w:rsidRPr="00EA6124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0195EFA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6DABF9AA" w14:textId="2429D685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0C2EB9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2FD6990F" w14:textId="6C0F31C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0C2EB9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0C2EB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0C2EB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2B3528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2B35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2EB9">
              <w:rPr>
                <w:rFonts w:ascii="Arial" w:hAnsi="Arial" w:cs="Arial"/>
                <w:sz w:val="24"/>
                <w:szCs w:val="24"/>
              </w:rPr>
              <w:t xml:space="preserve">dla danego działania </w:t>
            </w:r>
            <w:r w:rsidRPr="002B3528">
              <w:rPr>
                <w:rFonts w:ascii="Arial" w:hAnsi="Arial" w:cs="Arial"/>
                <w:sz w:val="24"/>
                <w:szCs w:val="24"/>
              </w:rPr>
              <w:t>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35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2A33FB8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14BA138" w14:textId="28066E62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D74CCCB" w14:textId="19C571E2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16C16" w14:textId="74C24C2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5CF1AA6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CE22C84" w14:textId="3E23DB1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2344E1BE" w14:textId="46AE9B21" w:rsidR="002D4075" w:rsidRDefault="002D4075" w:rsidP="002D407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</w:t>
            </w:r>
          </w:p>
          <w:p w14:paraId="3B046CC1" w14:textId="1DAA3B38" w:rsidR="002D4075" w:rsidRPr="00B12C94" w:rsidRDefault="002D4075" w:rsidP="002D407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2C94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12C9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2C94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B12C94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B12C9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B12C9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D97B32D" w14:textId="4C7696E4" w:rsidR="000C2EB9" w:rsidRPr="00B12C94" w:rsidRDefault="002D4075" w:rsidP="002D4075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12C94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23C74C1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FFAD722" w14:textId="4E70597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C0853" w14:textId="1DE58A65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075" w:rsidRPr="00EA6124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09FB165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F0A6860" w14:textId="624A9E8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0095D2A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danego rodzaju projekt</w:t>
            </w:r>
            <w:r w:rsidR="00BC388C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11673385" w14:textId="6001739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BC38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3036F4" w14:textId="0EA7DE98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37B90CF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A4D5E3" w14:textId="28E23D98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3603241" w14:textId="79C16C5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0C676323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15DB40D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646C14C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A28804D" w14:textId="036ED343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7ECF0C58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73C21C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EA8C3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28807" w14:textId="4DAB5E25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3AE125B" w14:textId="0B862EE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35C2BED2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6D836C2C" w14:textId="4247A31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5B076F4F" w:rsidR="002D4075" w:rsidRDefault="002D4075" w:rsidP="00002F5B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2F5B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24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1112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 Rady 2011/92/UE z dnia 13 grudnia 2011 r. w sprawie </w:t>
            </w:r>
            <w:r w:rsidRPr="00002F5B">
              <w:rPr>
                <w:rFonts w:ascii="Arial" w:hAnsi="Arial" w:cs="Arial"/>
                <w:sz w:val="24"/>
                <w:szCs w:val="24"/>
              </w:rPr>
              <w:lastRenderedPageBreak/>
              <w:t>oceny skutków wywieranych przez niektóre przedsięwzięcia publiczne i prywatne na środowisko;</w:t>
            </w:r>
          </w:p>
          <w:p w14:paraId="7CD6BC3E" w14:textId="62934EF8" w:rsidR="002D4075" w:rsidRDefault="002D4075" w:rsidP="002D407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2F5B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24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54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z późn. zm.);</w:t>
            </w:r>
          </w:p>
          <w:p w14:paraId="55008EA2" w14:textId="4F090379" w:rsidR="002D4075" w:rsidRDefault="002D4075" w:rsidP="002D407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2F5B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24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1478 z późn. zm.</w:t>
            </w:r>
            <w:r w:rsidRPr="00002F5B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0D73E7E5" w:rsidR="002D4075" w:rsidRDefault="002D4075" w:rsidP="002D407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2F5B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2024</w:t>
            </w:r>
            <w:r w:rsidRPr="00002F5B">
              <w:rPr>
                <w:rFonts w:ascii="Arial" w:hAnsi="Arial" w:cs="Arial"/>
                <w:sz w:val="24"/>
                <w:szCs w:val="24"/>
              </w:rPr>
              <w:t xml:space="preserve"> r. r., poz. </w:t>
            </w:r>
            <w:r w:rsidR="00BC388C" w:rsidRPr="00002F5B">
              <w:rPr>
                <w:rFonts w:ascii="Arial" w:hAnsi="Arial" w:cs="Arial"/>
                <w:sz w:val="24"/>
                <w:szCs w:val="24"/>
              </w:rPr>
              <w:t>1078 z późn. zm.</w:t>
            </w:r>
            <w:r w:rsidRPr="00002F5B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ustanawiającą ramy wspólnotowego działania w dziedzinie polityki wodnej;</w:t>
            </w:r>
          </w:p>
          <w:p w14:paraId="13A66A98" w14:textId="74BA77EA" w:rsidR="002D4075" w:rsidRPr="00002F5B" w:rsidRDefault="002D4075" w:rsidP="002D4075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2F5B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000499A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projektów, w szczególności decyzję o środowiskowych uwarunkowaniach – jeżeli jest ona wymagana. Jeśli tak to czy została załączona do wniosku oraz czy zakres projektu jest zgodny z decyzją o środowiskowych uwarunkowaniach oraz   zezwoleniem na realizację inwestycji.</w:t>
            </w:r>
          </w:p>
          <w:p w14:paraId="2580B4AD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06FFF2" w14:textId="514931B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D62D520" w14:textId="7393AC9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03522BB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6E1F6BF" w14:textId="4B86D47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02634713" w:rsidR="002D4075" w:rsidRPr="00EA6124" w:rsidRDefault="002D4075" w:rsidP="002D40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BC388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618FD3" w14:textId="77777777" w:rsidR="002D4075" w:rsidRPr="00EA6124" w:rsidRDefault="002D4075" w:rsidP="002D40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BD7862B" w14:textId="77777777" w:rsidR="002D4075" w:rsidRPr="00EA6124" w:rsidRDefault="002D4075" w:rsidP="002D407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0E9283D3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25D7F0C6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353EB1" w14:textId="782525A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3EC1B4" w14:textId="15BB644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5101C52A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A02982E" w14:textId="442185E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2D4075" w:rsidRPr="00EA6124" w:rsidRDefault="002D4075" w:rsidP="002D40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2D4075" w:rsidRPr="00EA6124" w:rsidRDefault="002D4075" w:rsidP="002D40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2D4075" w:rsidRPr="00EA6124" w:rsidRDefault="002D4075" w:rsidP="002D40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792403" w14:textId="6B81C017" w:rsidR="002D4075" w:rsidRPr="00EA6124" w:rsidRDefault="002D4075" w:rsidP="002D4075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6BB3334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54C4286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D1B2BA" w14:textId="56715D40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56134ED8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56838C56" w14:textId="5F4E5C2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432B165" w14:textId="77777777" w:rsidR="002D4075" w:rsidRPr="00EA6124" w:rsidRDefault="002D4075" w:rsidP="002D407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5C33423A" w:rsidR="002D4075" w:rsidRPr="00EA6124" w:rsidRDefault="002D4075" w:rsidP="002D407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 uzasadnione,</w:t>
            </w:r>
          </w:p>
          <w:p w14:paraId="1272E07D" w14:textId="77777777" w:rsidR="002D4075" w:rsidRPr="00EA6124" w:rsidRDefault="002D4075" w:rsidP="002D407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2D4075" w:rsidRPr="00EA6124" w:rsidRDefault="002D4075" w:rsidP="002D407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568458F" w14:textId="2442F0FA" w:rsidR="002D4075" w:rsidRPr="00EA6124" w:rsidRDefault="002D4075" w:rsidP="002D407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5EFF237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2C2663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AA4BF45" w14:textId="635CFAF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324257D" w14:textId="3929B7A6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10771E38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765ED476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38EF7778" w14:textId="77777777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6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0115DA2A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E3EE17B" w14:textId="77777777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0AF7E40B" w:rsidR="002D4075" w:rsidRPr="00EA6124" w:rsidRDefault="002D4075" w:rsidP="002D4075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56268F" w14:textId="4B257C4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111FFD6" w14:textId="47C2C002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907DF3" w14:textId="44CF05B0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4075" w:rsidRPr="00EA6124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551A0561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F5BE56D" w14:textId="2021BE6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i niedyskryminacji, w tym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1FA4F98" w14:textId="07F2604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33BA2A3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9C487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C95E99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2FC570" w14:textId="7863D3D6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76AFA6" w14:textId="4AE725FE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20A95AE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4179F936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0E9C0E28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Kartą Praw Podstawowych Unii Europejskiej z dnia </w:t>
            </w:r>
            <w:r w:rsidR="00307BF0">
              <w:rPr>
                <w:rFonts w:ascii="Arial" w:hAnsi="Arial" w:cs="Arial"/>
                <w:sz w:val="24"/>
                <w:szCs w:val="24"/>
              </w:rPr>
              <w:t>7 czerwca 2016 r.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(Dz. Urz. UE C </w:t>
            </w:r>
            <w:r w:rsidR="00307BF0">
              <w:rPr>
                <w:rFonts w:ascii="Arial" w:hAnsi="Arial" w:cs="Arial"/>
                <w:sz w:val="24"/>
                <w:szCs w:val="24"/>
              </w:rPr>
              <w:t>202 z 07.06.2016, str. 389</w:t>
            </w:r>
            <w:r w:rsidRPr="00EA6124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1081A164" w14:textId="4FCDFE3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28C2AF5B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24E0797" w14:textId="33ACBA8F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047DD645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571286E2" w14:textId="37C5F36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307BF0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307BF0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307BF0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6915" w:type="dxa"/>
          </w:tcPr>
          <w:p w14:paraId="7CCD784B" w14:textId="5073145B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jest zgodny z Konwencją o </w:t>
            </w:r>
            <w:r w:rsidR="00307BF0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307BF0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307BF0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 późn. zm.) w zakresie odnoszącym się do sposobu realizacji, zakresu projektu i wnioskodawcy.</w:t>
            </w:r>
          </w:p>
          <w:p w14:paraId="718CE089" w14:textId="7FF41B0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307BF0">
              <w:rPr>
                <w:rFonts w:ascii="Arial" w:hAnsi="Arial" w:cs="Arial"/>
                <w:sz w:val="24"/>
                <w:szCs w:val="24"/>
              </w:rPr>
              <w:t>p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307BF0">
              <w:rPr>
                <w:rFonts w:ascii="Arial" w:hAnsi="Arial" w:cs="Arial"/>
                <w:sz w:val="24"/>
                <w:szCs w:val="24"/>
              </w:rPr>
              <w:t>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307BF0">
              <w:rPr>
                <w:rFonts w:ascii="Arial" w:hAnsi="Arial" w:cs="Arial"/>
                <w:sz w:val="24"/>
                <w:szCs w:val="24"/>
              </w:rPr>
              <w:t>n</w:t>
            </w:r>
            <w:r w:rsidRPr="00EA6124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48EDB62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520C3843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672884" w14:textId="77373D9C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D4075" w:rsidRPr="00EA6124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1D439305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8D287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7536070E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39D74B3D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136E4864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23943B" w14:textId="507A8F9A" w:rsidR="002D4075" w:rsidRPr="00EA6124" w:rsidRDefault="002D4075" w:rsidP="002D407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68F64B" w14:textId="5593615C" w:rsidR="007257F1" w:rsidRPr="00EA6124" w:rsidRDefault="007257F1" w:rsidP="00A46789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EA6124" w14:paraId="13F623B0" w14:textId="77777777" w:rsidTr="00B73DD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18BD5000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1B2BEAE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3149F945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7DECA0A8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A6124" w:rsidRDefault="00A57E1E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A6124" w14:paraId="366CAB40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CB03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46501525" w14:textId="64A141B3" w:rsidR="00E507FE" w:rsidRPr="00EA6124" w:rsidRDefault="002B3528" w:rsidP="00CC11E5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B35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Zgodność z właściwą  strategią IIT dla OPPT</w:t>
            </w:r>
          </w:p>
        </w:tc>
        <w:tc>
          <w:tcPr>
            <w:tcW w:w="6915" w:type="dxa"/>
          </w:tcPr>
          <w:p w14:paraId="4AE47D65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AAB73EB" w14:textId="77777777" w:rsidR="002B3528" w:rsidRPr="002B3528" w:rsidRDefault="002B3528" w:rsidP="002B352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lastRenderedPageBreak/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5E8ACB3F" w14:textId="77777777" w:rsidR="002B3528" w:rsidRPr="002B3528" w:rsidRDefault="002B3528" w:rsidP="002B352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 fiszkach projektowych  stanowiących załącznik do porozumienia terytorialnego</w:t>
            </w:r>
            <w:r w:rsidRPr="002B352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2B352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B2C9E2F" w14:textId="7B17E3A9" w:rsidR="002B3528" w:rsidRPr="002B3528" w:rsidRDefault="002B3528" w:rsidP="002B3528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BC388C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2B3528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2B352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2B3528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1E7D73D5" w14:textId="77777777" w:rsidR="00BC388C" w:rsidRPr="003434C6" w:rsidRDefault="00BC388C" w:rsidP="00BC388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89EB683" w14:textId="1849700E" w:rsidR="00E507FE" w:rsidRPr="00EA6124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402" w:type="dxa"/>
          </w:tcPr>
          <w:p w14:paraId="46364AA0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BD9A6AE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57DC30C9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48651D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55BD810" w14:textId="77777777" w:rsidR="002B3528" w:rsidRPr="002B3528" w:rsidRDefault="002B3528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35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FD1071" w14:textId="4EAF81ED" w:rsidR="00E507FE" w:rsidRPr="00EA6124" w:rsidRDefault="00E507FE" w:rsidP="002B35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7FE" w:rsidRPr="00EA6124" w14:paraId="16C5C062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763F480E" w:rsidR="00752597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Pr="00EA6124">
              <w:rPr>
                <w:rFonts w:ascii="Arial" w:hAnsi="Arial" w:cs="Arial"/>
                <w:sz w:val="24"/>
                <w:szCs w:val="24"/>
              </w:rPr>
              <w:t>, czy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 xml:space="preserve"> realizacja wsparcia została zaplanowana na podstawie diagnozy oraz czy </w:t>
            </w:r>
            <w:r w:rsidRPr="00EA6124">
              <w:rPr>
                <w:rFonts w:ascii="Arial" w:hAnsi="Arial" w:cs="Arial"/>
                <w:sz w:val="24"/>
                <w:szCs w:val="24"/>
              </w:rPr>
              <w:t>diagnoz</w:t>
            </w:r>
            <w:r w:rsidR="001D4A81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358D15" w14:textId="773E28C4" w:rsidR="00752597" w:rsidRPr="00EA6124" w:rsidRDefault="00752597" w:rsidP="00CC11E5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doposażenia szkół w nowoczesny sprzęt i materiały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dydaktyczne</w:t>
            </w:r>
            <w:r w:rsidR="00F262E6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. Diagnoza 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A6124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A6124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26AEEC94" w:rsidR="00752597" w:rsidRPr="00EA6124" w:rsidRDefault="00752597" w:rsidP="00CC11E5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1FB6A988" w:rsidR="00752597" w:rsidRPr="00EA6124" w:rsidRDefault="00752597" w:rsidP="00CC11E5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rekomendacje instytucji z otoczenia społeczno-gospodarczego szkół lub placówek systemu oświaty prowadzących kształcenie zawodowe.</w:t>
            </w:r>
          </w:p>
          <w:p w14:paraId="3F3F94DA" w14:textId="126FCE1D" w:rsidR="00752597" w:rsidRPr="00EA6124" w:rsidRDefault="00752597" w:rsidP="00CC11E5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trendy demograficzne zachodzące na danym obszarze w celu zachowania równowagi pomiędzy lepszym dostępem do edukacji a długoterminową opłacalnością takiej inwestycji.</w:t>
            </w:r>
          </w:p>
          <w:p w14:paraId="32BD9205" w14:textId="66B85D23" w:rsidR="00534630" w:rsidRPr="002B3528" w:rsidRDefault="00FA23CD" w:rsidP="002B352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specjalne potrzeby edukacyjne uczniów. </w:t>
            </w:r>
          </w:p>
          <w:p w14:paraId="74666FCF" w14:textId="3CA12F43" w:rsidR="00013D9F" w:rsidRPr="00EA6124" w:rsidRDefault="00752597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Diagnoza może stanowić element Studium Wykonalności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A6124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A6124" w:rsidRDefault="00013D9F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0657E90" w14:textId="16F87B75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0B548C1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D580A6E" w14:textId="3D928FF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66EE03" w14:textId="5675A75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75B8E89D" w14:textId="77777777" w:rsidTr="00144B36">
        <w:tc>
          <w:tcPr>
            <w:tcW w:w="1110" w:type="dxa"/>
            <w:vAlign w:val="center"/>
          </w:tcPr>
          <w:p w14:paraId="3B723A88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283C3F76" w14:textId="7F8CCC99" w:rsidR="00E507FE" w:rsidRPr="00EA6124" w:rsidRDefault="00534630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/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262E6" w:rsidRPr="00EA6124">
              <w:rPr>
                <w:rFonts w:ascii="Arial" w:hAnsi="Arial" w:cs="Arial"/>
                <w:sz w:val="24"/>
                <w:szCs w:val="24"/>
              </w:rPr>
              <w:t>lokalnego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41463164" w14:textId="4CE5C954" w:rsidR="00E87E8D" w:rsidRPr="00693776" w:rsidRDefault="007377EF" w:rsidP="006937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47765D" w:rsidRPr="00EA6124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A6124">
              <w:rPr>
                <w:rFonts w:ascii="Arial" w:hAnsi="Arial" w:cs="Arial"/>
                <w:sz w:val="24"/>
                <w:szCs w:val="24"/>
              </w:rPr>
              <w:t>, czy projekt</w:t>
            </w:r>
            <w:r w:rsidR="00D36F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693776">
              <w:rPr>
                <w:rFonts w:ascii="Arial" w:hAnsi="Arial" w:cs="Arial"/>
                <w:sz w:val="24"/>
                <w:szCs w:val="24"/>
              </w:rPr>
              <w:t>zakłada inwestycję w infrastrukturę</w:t>
            </w:r>
            <w:r w:rsidR="00373AC3" w:rsidRPr="00693776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6937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693776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EA6124" w:rsidRPr="00693776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693776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693776">
              <w:rPr>
                <w:rFonts w:ascii="Arial" w:hAnsi="Arial" w:cs="Arial"/>
                <w:sz w:val="24"/>
                <w:szCs w:val="24"/>
              </w:rPr>
              <w:t>zie/ach:</w:t>
            </w:r>
            <w:r w:rsidR="00534630" w:rsidRPr="0069377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A7F04B" w14:textId="59A9720D" w:rsidR="00E87E8D" w:rsidRPr="00EA6124" w:rsidRDefault="00E87E8D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go/ych jako </w:t>
            </w:r>
            <w:r w:rsidRPr="002B3528">
              <w:rPr>
                <w:rFonts w:ascii="Arial" w:hAnsi="Arial" w:cs="Arial"/>
                <w:b/>
                <w:bCs/>
                <w:sz w:val="24"/>
                <w:szCs w:val="24"/>
              </w:rPr>
              <w:t>deficytowy/e lub zrównoważony/e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 województwie kujawsko-pomorskim lub w powiecie/</w:t>
            </w:r>
            <w:r w:rsidR="003058F4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>powiatach, gdzie realizowana będzie inwestycja (na podstawie badania Barometr zawodów)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95EE7C6" w14:textId="53276E59" w:rsidR="003058F4" w:rsidRPr="00EA6124" w:rsidRDefault="00E87E8D" w:rsidP="00CC11E5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3EBD16F1" w:rsidR="00F77B9E" w:rsidRPr="00EA6124" w:rsidRDefault="00A871E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dla którego/ych prognozowane jest</w:t>
            </w:r>
            <w:r w:rsidR="00ED18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szczególnie istotne lub</w:t>
            </w: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istotne lub umiarkowane zapotrzebowanie na pracowników </w:t>
            </w:r>
            <w:r w:rsidRPr="00EA6124">
              <w:rPr>
                <w:rFonts w:ascii="Arial" w:hAnsi="Arial" w:cs="Arial"/>
                <w:sz w:val="24"/>
                <w:szCs w:val="24"/>
              </w:rPr>
              <w:t>w województwie kujawsko-pomorskim</w:t>
            </w:r>
            <w:r w:rsidR="00542731" w:rsidRPr="00EA6124">
              <w:rPr>
                <w:rFonts w:ascii="Arial" w:hAnsi="Arial" w:cs="Arial"/>
                <w:sz w:val="24"/>
                <w:szCs w:val="24"/>
              </w:rPr>
              <w:t xml:space="preserve"> (na podstawie Prognozy zapotrzebowania na pracowników w zawodach szkolnictwa branżowego na krajowym i wojewódzkim rynku pracy, część III dot. województwa kujawsko-pomorskiego)</w:t>
            </w:r>
            <w:r w:rsidR="00542731" w:rsidRPr="00EA6124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8"/>
            </w:r>
            <w:r w:rsidR="00E87E8D" w:rsidRPr="00EA612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60D3E93" w:rsidR="008C4AEA" w:rsidRPr="00EA6124" w:rsidRDefault="008C4A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</w:t>
            </w:r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D7C051" w14:textId="271A8875" w:rsidR="00F77B9E" w:rsidRPr="00EA6124" w:rsidRDefault="008C4A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projektu sprzętu czy wyposażenia, do rzeczywistego środowiska pracy zawodowej.</w:t>
            </w:r>
          </w:p>
          <w:p w14:paraId="1992A686" w14:textId="095A12D7" w:rsidR="00F77B9E" w:rsidRPr="00EA6124" w:rsidRDefault="00F77B9E" w:rsidP="00693776">
            <w:pPr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2A0B3447" w14:textId="0E9EE9FF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E15A38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1838826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DDAFB1" w14:textId="734D53AF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55A9FF6D" w14:textId="7AA264B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3CBC" w:rsidRPr="00EA6124" w14:paraId="7161C0EA" w14:textId="77777777" w:rsidTr="00144B36">
        <w:tc>
          <w:tcPr>
            <w:tcW w:w="1110" w:type="dxa"/>
            <w:vAlign w:val="center"/>
          </w:tcPr>
          <w:p w14:paraId="4F0697BF" w14:textId="7FF68130" w:rsidR="00453CBC" w:rsidRPr="00EA6124" w:rsidRDefault="00453CBC" w:rsidP="00CC11E5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A612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AF84E62" w14:textId="306D2234" w:rsidR="00453CBC" w:rsidRPr="00EA6124" w:rsidRDefault="00453CBC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W</w:t>
            </w:r>
            <w:r w:rsidRPr="00EA6124">
              <w:rPr>
                <w:rFonts w:ascii="Arial" w:hAnsi="Arial" w:cs="Arial"/>
                <w:sz w:val="24"/>
                <w:szCs w:val="24"/>
              </w:rPr>
              <w:t>spółprac</w:t>
            </w:r>
            <w:r w:rsidR="00354DEA" w:rsidRPr="00EA6124">
              <w:rPr>
                <w:rFonts w:ascii="Arial" w:hAnsi="Arial" w:cs="Arial"/>
                <w:sz w:val="24"/>
                <w:szCs w:val="24"/>
              </w:rPr>
              <w:t>a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 pracodawcami</w:t>
            </w:r>
          </w:p>
        </w:tc>
        <w:tc>
          <w:tcPr>
            <w:tcW w:w="6915" w:type="dxa"/>
            <w:shd w:val="clear" w:color="auto" w:fill="auto"/>
            <w:vAlign w:val="center"/>
          </w:tcPr>
          <w:p w14:paraId="087F5FCA" w14:textId="3606AFB4" w:rsidR="00676E03" w:rsidRPr="00EA6124" w:rsidRDefault="00453CBC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003F15" w:rsidRPr="00EA6124">
              <w:rPr>
                <w:rFonts w:ascii="Arial" w:hAnsi="Arial" w:cs="Arial"/>
                <w:sz w:val="24"/>
                <w:szCs w:val="24"/>
              </w:rPr>
              <w:t>sprawdzamy czy szkoła/placówka objęta projektem</w:t>
            </w:r>
            <w:r w:rsidR="00344B6F" w:rsidRPr="00EA612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652A846" w14:textId="30F12524" w:rsidR="00676E03" w:rsidRPr="00EA6124" w:rsidRDefault="00226C53" w:rsidP="00CC11E5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W</w:t>
            </w:r>
            <w:r w:rsidR="0016036A" w:rsidRPr="00EA6124">
              <w:rPr>
                <w:rFonts w:ascii="Arial" w:hAnsi="Arial" w:cs="Arial"/>
                <w:sz w:val="24"/>
                <w:szCs w:val="24"/>
                <w:lang w:val="pl-PL"/>
              </w:rPr>
              <w:t>spółprac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owała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/współpracuje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676E03" w:rsidRPr="00EA6124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2C0E4A4A" w14:textId="227991ED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3B44CFF3" w14:textId="4BA34B03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dla uczniów (organizacja nauki w miejscu pracy);</w:t>
            </w:r>
          </w:p>
          <w:p w14:paraId="59EA79AA" w14:textId="07353E00" w:rsidR="00676E03" w:rsidRPr="00EA6124" w:rsidRDefault="00676E03" w:rsidP="00CC11E5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03A470" w14:textId="2C04C1B1" w:rsidR="007D5A5E" w:rsidRPr="00EA6124" w:rsidRDefault="00676E03" w:rsidP="008E1789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>naboru</w:t>
            </w:r>
            <w:r w:rsidR="00831B24" w:rsidRPr="00EA6124">
              <w:rPr>
                <w:rFonts w:ascii="Arial" w:hAnsi="Arial" w:cs="Arial"/>
                <w:sz w:val="24"/>
                <w:szCs w:val="24"/>
              </w:rPr>
              <w:t xml:space="preserve"> (w okresie ostatnich trzech lat szkolnych)</w:t>
            </w:r>
            <w:r w:rsidR="007D5A5E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CB50F1" w14:textId="32284E64" w:rsidR="007D5A5E" w:rsidRPr="00EA6124" w:rsidRDefault="007D5A5E" w:rsidP="00CC11E5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3A435F" w:rsidRPr="00EA6124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D36F93" w:rsidRPr="00D36F93">
              <w:rPr>
                <w:rFonts w:ascii="Arial" w:hAnsi="Arial" w:cs="Arial"/>
                <w:sz w:val="24"/>
                <w:szCs w:val="24"/>
                <w:lang w:val="pl-PL"/>
              </w:rPr>
              <w:t xml:space="preserve">w zakresie związanym z projektem </w:t>
            </w:r>
            <w:r w:rsidR="006F49D2" w:rsidRPr="00EA6124">
              <w:rPr>
                <w:rFonts w:ascii="Arial" w:hAnsi="Arial" w:cs="Arial"/>
                <w:sz w:val="24"/>
                <w:szCs w:val="24"/>
                <w:lang w:val="pl-PL"/>
              </w:rPr>
              <w:t>(z minimum jednym nowym pracodawcą)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3A4F" w:rsidRPr="00EA6124">
              <w:rPr>
                <w:rFonts w:ascii="Arial" w:hAnsi="Arial" w:cs="Arial"/>
                <w:sz w:val="24"/>
                <w:szCs w:val="24"/>
                <w:lang w:val="pl-PL"/>
              </w:rPr>
              <w:t>oraz czy współpraca ta będzie obejmować</w:t>
            </w:r>
            <w:r w:rsidRPr="00EA6124">
              <w:rPr>
                <w:rFonts w:ascii="Arial" w:hAnsi="Arial" w:cs="Arial"/>
                <w:sz w:val="24"/>
                <w:szCs w:val="24"/>
                <w:lang w:val="pl-PL"/>
              </w:rPr>
              <w:t xml:space="preserve"> przynajmniej dwa z poniższych elementów:</w:t>
            </w:r>
          </w:p>
          <w:p w14:paraId="174A1BF3" w14:textId="19004D93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111EE56A" w14:textId="627D9838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staże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2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 xml:space="preserve"> dla uczniów (organizacja nauki w miejscu pracy);</w:t>
            </w:r>
          </w:p>
          <w:p w14:paraId="0291B348" w14:textId="0942D0FE" w:rsidR="007D5A5E" w:rsidRPr="00EA6124" w:rsidRDefault="007D5A5E" w:rsidP="00CC11E5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specjalistyczne kursy/szkolenia dla uczniów kończące się dokumentem honorowanym przez pracodawców</w:t>
            </w:r>
            <w:r w:rsidR="00C10882" w:rsidRPr="00EA6124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23"/>
            </w:r>
            <w:r w:rsidRPr="00EA6124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4EAC5CEB" w14:textId="13FE6F34" w:rsidR="00571EFC" w:rsidRDefault="007D5A5E" w:rsidP="008E1789">
            <w:pPr>
              <w:spacing w:before="100" w:beforeAutospacing="1" w:after="100" w:afterAutospacing="1"/>
              <w:ind w:left="316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Należy opisać, że w wyniku realizacji projektu, najpóźniej do upływu okresu trwałości, zostanie nawiązana współpraca z nowymi pracodawcami</w:t>
            </w:r>
            <w:r w:rsidR="00D36F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F93" w:rsidRPr="00D36F93">
              <w:rPr>
                <w:rFonts w:ascii="Arial" w:hAnsi="Arial" w:cs="Arial"/>
                <w:sz w:val="24"/>
                <w:szCs w:val="24"/>
              </w:rPr>
              <w:t>w zakresie związanym z projektem</w:t>
            </w:r>
            <w:r w:rsidR="006F49D2" w:rsidRPr="00EA6124">
              <w:rPr>
                <w:rFonts w:ascii="Arial" w:hAnsi="Arial" w:cs="Arial"/>
                <w:sz w:val="24"/>
                <w:szCs w:val="24"/>
              </w:rPr>
              <w:t xml:space="preserve"> (z minimum jednym nowym pracodawcą)</w:t>
            </w:r>
            <w:r w:rsidR="00B34103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AC4200" w14:textId="1D37EB4B" w:rsidR="00540650" w:rsidRDefault="00540650" w:rsidP="0069377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0650">
              <w:rPr>
                <w:rFonts w:ascii="Arial" w:hAnsi="Arial" w:cs="Arial"/>
                <w:sz w:val="24"/>
                <w:szCs w:val="24"/>
              </w:rPr>
              <w:t>W przypadku gdy szkoła/placówka objęta projektem nie posiada doświadczenia we współpracy z pracodawcami, o którym mowa w pkt 1, to kryterium nadal można uznać za spełnione, o ile taka szkoła/placówka, w wyniku realizacji projektu, zaplanuje podjęcie współpracy z minimum trzema pracodawcami w zakresie związanym z projektem.</w:t>
            </w:r>
          </w:p>
          <w:p w14:paraId="32E3D0D5" w14:textId="24CC5A2E" w:rsidR="00453CBC" w:rsidRPr="00EA6124" w:rsidRDefault="00462056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shd w:val="clear" w:color="auto" w:fill="auto"/>
          </w:tcPr>
          <w:p w14:paraId="611387E0" w14:textId="402023A8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5509516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74385F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A36402" w14:textId="4D877F16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409636" w14:textId="77777777" w:rsidR="00354DEA" w:rsidRPr="00EA6124" w:rsidRDefault="00354DEA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8CF3CF0" w14:textId="42FF8B37" w:rsidR="00453CBC" w:rsidRPr="00EA6124" w:rsidRDefault="00453CBC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07FE" w:rsidRPr="00EA6124" w14:paraId="1ECA7336" w14:textId="77777777" w:rsidTr="002956C4">
        <w:tc>
          <w:tcPr>
            <w:tcW w:w="1110" w:type="dxa"/>
            <w:vAlign w:val="center"/>
          </w:tcPr>
          <w:p w14:paraId="43D05403" w14:textId="543CF935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A33E097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48D1C0E4" w14:textId="457584C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osiągnięcia celów EFS+, tzn. czy  na infrastrukturze wspartej w ramach projektu EFRR zostaną przeprowadzone działania realizujące cele EFS+, określone w cs 4(f). Finansowanie tych działań możliwe będzie w ramach FEdKP ze środków EFS+ w cs 4(f) lub ze środków EFS+ niepochodzących z FEdKP lub z innych środków publicznych lub prywatnych.</w:t>
            </w:r>
          </w:p>
          <w:p w14:paraId="3BC17720" w14:textId="1796813B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03C8CA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3AAFC6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A75EFDC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03E88223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7190BE" w14:textId="0B29D77C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507FE" w:rsidRPr="00EA6124" w14:paraId="55E9E8F5" w14:textId="77777777" w:rsidTr="002956C4">
        <w:tc>
          <w:tcPr>
            <w:tcW w:w="1110" w:type="dxa"/>
            <w:vAlign w:val="center"/>
          </w:tcPr>
          <w:p w14:paraId="57B29C35" w14:textId="1EA43C26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53CBC" w:rsidRPr="00EA612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A1F82EE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5EED0F6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505E340F" w:rsidR="002F5391" w:rsidRPr="00EA6124" w:rsidRDefault="00E507FE" w:rsidP="00CC11E5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2F5391" w:rsidRPr="00EA6124" w:rsidRDefault="002F5391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1FEFC1FF" w14:textId="77777777" w:rsidR="002F5391" w:rsidRPr="00EA6124" w:rsidRDefault="002F5391" w:rsidP="00CC11E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2F5391" w:rsidRPr="00EA6124" w:rsidRDefault="002F5391" w:rsidP="00CC11E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3327D5A5" w:rsidR="00E507FE" w:rsidRPr="00EA6124" w:rsidRDefault="002F5391" w:rsidP="00571EFC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1A3BDBC2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2D7DA51C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4833EB54" w14:textId="490005AE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FA94CD" w14:textId="056A598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B2B8810" w14:textId="600FA747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0FB6EF" w14:textId="5F3C5EE0" w:rsidR="00E507FE" w:rsidRPr="00EA6124" w:rsidRDefault="00E507FE" w:rsidP="00CC11E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5FCD1F" w14:textId="77777777" w:rsidR="00C055A9" w:rsidRPr="00EA6124" w:rsidRDefault="00C055A9" w:rsidP="0099450D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C055A9" w:rsidRPr="00EA6124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76935" w14:textId="77777777" w:rsidR="00142D24" w:rsidRDefault="00142D24" w:rsidP="00D15E00">
      <w:pPr>
        <w:spacing w:after="0" w:line="240" w:lineRule="auto"/>
      </w:pPr>
      <w:r>
        <w:separator/>
      </w:r>
    </w:p>
  </w:endnote>
  <w:endnote w:type="continuationSeparator" w:id="0">
    <w:p w14:paraId="411918D7" w14:textId="77777777" w:rsidR="00142D24" w:rsidRDefault="00142D2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4FB9F" w14:textId="77777777" w:rsidR="00142D24" w:rsidRDefault="00142D24" w:rsidP="00D15E00">
      <w:pPr>
        <w:spacing w:after="0" w:line="240" w:lineRule="auto"/>
      </w:pPr>
      <w:r>
        <w:separator/>
      </w:r>
    </w:p>
  </w:footnote>
  <w:footnote w:type="continuationSeparator" w:id="0">
    <w:p w14:paraId="2F9BC84F" w14:textId="77777777" w:rsidR="00142D24" w:rsidRDefault="00142D24" w:rsidP="00D15E00">
      <w:pPr>
        <w:spacing w:after="0" w:line="240" w:lineRule="auto"/>
      </w:pPr>
      <w:r>
        <w:continuationSeparator/>
      </w:r>
    </w:p>
  </w:footnote>
  <w:footnote w:id="1">
    <w:p w14:paraId="3844B568" w14:textId="2C241315" w:rsidR="002D4075" w:rsidRPr="002D4075" w:rsidRDefault="002D4075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D40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075">
        <w:rPr>
          <w:rFonts w:ascii="Arial" w:hAnsi="Arial" w:cs="Arial"/>
          <w:sz w:val="24"/>
          <w:szCs w:val="24"/>
        </w:rPr>
        <w:t xml:space="preserve"> </w:t>
      </w:r>
      <w:r w:rsidRPr="002D407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2">
    <w:p w14:paraId="74AD1084" w14:textId="70CE8830" w:rsidR="003E4D45" w:rsidRPr="002D4075" w:rsidRDefault="003E4D45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D40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4075">
        <w:rPr>
          <w:rFonts w:ascii="Arial" w:hAnsi="Arial" w:cs="Arial"/>
          <w:sz w:val="24"/>
          <w:szCs w:val="24"/>
        </w:rPr>
        <w:t xml:space="preserve"> </w:t>
      </w:r>
      <w:r w:rsidRPr="002D4075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2D4075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2D4075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56DADA52" w14:textId="378B7255" w:rsidR="005F2D36" w:rsidRPr="005F2D36" w:rsidRDefault="005F2D36" w:rsidP="005F2D36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5F2D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F2D36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5F2D36">
        <w:rPr>
          <w:rFonts w:ascii="Arial" w:hAnsi="Arial" w:cs="Arial"/>
          <w:sz w:val="24"/>
          <w:szCs w:val="24"/>
          <w:lang w:val="pl-PL"/>
        </w:rPr>
        <w:t>2021</w:t>
      </w:r>
      <w:r w:rsidRPr="005F2D36">
        <w:rPr>
          <w:rFonts w:ascii="Arial" w:hAnsi="Arial" w:cs="Arial"/>
          <w:sz w:val="24"/>
          <w:szCs w:val="24"/>
        </w:rPr>
        <w:t>/</w:t>
      </w:r>
      <w:r w:rsidRPr="005F2D36">
        <w:rPr>
          <w:rFonts w:ascii="Arial" w:hAnsi="Arial" w:cs="Arial"/>
          <w:sz w:val="24"/>
          <w:szCs w:val="24"/>
          <w:lang w:val="pl-PL"/>
        </w:rPr>
        <w:t>1060</w:t>
      </w:r>
      <w:r w:rsidRPr="005F2D36">
        <w:rPr>
          <w:rFonts w:ascii="Arial" w:hAnsi="Arial" w:cs="Arial"/>
          <w:sz w:val="24"/>
          <w:szCs w:val="24"/>
        </w:rPr>
        <w:t xml:space="preserve"> z dnia </w:t>
      </w:r>
      <w:r w:rsidRPr="005F2D36">
        <w:rPr>
          <w:rFonts w:ascii="Arial" w:hAnsi="Arial" w:cs="Arial"/>
          <w:sz w:val="24"/>
          <w:szCs w:val="24"/>
          <w:lang w:val="pl-PL"/>
        </w:rPr>
        <w:t>24</w:t>
      </w:r>
      <w:r w:rsidRPr="005F2D36">
        <w:rPr>
          <w:rFonts w:ascii="Arial" w:hAnsi="Arial" w:cs="Arial"/>
          <w:sz w:val="24"/>
          <w:szCs w:val="24"/>
        </w:rPr>
        <w:t xml:space="preserve"> </w:t>
      </w:r>
      <w:r w:rsidRPr="005F2D36">
        <w:rPr>
          <w:rFonts w:ascii="Arial" w:hAnsi="Arial" w:cs="Arial"/>
          <w:sz w:val="24"/>
          <w:szCs w:val="24"/>
          <w:lang w:val="pl-PL"/>
        </w:rPr>
        <w:t>czerwca</w:t>
      </w:r>
      <w:r w:rsidRPr="005F2D36">
        <w:rPr>
          <w:rFonts w:ascii="Arial" w:hAnsi="Arial" w:cs="Arial"/>
          <w:sz w:val="24"/>
          <w:szCs w:val="24"/>
        </w:rPr>
        <w:t xml:space="preserve"> 20</w:t>
      </w:r>
      <w:r w:rsidRPr="005F2D36">
        <w:rPr>
          <w:rFonts w:ascii="Arial" w:hAnsi="Arial" w:cs="Arial"/>
          <w:sz w:val="24"/>
          <w:szCs w:val="24"/>
          <w:lang w:val="pl-PL"/>
        </w:rPr>
        <w:t>2</w:t>
      </w:r>
      <w:r w:rsidRPr="005F2D36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5F2D36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5F2D36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5F2D36">
        <w:rPr>
          <w:rFonts w:ascii="Arial" w:hAnsi="Arial" w:cs="Arial"/>
          <w:sz w:val="24"/>
          <w:szCs w:val="24"/>
          <w:lang w:val="pl-PL"/>
        </w:rPr>
        <w:t xml:space="preserve"> </w:t>
      </w:r>
      <w:r w:rsidRPr="005F2D36">
        <w:rPr>
          <w:rFonts w:ascii="Arial" w:hAnsi="Arial" w:cs="Arial"/>
          <w:sz w:val="24"/>
          <w:szCs w:val="24"/>
        </w:rPr>
        <w:t>(Dz. Urz. UE L</w:t>
      </w:r>
      <w:r w:rsidRPr="005F2D36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5F2D36">
        <w:rPr>
          <w:rFonts w:ascii="Arial" w:hAnsi="Arial" w:cs="Arial"/>
          <w:sz w:val="24"/>
          <w:szCs w:val="24"/>
        </w:rPr>
        <w:t xml:space="preserve"> </w:t>
      </w:r>
      <w:r w:rsidR="00761665">
        <w:rPr>
          <w:rFonts w:ascii="Arial" w:hAnsi="Arial" w:cs="Arial"/>
          <w:sz w:val="24"/>
          <w:szCs w:val="24"/>
        </w:rPr>
        <w:br/>
      </w:r>
      <w:r w:rsidRPr="005F2D36">
        <w:rPr>
          <w:rFonts w:ascii="Arial" w:hAnsi="Arial" w:cs="Arial"/>
          <w:sz w:val="24"/>
          <w:szCs w:val="24"/>
        </w:rPr>
        <w:t xml:space="preserve">z </w:t>
      </w:r>
      <w:r w:rsidRPr="005F2D36">
        <w:rPr>
          <w:rFonts w:ascii="Arial" w:hAnsi="Arial" w:cs="Arial"/>
          <w:sz w:val="24"/>
          <w:szCs w:val="24"/>
          <w:lang w:val="pl-PL"/>
        </w:rPr>
        <w:t>3</w:t>
      </w:r>
      <w:r w:rsidRPr="005F2D36">
        <w:rPr>
          <w:rFonts w:ascii="Arial" w:hAnsi="Arial" w:cs="Arial"/>
          <w:sz w:val="24"/>
          <w:szCs w:val="24"/>
        </w:rPr>
        <w:t>0.</w:t>
      </w:r>
      <w:r w:rsidRPr="005F2D36">
        <w:rPr>
          <w:rFonts w:ascii="Arial" w:hAnsi="Arial" w:cs="Arial"/>
          <w:sz w:val="24"/>
          <w:szCs w:val="24"/>
          <w:lang w:val="pl-PL"/>
        </w:rPr>
        <w:t>06</w:t>
      </w:r>
      <w:r w:rsidRPr="005F2D36">
        <w:rPr>
          <w:rFonts w:ascii="Arial" w:hAnsi="Arial" w:cs="Arial"/>
          <w:sz w:val="24"/>
          <w:szCs w:val="24"/>
        </w:rPr>
        <w:t>.20</w:t>
      </w:r>
      <w:r w:rsidRPr="005F2D36">
        <w:rPr>
          <w:rFonts w:ascii="Arial" w:hAnsi="Arial" w:cs="Arial"/>
          <w:sz w:val="24"/>
          <w:szCs w:val="24"/>
          <w:lang w:val="pl-PL"/>
        </w:rPr>
        <w:t>2</w:t>
      </w:r>
      <w:r w:rsidRPr="005F2D36">
        <w:rPr>
          <w:rFonts w:ascii="Arial" w:hAnsi="Arial" w:cs="Arial"/>
          <w:sz w:val="24"/>
          <w:szCs w:val="24"/>
        </w:rPr>
        <w:t xml:space="preserve">1) (dalej: rozporządzenie </w:t>
      </w:r>
      <w:r w:rsidRPr="005F2D36">
        <w:rPr>
          <w:rFonts w:ascii="Arial" w:hAnsi="Arial" w:cs="Arial"/>
          <w:sz w:val="24"/>
          <w:szCs w:val="24"/>
          <w:lang w:val="pl-PL"/>
        </w:rPr>
        <w:t>nr 2021/1060</w:t>
      </w:r>
      <w:r w:rsidRPr="005F2D36">
        <w:rPr>
          <w:rFonts w:ascii="Arial" w:hAnsi="Arial" w:cs="Arial"/>
          <w:sz w:val="24"/>
          <w:szCs w:val="24"/>
        </w:rPr>
        <w:t>).</w:t>
      </w:r>
    </w:p>
  </w:footnote>
  <w:footnote w:id="4">
    <w:p w14:paraId="0FA428AF" w14:textId="16C43116" w:rsidR="00D93F86" w:rsidRPr="00DE2749" w:rsidRDefault="00D93F86" w:rsidP="00D93F8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DE274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2749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A1A4C0E" w14:textId="77777777" w:rsidR="002D4075" w:rsidRPr="00544205" w:rsidRDefault="002D4075" w:rsidP="002D4075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2DE45A07" w14:textId="77777777" w:rsidR="002D4075" w:rsidRPr="00C35067" w:rsidRDefault="002D4075" w:rsidP="002D407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CDE032C" w14:textId="372D16C2" w:rsidR="002D4075" w:rsidRPr="00EA6124" w:rsidRDefault="002D4075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  <w:lang w:val="pl-PL"/>
        </w:rPr>
        <w:t xml:space="preserve"> w rozumieniu art. 4 pkt 2 ustawy z dnia 14 grudnia 2016 r. – Prawo oświatowe (Dz. U. z 20</w:t>
      </w:r>
      <w:r>
        <w:rPr>
          <w:rFonts w:ascii="Arial" w:hAnsi="Arial" w:cs="Arial"/>
          <w:sz w:val="24"/>
          <w:szCs w:val="24"/>
          <w:lang w:val="pl-PL"/>
        </w:rPr>
        <w:t>24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>
        <w:rPr>
          <w:rFonts w:ascii="Arial" w:hAnsi="Arial" w:cs="Arial"/>
          <w:sz w:val="24"/>
          <w:szCs w:val="24"/>
          <w:lang w:val="pl-PL"/>
        </w:rPr>
        <w:t>737 z późn. zm.</w:t>
      </w:r>
      <w:r w:rsidRPr="00EA6124">
        <w:rPr>
          <w:rFonts w:ascii="Arial" w:hAnsi="Arial" w:cs="Arial"/>
          <w:sz w:val="24"/>
          <w:szCs w:val="24"/>
          <w:lang w:val="pl-PL"/>
        </w:rPr>
        <w:t>).</w:t>
      </w:r>
    </w:p>
  </w:footnote>
  <w:footnote w:id="8">
    <w:p w14:paraId="137AE173" w14:textId="7BAE0343" w:rsidR="000C2EB9" w:rsidRPr="000C2EB9" w:rsidRDefault="000C2EB9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0C2EB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C2EB9">
        <w:rPr>
          <w:rFonts w:ascii="Arial" w:hAnsi="Arial" w:cs="Arial"/>
          <w:sz w:val="24"/>
          <w:szCs w:val="24"/>
        </w:rPr>
        <w:t xml:space="preserve"> </w:t>
      </w:r>
      <w:r w:rsidRPr="000C2EB9">
        <w:rPr>
          <w:rFonts w:ascii="Arial" w:hAnsi="Arial" w:cs="Arial"/>
          <w:sz w:val="24"/>
          <w:szCs w:val="24"/>
          <w:lang w:val="pl-PL"/>
        </w:rPr>
        <w:t xml:space="preserve">Wkład UE nie może wynieść więcej niż 85% w wydatkach kwalifikowalnych projektu. Wkład BP należy obliczyć zgodnie </w:t>
      </w:r>
      <w:r w:rsidR="00761665">
        <w:rPr>
          <w:rFonts w:ascii="Arial" w:hAnsi="Arial" w:cs="Arial"/>
          <w:sz w:val="24"/>
          <w:szCs w:val="24"/>
          <w:lang w:val="pl-PL"/>
        </w:rPr>
        <w:br/>
      </w:r>
      <w:r w:rsidRPr="000C2EB9">
        <w:rPr>
          <w:rFonts w:ascii="Arial" w:hAnsi="Arial" w:cs="Arial"/>
          <w:sz w:val="24"/>
          <w:szCs w:val="24"/>
          <w:lang w:val="pl-PL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9">
    <w:p w14:paraId="0B1032AC" w14:textId="5DC0201E" w:rsidR="002D4075" w:rsidRPr="000E4CE2" w:rsidRDefault="002D4075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857E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857E6">
        <w:rPr>
          <w:rFonts w:ascii="Arial" w:hAnsi="Arial" w:cs="Arial"/>
          <w:sz w:val="24"/>
          <w:szCs w:val="24"/>
        </w:rPr>
        <w:t xml:space="preserve"> </w:t>
      </w:r>
      <w:r w:rsidRPr="00760736">
        <w:rPr>
          <w:rFonts w:ascii="Arial" w:hAnsi="Arial" w:cs="Arial"/>
          <w:sz w:val="24"/>
          <w:szCs w:val="24"/>
        </w:rPr>
        <w:t xml:space="preserve">w przypadku zmiany SzOP w późniejszym terminie przy ocenie lub potwierdzaniu spełniania kryterium w związku z art. 62 ustawy </w:t>
      </w:r>
      <w:r w:rsidR="00761665">
        <w:rPr>
          <w:rFonts w:ascii="Arial" w:hAnsi="Arial" w:cs="Arial"/>
          <w:sz w:val="24"/>
          <w:szCs w:val="24"/>
        </w:rPr>
        <w:br/>
      </w:r>
      <w:r w:rsidRPr="00760736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</w:t>
      </w:r>
      <w:r w:rsidR="000C2EB9">
        <w:rPr>
          <w:rFonts w:ascii="Arial" w:hAnsi="Arial" w:cs="Arial"/>
          <w:sz w:val="24"/>
          <w:szCs w:val="24"/>
        </w:rPr>
        <w:t xml:space="preserve"> z późn. zm.</w:t>
      </w:r>
      <w:r w:rsidRPr="0076073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760736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Beneficjenta.</w:t>
      </w:r>
    </w:p>
  </w:footnote>
  <w:footnote w:id="10">
    <w:p w14:paraId="65EF406C" w14:textId="2E9D05A0" w:rsidR="002D4075" w:rsidRPr="00E32455" w:rsidRDefault="002D4075" w:rsidP="00B12C94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E274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2749">
        <w:rPr>
          <w:rFonts w:ascii="Arial" w:hAnsi="Arial" w:cs="Arial"/>
          <w:sz w:val="24"/>
          <w:szCs w:val="24"/>
        </w:rPr>
        <w:t xml:space="preserve"> </w:t>
      </w:r>
      <w:r w:rsidR="001F590E" w:rsidRPr="001F590E">
        <w:rPr>
          <w:rFonts w:ascii="Arial" w:hAnsi="Arial" w:cs="Arial"/>
          <w:sz w:val="24"/>
          <w:szCs w:val="24"/>
          <w:lang w:val="pl-PL" w:eastAsia="en-US"/>
        </w:rPr>
        <w:t xml:space="preserve">Pkt. 207 </w:t>
      </w:r>
      <w:hyperlink r:id="rId1" w:history="1">
        <w:r w:rsidR="001F590E" w:rsidRPr="001F590E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Zawiadomienia Komisji w sprawie pojęcia pomocy państwa w rozumieniu art. 107 ust. 1 Traktatu o funkcjonowaniu Unii Europejskiej </w:t>
        </w:r>
      </w:hyperlink>
      <w:r w:rsidR="001F590E" w:rsidRPr="001F590E">
        <w:rPr>
          <w:rFonts w:ascii="Arial" w:hAnsi="Arial" w:cs="Arial"/>
          <w:sz w:val="24"/>
          <w:szCs w:val="24"/>
          <w:lang w:val="pl-PL" w:eastAsia="en-US"/>
        </w:rPr>
        <w:t xml:space="preserve"> (Dz. Urz. UE C 262 z dnia 19 lipca 2016 r., str. 1).</w:t>
      </w:r>
    </w:p>
  </w:footnote>
  <w:footnote w:id="11">
    <w:p w14:paraId="32BD7799" w14:textId="58EDA616" w:rsidR="00BC388C" w:rsidRPr="00B65637" w:rsidRDefault="00BC388C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BC388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388C">
        <w:rPr>
          <w:rFonts w:ascii="Arial" w:hAnsi="Arial" w:cs="Arial"/>
          <w:sz w:val="24"/>
          <w:szCs w:val="24"/>
        </w:rPr>
        <w:t xml:space="preserve"> </w:t>
      </w:r>
      <w:bookmarkStart w:id="4" w:name="_Hlk182320201"/>
      <w:r w:rsidRPr="00BC388C">
        <w:rPr>
          <w:rFonts w:ascii="Arial" w:hAnsi="Arial" w:cs="Arial"/>
          <w:sz w:val="24"/>
          <w:szCs w:val="24"/>
        </w:rPr>
        <w:t xml:space="preserve">Zasada DNSH oznacza „Do no significant harm”, czyli „nie czyń poważnych szkód”. Zasada ma zapewnić, że działania, które </w:t>
      </w:r>
      <w:r w:rsidR="00761665">
        <w:rPr>
          <w:rFonts w:ascii="Arial" w:hAnsi="Arial" w:cs="Arial"/>
          <w:sz w:val="24"/>
          <w:szCs w:val="24"/>
        </w:rPr>
        <w:br/>
      </w:r>
      <w:r w:rsidRPr="00BC388C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5" w:name="_Hlk133314601"/>
      <w:r w:rsidRPr="00BC388C">
        <w:rPr>
          <w:rFonts w:ascii="Arial" w:hAnsi="Arial" w:cs="Arial"/>
          <w:sz w:val="24"/>
          <w:szCs w:val="24"/>
        </w:rPr>
        <w:t xml:space="preserve">dokumencie </w:t>
      </w:r>
      <w:bookmarkEnd w:id="5"/>
      <w:bookmarkEnd w:id="4"/>
      <w:r w:rsidR="00111DBB" w:rsidRPr="00111DBB">
        <w:rPr>
          <w:rFonts w:ascii="Arial" w:hAnsi="Arial" w:cs="Arial"/>
          <w:sz w:val="24"/>
          <w:szCs w:val="24"/>
        </w:rPr>
        <w:fldChar w:fldCharType="begin"/>
      </w:r>
      <w:r w:rsidR="00111DBB" w:rsidRPr="00111DBB">
        <w:rPr>
          <w:rFonts w:ascii="Arial" w:hAnsi="Arial" w:cs="Arial"/>
          <w:sz w:val="24"/>
          <w:szCs w:val="24"/>
        </w:rPr>
        <w:instrText>HYPERLINK "https://mojregion.eu/rpo/wp-content/uploads/sites/3/2022/11/uz-6-22-41-1624-z.pdf"</w:instrText>
      </w:r>
      <w:r w:rsidR="00111DBB" w:rsidRPr="00111DBB">
        <w:rPr>
          <w:rFonts w:ascii="Arial" w:hAnsi="Arial" w:cs="Arial"/>
          <w:sz w:val="24"/>
          <w:szCs w:val="24"/>
        </w:rPr>
      </w:r>
      <w:r w:rsidR="00111DBB" w:rsidRPr="00111DBB">
        <w:rPr>
          <w:rFonts w:ascii="Arial" w:hAnsi="Arial" w:cs="Arial"/>
          <w:sz w:val="24"/>
          <w:szCs w:val="24"/>
        </w:rPr>
        <w:fldChar w:fldCharType="separate"/>
      </w:r>
      <w:r w:rsidR="00111DBB" w:rsidRPr="00111DBB">
        <w:rPr>
          <w:rFonts w:ascii="Arial" w:hAnsi="Arial" w:cs="Arial"/>
          <w:color w:val="0000FF"/>
          <w:sz w:val="24"/>
          <w:szCs w:val="24"/>
          <w:u w:val="single"/>
        </w:rPr>
        <w:t>„Ocena zgodności z zasadą „nie czyń poważnych szkód” (DNSH) zakresów wsparcia zawartych w projekcie programu regionalnego Fundusze Europejskie dla Kujaw i Pomorza na lata 2021-2027”</w:t>
      </w:r>
      <w:r w:rsidR="00111DBB" w:rsidRPr="00111DBB">
        <w:rPr>
          <w:rFonts w:ascii="Arial" w:hAnsi="Arial" w:cs="Arial"/>
          <w:sz w:val="24"/>
          <w:szCs w:val="24"/>
        </w:rPr>
        <w:fldChar w:fldCharType="end"/>
      </w:r>
      <w:r w:rsidR="00111DBB" w:rsidRPr="00111DBB">
        <w:rPr>
          <w:rFonts w:ascii="Arial" w:hAnsi="Arial" w:cs="Arial"/>
          <w:sz w:val="24"/>
          <w:szCs w:val="24"/>
        </w:rPr>
        <w:t>.</w:t>
      </w:r>
    </w:p>
  </w:footnote>
  <w:footnote w:id="12">
    <w:p w14:paraId="2C2C92DE" w14:textId="30098777" w:rsidR="002D4075" w:rsidRPr="00EA6124" w:rsidRDefault="002D4075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761665">
        <w:rPr>
          <w:rFonts w:ascii="Arial" w:hAnsi="Arial" w:cs="Arial"/>
          <w:sz w:val="24"/>
          <w:szCs w:val="24"/>
          <w:lang w:val="pl-PL"/>
        </w:rPr>
        <w:br/>
      </w:r>
      <w:r w:rsidRPr="00EA6124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3">
    <w:p w14:paraId="545C94B0" w14:textId="156E6AE9" w:rsidR="002B3528" w:rsidRPr="00BC388C" w:rsidRDefault="002B3528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924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2442">
        <w:rPr>
          <w:rFonts w:ascii="Arial" w:hAnsi="Arial" w:cs="Arial"/>
          <w:sz w:val="24"/>
          <w:szCs w:val="24"/>
        </w:rPr>
        <w:t xml:space="preserve"> </w:t>
      </w:r>
      <w:bookmarkStart w:id="7" w:name="_Hlk130966638"/>
      <w:r w:rsidR="00BC388C" w:rsidRPr="00BC388C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  <w:bookmarkEnd w:id="7"/>
    </w:p>
  </w:footnote>
  <w:footnote w:id="14">
    <w:p w14:paraId="7EC10857" w14:textId="789EA22A" w:rsidR="002B3528" w:rsidRPr="00EF5D5E" w:rsidRDefault="002B3528" w:rsidP="00B65637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F5D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F5D5E">
        <w:rPr>
          <w:rFonts w:ascii="Arial" w:hAnsi="Arial" w:cs="Arial"/>
          <w:sz w:val="24"/>
          <w:szCs w:val="24"/>
        </w:rPr>
        <w:t xml:space="preserve"> 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761665">
        <w:rPr>
          <w:rFonts w:ascii="Arial" w:hAnsi="Arial" w:cs="Arial"/>
          <w:sz w:val="24"/>
          <w:szCs w:val="24"/>
          <w:lang w:val="pl-PL"/>
        </w:rPr>
        <w:br/>
      </w:r>
      <w:r w:rsidRPr="00EF5D5E">
        <w:rPr>
          <w:rFonts w:ascii="Arial" w:hAnsi="Arial" w:cs="Arial"/>
          <w:sz w:val="24"/>
          <w:szCs w:val="24"/>
          <w:lang w:val="pl-PL"/>
        </w:rPr>
        <w:t xml:space="preserve">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  <w:lang w:val="pl-PL"/>
        </w:rPr>
        <w:t>są mniejsze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5">
    <w:p w14:paraId="4DD1645B" w14:textId="77777777" w:rsidR="00BC388C" w:rsidRPr="00AE417A" w:rsidRDefault="00BC388C" w:rsidP="00B65637">
      <w:pPr>
        <w:spacing w:before="100" w:beforeAutospacing="1" w:after="100" w:afterAutospacing="1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6">
    <w:p w14:paraId="3A217944" w14:textId="51C20971" w:rsidR="00F262E6" w:rsidRPr="00EA6124" w:rsidRDefault="00F262E6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Zakup wyposażenia</w:t>
      </w:r>
      <w:r w:rsidR="0099139C" w:rsidRPr="00EA6124">
        <w:rPr>
          <w:rFonts w:ascii="Arial" w:hAnsi="Arial" w:cs="Arial"/>
          <w:sz w:val="24"/>
          <w:szCs w:val="24"/>
          <w:lang w:val="pl-PL"/>
        </w:rPr>
        <w:t xml:space="preserve"> </w:t>
      </w:r>
      <w:r w:rsidRPr="00EA6124">
        <w:rPr>
          <w:rFonts w:ascii="Arial" w:hAnsi="Arial" w:cs="Arial"/>
          <w:sz w:val="24"/>
          <w:szCs w:val="24"/>
        </w:rPr>
        <w:t>pracowni</w:t>
      </w:r>
      <w:r w:rsidRPr="00EA6124">
        <w:rPr>
          <w:rFonts w:ascii="Arial" w:hAnsi="Arial" w:cs="Arial"/>
          <w:sz w:val="24"/>
          <w:szCs w:val="24"/>
          <w:lang w:val="pl-PL"/>
        </w:rPr>
        <w:t>, co do zasady,</w:t>
      </w:r>
      <w:r w:rsidRPr="00EA6124">
        <w:rPr>
          <w:rFonts w:ascii="Arial" w:hAnsi="Arial" w:cs="Arial"/>
          <w:sz w:val="24"/>
          <w:szCs w:val="24"/>
        </w:rPr>
        <w:t xml:space="preserve"> dokonywany jest zgodnie z podstawą programową dla danego zawodu.</w:t>
      </w:r>
    </w:p>
  </w:footnote>
  <w:footnote w:id="17">
    <w:p w14:paraId="36249AB7" w14:textId="78C01F76" w:rsidR="00E87E8D" w:rsidRPr="00EA6124" w:rsidRDefault="00E87E8D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="00FA23CD" w:rsidRPr="00EA6124">
        <w:rPr>
          <w:rFonts w:ascii="Arial" w:hAnsi="Arial" w:cs="Arial"/>
          <w:sz w:val="24"/>
          <w:szCs w:val="24"/>
        </w:rPr>
        <w:t>Raport podsumowujący badanie w województwie kujawsko-pomorskim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na 20</w:t>
      </w:r>
      <w:r w:rsidR="00ED1869">
        <w:rPr>
          <w:rFonts w:ascii="Arial" w:hAnsi="Arial" w:cs="Arial"/>
          <w:sz w:val="24"/>
          <w:szCs w:val="24"/>
          <w:lang w:val="pl-PL"/>
        </w:rPr>
        <w:t>25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 r. lub </w:t>
      </w:r>
      <w:r w:rsidR="00453CBC" w:rsidRPr="00EA6124">
        <w:rPr>
          <w:rFonts w:ascii="Arial" w:hAnsi="Arial" w:cs="Arial"/>
          <w:sz w:val="24"/>
          <w:szCs w:val="24"/>
        </w:rPr>
        <w:t>aktualn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453CBC" w:rsidRPr="00EA6124">
        <w:rPr>
          <w:rFonts w:ascii="Arial" w:hAnsi="Arial" w:cs="Arial"/>
          <w:sz w:val="24"/>
          <w:szCs w:val="24"/>
        </w:rPr>
        <w:t xml:space="preserve"> na dzień złożenia wniosku </w:t>
      </w:r>
      <w:r w:rsidR="00761665">
        <w:rPr>
          <w:rFonts w:ascii="Arial" w:hAnsi="Arial" w:cs="Arial"/>
          <w:sz w:val="24"/>
          <w:szCs w:val="24"/>
        </w:rPr>
        <w:br/>
      </w:r>
      <w:r w:rsidR="00453CBC" w:rsidRPr="00EA6124">
        <w:rPr>
          <w:rFonts w:ascii="Arial" w:hAnsi="Arial" w:cs="Arial"/>
          <w:sz w:val="24"/>
          <w:szCs w:val="24"/>
        </w:rPr>
        <w:t>o dofinansowanie projektu</w:t>
      </w:r>
      <w:r w:rsidR="00453CBC" w:rsidRPr="00EA6124">
        <w:rPr>
          <w:rFonts w:ascii="Arial" w:hAnsi="Arial" w:cs="Arial"/>
          <w:sz w:val="24"/>
          <w:szCs w:val="24"/>
          <w:lang w:val="pl-PL"/>
        </w:rPr>
        <w:t xml:space="preserve">, </w:t>
      </w:r>
      <w:r w:rsidR="00FA23CD" w:rsidRPr="00EA6124">
        <w:rPr>
          <w:rFonts w:ascii="Arial" w:hAnsi="Arial" w:cs="Arial"/>
          <w:sz w:val="24"/>
          <w:szCs w:val="24"/>
        </w:rPr>
        <w:t>dostępn</w:t>
      </w:r>
      <w:r w:rsidR="00453CBC" w:rsidRPr="00EA6124">
        <w:rPr>
          <w:rFonts w:ascii="Arial" w:hAnsi="Arial" w:cs="Arial"/>
          <w:sz w:val="24"/>
          <w:szCs w:val="24"/>
          <w:lang w:val="pl-PL"/>
        </w:rPr>
        <w:t>y</w:t>
      </w:r>
      <w:r w:rsidR="00FA23CD" w:rsidRPr="00EA6124">
        <w:rPr>
          <w:rFonts w:ascii="Arial" w:hAnsi="Arial" w:cs="Arial"/>
          <w:sz w:val="24"/>
          <w:szCs w:val="24"/>
        </w:rPr>
        <w:t xml:space="preserve"> na stronie internetowej: barometrzawodow.pl</w:t>
      </w:r>
      <w:r w:rsidR="00453CBC"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18">
    <w:p w14:paraId="2D16DCC0" w14:textId="0D640A54" w:rsidR="00542731" w:rsidRPr="00EA6124" w:rsidRDefault="00542731" w:rsidP="00571EFC">
      <w:pPr>
        <w:spacing w:before="100" w:beforeAutospacing="1" w:after="100" w:afterAutospacing="1"/>
        <w:contextualSpacing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Załącznik do obwieszczenia Ministra Edukacji Narodowej z dnia </w:t>
      </w:r>
      <w:r w:rsidR="00ED1869">
        <w:rPr>
          <w:rFonts w:ascii="Arial" w:hAnsi="Arial" w:cs="Arial"/>
          <w:sz w:val="24"/>
          <w:szCs w:val="24"/>
        </w:rPr>
        <w:t>27</w:t>
      </w:r>
      <w:r w:rsidRPr="00EA6124">
        <w:rPr>
          <w:rFonts w:ascii="Arial" w:hAnsi="Arial" w:cs="Arial"/>
          <w:sz w:val="24"/>
          <w:szCs w:val="24"/>
        </w:rPr>
        <w:t xml:space="preserve"> stycznia 20</w:t>
      </w:r>
      <w:r w:rsidR="00ED186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w sprawie prognozy zapotrzebowania na pracowników w zawodach szkolnictwa branżowego na krajowym i wojewódzkim rynku pracy (M.P. z 20</w:t>
      </w:r>
      <w:r w:rsidR="00ED1869">
        <w:rPr>
          <w:rFonts w:ascii="Arial" w:hAnsi="Arial" w:cs="Arial"/>
          <w:sz w:val="24"/>
          <w:szCs w:val="24"/>
        </w:rPr>
        <w:t>25</w:t>
      </w:r>
      <w:r w:rsidRPr="00EA6124">
        <w:rPr>
          <w:rFonts w:ascii="Arial" w:hAnsi="Arial" w:cs="Arial"/>
          <w:sz w:val="24"/>
          <w:szCs w:val="24"/>
        </w:rPr>
        <w:t xml:space="preserve"> r. poz. 1</w:t>
      </w:r>
      <w:r w:rsidR="00ED1869">
        <w:rPr>
          <w:rFonts w:ascii="Arial" w:hAnsi="Arial" w:cs="Arial"/>
          <w:sz w:val="24"/>
          <w:szCs w:val="24"/>
        </w:rPr>
        <w:t>06</w:t>
      </w:r>
      <w:r w:rsidRPr="00EA6124">
        <w:rPr>
          <w:rFonts w:ascii="Arial" w:hAnsi="Arial" w:cs="Arial"/>
          <w:sz w:val="24"/>
          <w:szCs w:val="24"/>
        </w:rPr>
        <w:t>)</w:t>
      </w:r>
      <w:r w:rsidR="00453CBC" w:rsidRPr="00EA6124">
        <w:rPr>
          <w:rFonts w:ascii="Arial" w:hAnsi="Arial" w:cs="Arial"/>
          <w:sz w:val="24"/>
          <w:szCs w:val="24"/>
        </w:rPr>
        <w:t xml:space="preserve"> lub aktualny na dzień złożenia wniosku o dofinansowanie projektu.</w:t>
      </w:r>
    </w:p>
  </w:footnote>
  <w:footnote w:id="19">
    <w:p w14:paraId="48283500" w14:textId="7D83FBF5" w:rsidR="008C4AEA" w:rsidRPr="00EA6124" w:rsidRDefault="008C4AEA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Niezgodność w zakresie nazewnictwa danego zawodu pomiędzy Barometrem zawodów a Rozporządzeniem Ministra Edukacji Narodowej z dnia 13 marca 2017 r. w sprawie klasyfikacji zawodów szkolnictwa zawodowego (Dz. U. z 20</w:t>
      </w:r>
      <w:r w:rsidR="00807C78">
        <w:rPr>
          <w:rFonts w:ascii="Arial" w:hAnsi="Arial" w:cs="Arial"/>
          <w:sz w:val="24"/>
          <w:szCs w:val="24"/>
        </w:rPr>
        <w:t>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807C78">
        <w:rPr>
          <w:rFonts w:ascii="Arial" w:hAnsi="Arial" w:cs="Arial"/>
          <w:sz w:val="24"/>
          <w:szCs w:val="24"/>
        </w:rPr>
        <w:t>110</w:t>
      </w:r>
      <w:r w:rsidRPr="00EA6124">
        <w:rPr>
          <w:rFonts w:ascii="Arial" w:hAnsi="Arial" w:cs="Arial"/>
          <w:sz w:val="24"/>
          <w:szCs w:val="24"/>
        </w:rPr>
        <w:t>) lub Rozporządzeniem Ministra Edukacji Narodowej z dnia 15 lutego 2019 r. w sprawie ogólnych celów i zadań kształcenia w zawodach szkolnictwa branżowego oraz klasyfikacji zawodów szkolnictwa branżowego (Dz. U. z 2</w:t>
      </w:r>
      <w:r w:rsidR="00807C78">
        <w:rPr>
          <w:rFonts w:ascii="Arial" w:hAnsi="Arial" w:cs="Arial"/>
          <w:sz w:val="24"/>
          <w:szCs w:val="24"/>
        </w:rPr>
        <w:t>024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807C78">
        <w:rPr>
          <w:rFonts w:ascii="Arial" w:hAnsi="Arial" w:cs="Arial"/>
          <w:sz w:val="24"/>
          <w:szCs w:val="24"/>
        </w:rPr>
        <w:t>611</w:t>
      </w:r>
      <w:r w:rsidR="00F77B9E" w:rsidRPr="00EA6124">
        <w:rPr>
          <w:rFonts w:ascii="Arial" w:hAnsi="Arial" w:cs="Arial"/>
          <w:sz w:val="24"/>
          <w:szCs w:val="24"/>
          <w:lang w:val="pl-PL"/>
        </w:rPr>
        <w:t xml:space="preserve"> z późn. zm.</w:t>
      </w:r>
      <w:r w:rsidRPr="00EA6124">
        <w:rPr>
          <w:rFonts w:ascii="Arial" w:hAnsi="Arial" w:cs="Arial"/>
          <w:sz w:val="24"/>
          <w:szCs w:val="24"/>
        </w:rPr>
        <w:t>) lub Rozporządzeniem Ministra Kultury i Dziedzictwa Narodowego z dnia 8 kwietnia 2019 r. w sprawie klasyfikacji zawodów szkolnictwa artystycznego (Dz.U. z 20</w:t>
      </w:r>
      <w:r w:rsidR="00807C78">
        <w:rPr>
          <w:rFonts w:ascii="Arial" w:hAnsi="Arial" w:cs="Arial"/>
          <w:sz w:val="24"/>
          <w:szCs w:val="24"/>
        </w:rPr>
        <w:t>23</w:t>
      </w:r>
      <w:r w:rsidRPr="00EA6124">
        <w:rPr>
          <w:rFonts w:ascii="Arial" w:hAnsi="Arial" w:cs="Arial"/>
          <w:sz w:val="24"/>
          <w:szCs w:val="24"/>
        </w:rPr>
        <w:t xml:space="preserve"> r. poz. </w:t>
      </w:r>
      <w:r w:rsidR="00807C78">
        <w:rPr>
          <w:rFonts w:ascii="Arial" w:hAnsi="Arial" w:cs="Arial"/>
          <w:sz w:val="24"/>
          <w:szCs w:val="24"/>
          <w:lang w:val="pl-PL"/>
        </w:rPr>
        <w:t>2444</w:t>
      </w:r>
      <w:r w:rsidR="00F77B9E" w:rsidRPr="00EA6124">
        <w:rPr>
          <w:rFonts w:ascii="Arial" w:hAnsi="Arial" w:cs="Arial"/>
          <w:sz w:val="24"/>
          <w:szCs w:val="24"/>
          <w:lang w:val="pl-PL"/>
        </w:rPr>
        <w:t>.</w:t>
      </w:r>
      <w:r w:rsidRPr="00EA6124">
        <w:rPr>
          <w:rFonts w:ascii="Arial" w:hAnsi="Arial" w:cs="Arial"/>
          <w:sz w:val="24"/>
          <w:szCs w:val="24"/>
        </w:rPr>
        <w:t xml:space="preserve">) nie skutkuje obowiązkiem uzyskania opinii pracodawcy/ów z danej branży, o której mowa w przedmiotowym kryterium pod warunkiem, że nazwy określone w ww. dokumentach w sposób jednoznaczny wskazują na to, </w:t>
      </w:r>
      <w:r w:rsidR="00761665">
        <w:rPr>
          <w:rFonts w:ascii="Arial" w:hAnsi="Arial" w:cs="Arial"/>
          <w:sz w:val="24"/>
          <w:szCs w:val="24"/>
        </w:rPr>
        <w:br/>
      </w:r>
      <w:r w:rsidRPr="00EA6124">
        <w:rPr>
          <w:rFonts w:ascii="Arial" w:hAnsi="Arial" w:cs="Arial"/>
          <w:sz w:val="24"/>
          <w:szCs w:val="24"/>
        </w:rPr>
        <w:t>że dotyczą tego samego zawodu. W takim przypadku we wniosku o dofinansowanie projektu wnioskodawca zobowiązany będzie do zamieszczenia odpowiedniego wyjaśnienia.</w:t>
      </w:r>
    </w:p>
  </w:footnote>
  <w:footnote w:id="20">
    <w:p w14:paraId="30D6DBE5" w14:textId="1D41E73C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21">
    <w:p w14:paraId="20983E59" w14:textId="67D73641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923653" w:rsidRPr="00EA6124">
        <w:rPr>
          <w:rFonts w:ascii="Arial" w:hAnsi="Arial" w:cs="Arial"/>
          <w:sz w:val="24"/>
          <w:szCs w:val="24"/>
          <w:lang w:val="pl-PL"/>
        </w:rPr>
        <w:t>20</w:t>
      </w:r>
      <w:r w:rsidR="00807C78">
        <w:rPr>
          <w:rFonts w:ascii="Arial" w:hAnsi="Arial" w:cs="Arial"/>
          <w:sz w:val="24"/>
          <w:szCs w:val="24"/>
          <w:lang w:val="pl-PL"/>
        </w:rPr>
        <w:t>24</w:t>
      </w:r>
      <w:r w:rsidR="00923653" w:rsidRPr="00EA6124">
        <w:rPr>
          <w:rFonts w:ascii="Arial" w:hAnsi="Arial" w:cs="Arial"/>
          <w:sz w:val="24"/>
          <w:szCs w:val="24"/>
          <w:lang w:val="pl-PL"/>
        </w:rPr>
        <w:t xml:space="preserve"> r. poz. </w:t>
      </w:r>
      <w:r w:rsidR="00807C78">
        <w:rPr>
          <w:rFonts w:ascii="Arial" w:hAnsi="Arial" w:cs="Arial"/>
          <w:sz w:val="24"/>
          <w:szCs w:val="24"/>
          <w:lang w:val="pl-PL"/>
        </w:rPr>
        <w:t>1606</w:t>
      </w:r>
      <w:r w:rsidRPr="00EA6124">
        <w:rPr>
          <w:rFonts w:ascii="Arial" w:hAnsi="Arial" w:cs="Arial"/>
          <w:sz w:val="24"/>
          <w:szCs w:val="24"/>
        </w:rPr>
        <w:t>).</w:t>
      </w:r>
    </w:p>
  </w:footnote>
  <w:footnote w:id="22">
    <w:p w14:paraId="04206D7F" w14:textId="187CE044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5A1218">
        <w:rPr>
          <w:rFonts w:ascii="Arial" w:hAnsi="Arial" w:cs="Arial"/>
          <w:sz w:val="24"/>
          <w:szCs w:val="24"/>
          <w:lang w:val="pl-PL"/>
        </w:rPr>
        <w:t>2</w:t>
      </w:r>
      <w:r w:rsidR="00B65637">
        <w:rPr>
          <w:rFonts w:ascii="Arial" w:hAnsi="Arial" w:cs="Arial"/>
          <w:sz w:val="24"/>
          <w:szCs w:val="24"/>
          <w:lang w:val="pl-PL"/>
        </w:rPr>
        <w:t>0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5D73084E" w14:textId="63B3E9DD" w:rsidR="00C10882" w:rsidRPr="00EA6124" w:rsidRDefault="00C10882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5A1218">
        <w:rPr>
          <w:rFonts w:ascii="Arial" w:hAnsi="Arial" w:cs="Arial"/>
          <w:sz w:val="24"/>
          <w:szCs w:val="24"/>
          <w:lang w:val="pl-PL"/>
        </w:rPr>
        <w:t>2</w:t>
      </w:r>
      <w:r w:rsidR="00B65637">
        <w:rPr>
          <w:rFonts w:ascii="Arial" w:hAnsi="Arial" w:cs="Arial"/>
          <w:sz w:val="24"/>
          <w:szCs w:val="24"/>
          <w:lang w:val="pl-PL"/>
        </w:rPr>
        <w:t>1</w:t>
      </w:r>
      <w:r w:rsidRPr="00EA612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1F971" w14:textId="77777777" w:rsidR="00E04248" w:rsidRPr="00B12C94" w:rsidRDefault="00E04248" w:rsidP="00B12C94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B12C94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5C7398F7" w14:textId="13F84C15" w:rsidR="00F30096" w:rsidRDefault="00F30096" w:rsidP="00F3009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bookmarkStart w:id="8" w:name="_Hlk190862026"/>
    <w:r>
      <w:rPr>
        <w:rFonts w:ascii="Arial" w:hAnsi="Arial" w:cs="Arial"/>
        <w:bCs/>
        <w:sz w:val="24"/>
        <w:szCs w:val="24"/>
      </w:rPr>
      <w:t>Załącznik do Uchwały nr</w:t>
    </w:r>
    <w:r w:rsidR="00761665">
      <w:rPr>
        <w:rFonts w:ascii="Arial" w:hAnsi="Arial" w:cs="Arial"/>
        <w:bCs/>
        <w:sz w:val="24"/>
        <w:szCs w:val="24"/>
      </w:rPr>
      <w:t xml:space="preserve"> 44</w:t>
    </w:r>
    <w:r>
      <w:rPr>
        <w:rFonts w:ascii="Arial" w:hAnsi="Arial" w:cs="Arial"/>
        <w:bCs/>
        <w:sz w:val="24"/>
        <w:szCs w:val="24"/>
      </w:rPr>
      <w:t>/2025</w:t>
    </w:r>
  </w:p>
  <w:p w14:paraId="59C0168B" w14:textId="77777777" w:rsidR="00F30096" w:rsidRDefault="00F30096" w:rsidP="00F3009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Komitetu Monitorującego </w:t>
    </w:r>
  </w:p>
  <w:p w14:paraId="5EB1FC71" w14:textId="02850CDD" w:rsidR="003B0164" w:rsidRPr="001C29AD" w:rsidRDefault="00F30096" w:rsidP="00F30096">
    <w:pPr>
      <w:tabs>
        <w:tab w:val="center" w:pos="4536"/>
        <w:tab w:val="right" w:pos="9072"/>
      </w:tabs>
      <w:spacing w:after="0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program Fundusze Europejskie dla Kujaw i Pomorza 2021-2027 z 4 kwietnia 2025 r.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42C42"/>
    <w:multiLevelType w:val="hybridMultilevel"/>
    <w:tmpl w:val="B302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620D7"/>
    <w:multiLevelType w:val="hybridMultilevel"/>
    <w:tmpl w:val="3D94CD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22010"/>
    <w:multiLevelType w:val="hybridMultilevel"/>
    <w:tmpl w:val="675A443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814FA"/>
    <w:multiLevelType w:val="hybridMultilevel"/>
    <w:tmpl w:val="728A7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7B0A"/>
    <w:multiLevelType w:val="hybridMultilevel"/>
    <w:tmpl w:val="21144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6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10"/>
  </w:num>
  <w:num w:numId="5" w16cid:durableId="1547715144">
    <w:abstractNumId w:val="14"/>
  </w:num>
  <w:num w:numId="6" w16cid:durableId="150949622">
    <w:abstractNumId w:val="13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9"/>
  </w:num>
  <w:num w:numId="10" w16cid:durableId="247278971">
    <w:abstractNumId w:val="26"/>
  </w:num>
  <w:num w:numId="11" w16cid:durableId="2003270099">
    <w:abstractNumId w:val="11"/>
  </w:num>
  <w:num w:numId="12" w16cid:durableId="1678728301">
    <w:abstractNumId w:val="18"/>
  </w:num>
  <w:num w:numId="13" w16cid:durableId="164248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6"/>
  </w:num>
  <w:num w:numId="16" w16cid:durableId="153034165">
    <w:abstractNumId w:val="3"/>
  </w:num>
  <w:num w:numId="17" w16cid:durableId="1687706017">
    <w:abstractNumId w:val="7"/>
  </w:num>
  <w:num w:numId="18" w16cid:durableId="1114784641">
    <w:abstractNumId w:val="5"/>
  </w:num>
  <w:num w:numId="19" w16cid:durableId="315769832">
    <w:abstractNumId w:val="22"/>
  </w:num>
  <w:num w:numId="20" w16cid:durableId="14203248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4"/>
  </w:num>
  <w:num w:numId="22" w16cid:durableId="252325055">
    <w:abstractNumId w:val="15"/>
  </w:num>
  <w:num w:numId="23" w16cid:durableId="1575895455">
    <w:abstractNumId w:val="12"/>
  </w:num>
  <w:num w:numId="24" w16cid:durableId="1770849696">
    <w:abstractNumId w:val="23"/>
  </w:num>
  <w:num w:numId="25" w16cid:durableId="138307882">
    <w:abstractNumId w:val="20"/>
  </w:num>
  <w:num w:numId="26" w16cid:durableId="165941586">
    <w:abstractNumId w:val="21"/>
  </w:num>
  <w:num w:numId="27" w16cid:durableId="1781293327">
    <w:abstractNumId w:val="4"/>
  </w:num>
  <w:num w:numId="28" w16cid:durableId="207828491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2F5B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3A4F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4A63"/>
    <w:rsid w:val="000B6B8E"/>
    <w:rsid w:val="000B786A"/>
    <w:rsid w:val="000B79E6"/>
    <w:rsid w:val="000C2EB9"/>
    <w:rsid w:val="000C356A"/>
    <w:rsid w:val="000C3776"/>
    <w:rsid w:val="000C3D91"/>
    <w:rsid w:val="000C4789"/>
    <w:rsid w:val="000C57A6"/>
    <w:rsid w:val="000C5C11"/>
    <w:rsid w:val="000C5D23"/>
    <w:rsid w:val="000C6004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4CE2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1DBB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7CF"/>
    <w:rsid w:val="0012588A"/>
    <w:rsid w:val="001270BE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4B41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4ADF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9AD"/>
    <w:rsid w:val="001C2DD2"/>
    <w:rsid w:val="001C38C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A81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5D3D"/>
    <w:rsid w:val="001E6AAB"/>
    <w:rsid w:val="001E6F91"/>
    <w:rsid w:val="001E73FB"/>
    <w:rsid w:val="001E7523"/>
    <w:rsid w:val="001F0952"/>
    <w:rsid w:val="001F0B85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90E"/>
    <w:rsid w:val="001F6C20"/>
    <w:rsid w:val="001F763D"/>
    <w:rsid w:val="001F7EFA"/>
    <w:rsid w:val="00200E12"/>
    <w:rsid w:val="00200ED8"/>
    <w:rsid w:val="002017C5"/>
    <w:rsid w:val="00204DC2"/>
    <w:rsid w:val="00206686"/>
    <w:rsid w:val="00207FB1"/>
    <w:rsid w:val="00211DF1"/>
    <w:rsid w:val="00212CB3"/>
    <w:rsid w:val="00214DC4"/>
    <w:rsid w:val="00215738"/>
    <w:rsid w:val="002166CE"/>
    <w:rsid w:val="00216D0F"/>
    <w:rsid w:val="00220EF4"/>
    <w:rsid w:val="00220F31"/>
    <w:rsid w:val="002216C9"/>
    <w:rsid w:val="00222C1C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DAC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512B"/>
    <w:rsid w:val="0028733D"/>
    <w:rsid w:val="00287F62"/>
    <w:rsid w:val="0029005A"/>
    <w:rsid w:val="0029078F"/>
    <w:rsid w:val="00290A2A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352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50E4"/>
    <w:rsid w:val="002C5DB6"/>
    <w:rsid w:val="002C5ED2"/>
    <w:rsid w:val="002C66D6"/>
    <w:rsid w:val="002D0017"/>
    <w:rsid w:val="002D0EFC"/>
    <w:rsid w:val="002D15E1"/>
    <w:rsid w:val="002D3EE3"/>
    <w:rsid w:val="002D3F32"/>
    <w:rsid w:val="002D4075"/>
    <w:rsid w:val="002D4E8C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097F"/>
    <w:rsid w:val="003022A0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B5B"/>
    <w:rsid w:val="00307BF0"/>
    <w:rsid w:val="003101B3"/>
    <w:rsid w:val="003128EE"/>
    <w:rsid w:val="00313BCD"/>
    <w:rsid w:val="0031436E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086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3FD4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4DEA"/>
    <w:rsid w:val="00355661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556"/>
    <w:rsid w:val="00386E53"/>
    <w:rsid w:val="00387E2A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546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22D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0931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E0"/>
    <w:rsid w:val="004845C9"/>
    <w:rsid w:val="00484C93"/>
    <w:rsid w:val="0048644C"/>
    <w:rsid w:val="004865F1"/>
    <w:rsid w:val="00486D7B"/>
    <w:rsid w:val="0049024D"/>
    <w:rsid w:val="004904DD"/>
    <w:rsid w:val="00490EB3"/>
    <w:rsid w:val="004911D9"/>
    <w:rsid w:val="00492F65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650"/>
    <w:rsid w:val="00540ADD"/>
    <w:rsid w:val="00541118"/>
    <w:rsid w:val="00542731"/>
    <w:rsid w:val="00542A95"/>
    <w:rsid w:val="0054325D"/>
    <w:rsid w:val="005436A3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1EFC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218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D3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1177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E6"/>
    <w:rsid w:val="006860E9"/>
    <w:rsid w:val="006861E6"/>
    <w:rsid w:val="006865D0"/>
    <w:rsid w:val="00690744"/>
    <w:rsid w:val="00690D05"/>
    <w:rsid w:val="00690D33"/>
    <w:rsid w:val="00691A7B"/>
    <w:rsid w:val="00693776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05B0"/>
    <w:rsid w:val="006C1C0B"/>
    <w:rsid w:val="006C3ABB"/>
    <w:rsid w:val="006C4CF1"/>
    <w:rsid w:val="006C55B4"/>
    <w:rsid w:val="006C5854"/>
    <w:rsid w:val="006C5E80"/>
    <w:rsid w:val="006C60EB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381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277C4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4419"/>
    <w:rsid w:val="00744726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5036"/>
    <w:rsid w:val="00756460"/>
    <w:rsid w:val="00756C80"/>
    <w:rsid w:val="00757170"/>
    <w:rsid w:val="00760331"/>
    <w:rsid w:val="00760736"/>
    <w:rsid w:val="00761665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7C78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17C0"/>
    <w:rsid w:val="00831B24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16C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4BCB"/>
    <w:rsid w:val="008B4DA5"/>
    <w:rsid w:val="008B5FB6"/>
    <w:rsid w:val="008B77FF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873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1789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365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2CB0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450D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3C30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0376"/>
    <w:rsid w:val="00A826AD"/>
    <w:rsid w:val="00A82911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6D91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2C94"/>
    <w:rsid w:val="00B13ABC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410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450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3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D9A"/>
    <w:rsid w:val="00B73DDD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88C"/>
    <w:rsid w:val="00BC3E68"/>
    <w:rsid w:val="00BC4851"/>
    <w:rsid w:val="00BC6544"/>
    <w:rsid w:val="00BC77C5"/>
    <w:rsid w:val="00BD0C91"/>
    <w:rsid w:val="00BD0E15"/>
    <w:rsid w:val="00BD0F81"/>
    <w:rsid w:val="00BD101D"/>
    <w:rsid w:val="00BD31FE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041"/>
    <w:rsid w:val="00BF2AF6"/>
    <w:rsid w:val="00BF3C61"/>
    <w:rsid w:val="00BF3D75"/>
    <w:rsid w:val="00BF3D76"/>
    <w:rsid w:val="00BF40DF"/>
    <w:rsid w:val="00BF4E3B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5A9"/>
    <w:rsid w:val="00C05AF5"/>
    <w:rsid w:val="00C06143"/>
    <w:rsid w:val="00C063C7"/>
    <w:rsid w:val="00C06E67"/>
    <w:rsid w:val="00C07C4B"/>
    <w:rsid w:val="00C1088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42C6"/>
    <w:rsid w:val="00C56A47"/>
    <w:rsid w:val="00C56AD4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638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536"/>
    <w:rsid w:val="00C877C4"/>
    <w:rsid w:val="00C87F71"/>
    <w:rsid w:val="00C90287"/>
    <w:rsid w:val="00C905BA"/>
    <w:rsid w:val="00C92101"/>
    <w:rsid w:val="00C9217F"/>
    <w:rsid w:val="00C94991"/>
    <w:rsid w:val="00C949F7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11E5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823"/>
    <w:rsid w:val="00CE2C77"/>
    <w:rsid w:val="00CE3251"/>
    <w:rsid w:val="00CE34E1"/>
    <w:rsid w:val="00CE38A4"/>
    <w:rsid w:val="00CE3DBF"/>
    <w:rsid w:val="00CE4262"/>
    <w:rsid w:val="00CE4895"/>
    <w:rsid w:val="00CE51E5"/>
    <w:rsid w:val="00CE56D4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3C6"/>
    <w:rsid w:val="00D16C5C"/>
    <w:rsid w:val="00D174C1"/>
    <w:rsid w:val="00D22524"/>
    <w:rsid w:val="00D243AD"/>
    <w:rsid w:val="00D24CE0"/>
    <w:rsid w:val="00D26418"/>
    <w:rsid w:val="00D27AF8"/>
    <w:rsid w:val="00D27BD4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6F93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3777"/>
    <w:rsid w:val="00D643F9"/>
    <w:rsid w:val="00D64FB0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3F86"/>
    <w:rsid w:val="00D953C0"/>
    <w:rsid w:val="00D966EB"/>
    <w:rsid w:val="00D967E4"/>
    <w:rsid w:val="00D971ED"/>
    <w:rsid w:val="00D97854"/>
    <w:rsid w:val="00DA1D24"/>
    <w:rsid w:val="00DA1F42"/>
    <w:rsid w:val="00DA266F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749"/>
    <w:rsid w:val="00DE28EB"/>
    <w:rsid w:val="00DE33DD"/>
    <w:rsid w:val="00DE358E"/>
    <w:rsid w:val="00DE3D8C"/>
    <w:rsid w:val="00DE451A"/>
    <w:rsid w:val="00DE4916"/>
    <w:rsid w:val="00DE5C1C"/>
    <w:rsid w:val="00DE5C55"/>
    <w:rsid w:val="00DE6562"/>
    <w:rsid w:val="00DE7843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919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15A2"/>
    <w:rsid w:val="00E21784"/>
    <w:rsid w:val="00E220B9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2F83"/>
    <w:rsid w:val="00EA3CAD"/>
    <w:rsid w:val="00EA3E22"/>
    <w:rsid w:val="00EA5771"/>
    <w:rsid w:val="00EA58E4"/>
    <w:rsid w:val="00EA612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869"/>
    <w:rsid w:val="00ED1E7C"/>
    <w:rsid w:val="00ED21B0"/>
    <w:rsid w:val="00ED4798"/>
    <w:rsid w:val="00ED490D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0096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1DD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53F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3CD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96D"/>
    <w:rsid w:val="00FF0C2A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34</Pages>
  <Words>5177</Words>
  <Characters>31063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169</cp:revision>
  <cp:lastPrinted>2023-03-02T09:27:00Z</cp:lastPrinted>
  <dcterms:created xsi:type="dcterms:W3CDTF">2023-06-20T06:43:00Z</dcterms:created>
  <dcterms:modified xsi:type="dcterms:W3CDTF">2025-04-08T06:28:00Z</dcterms:modified>
</cp:coreProperties>
</file>