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34362" w14:textId="3D56AA69" w:rsidR="007F0272" w:rsidRPr="00077CA0" w:rsidRDefault="00EA0FAF" w:rsidP="007F0272">
      <w:pPr>
        <w:rPr>
          <w:rFonts w:cstheme="minorBidi"/>
          <w:color w:val="0F4761"/>
          <w:sz w:val="40"/>
          <w:szCs w:val="40"/>
          <w:highlight w:val="yellow"/>
        </w:rPr>
      </w:pPr>
      <w:r w:rsidRPr="00EA0FAF">
        <w:rPr>
          <w:rFonts w:cstheme="minorHAnsi"/>
          <w:noProof/>
          <w:sz w:val="40"/>
          <w:szCs w:val="40"/>
        </w:rPr>
        <w:drawing>
          <wp:anchor distT="0" distB="0" distL="114300" distR="114300" simplePos="0" relativeHeight="251658241" behindDoc="0" locked="0" layoutInCell="1" allowOverlap="1" wp14:anchorId="0D37294A" wp14:editId="5FF59116">
            <wp:simplePos x="0" y="0"/>
            <wp:positionH relativeFrom="margin">
              <wp:align>center</wp:align>
            </wp:positionH>
            <wp:positionV relativeFrom="paragraph">
              <wp:posOffset>-899795</wp:posOffset>
            </wp:positionV>
            <wp:extent cx="7553472" cy="10684933"/>
            <wp:effectExtent l="0" t="0" r="0" b="2540"/>
            <wp:wrapNone/>
            <wp:docPr id="81720964" name="Obraz 6" descr="Okładka zawierająca:&#10;tytuł badania: Ocena zainteresowania naborami FEdKP 2021-2027&#10;logotypy: Fundusze Europejskie dla Kujaw i Pomorza, Rzeczpospolita Polska, Dofinansowane przez Unię Europejską, Samorząd Województwa Kujawsko-Pomorskiego&#10;Logotyp Wykonawcy badania: EVALU Sp. z o.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0964" name="Obraz 6" descr="Okładka zawierająca:&#10;tytuł badania: Ocena zainteresowania naborami FEdKP 2021-2027&#10;logotypy: Fundusze Europejskie dla Kujaw i Pomorza, Rzeczpospolita Polska, Dofinansowane przez Unię Europejską, Samorząd Województwa Kujawsko-Pomorskiego&#10;Logotyp Wykonawcy badania: EVALU Sp. z o.o.">
                      <a:extLst>
                        <a:ext uri="{C183D7F6-B498-43B3-948B-1728B52AA6E4}">
                          <adec:decorative xmlns:adec="http://schemas.microsoft.com/office/drawing/2017/decorative" val="0"/>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53472" cy="106849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37A70B" w14:textId="2A98A74B" w:rsidR="00EA0FAF" w:rsidRPr="00EA0FAF" w:rsidRDefault="00EA0FAF" w:rsidP="00EA0FAF">
      <w:pPr>
        <w:rPr>
          <w:rFonts w:cstheme="minorHAnsi"/>
          <w:sz w:val="40"/>
          <w:szCs w:val="40"/>
        </w:rPr>
      </w:pPr>
    </w:p>
    <w:p w14:paraId="7CD059F3" w14:textId="77777777" w:rsidR="006F57A1" w:rsidRPr="006F57A1" w:rsidRDefault="006F57A1" w:rsidP="006F57A1">
      <w:pPr>
        <w:rPr>
          <w:rFonts w:cstheme="minorHAnsi"/>
          <w:sz w:val="40"/>
          <w:szCs w:val="40"/>
        </w:rPr>
        <w:sectPr w:rsidR="006F57A1" w:rsidRPr="006F57A1" w:rsidSect="007F0272">
          <w:headerReference w:type="default" r:id="rId12"/>
          <w:footerReference w:type="default" r:id="rId13"/>
          <w:pgSz w:w="11906" w:h="16838"/>
          <w:pgMar w:top="1417" w:right="1417" w:bottom="1417" w:left="1417" w:header="0" w:footer="0" w:gutter="0"/>
          <w:cols w:space="708"/>
          <w:titlePg/>
          <w:docGrid w:linePitch="360"/>
        </w:sectPr>
      </w:pPr>
    </w:p>
    <w:p w14:paraId="5FD02A25" w14:textId="3880661A" w:rsidR="009208EF" w:rsidRPr="008570E4" w:rsidRDefault="009208EF">
      <w:pPr>
        <w:rPr>
          <w:rStyle w:val="normaltextrun"/>
          <w:rFonts w:eastAsiaTheme="majorEastAsia" w:cstheme="minorHAnsi"/>
          <w:b/>
          <w:color w:val="0F4761"/>
          <w:sz w:val="40"/>
          <w:szCs w:val="40"/>
        </w:rPr>
      </w:pPr>
    </w:p>
    <w:p w14:paraId="36435E1E" w14:textId="7ED08A91" w:rsidR="00E93AF3" w:rsidRDefault="00D85FE4" w:rsidP="00E93AF3">
      <w:pPr>
        <w:rPr>
          <w:rFonts w:eastAsiaTheme="majorEastAsia"/>
          <w:b/>
          <w:bCs/>
          <w:sz w:val="44"/>
          <w:szCs w:val="44"/>
        </w:rPr>
      </w:pPr>
      <w:r w:rsidRPr="000938DC">
        <w:rPr>
          <w:rFonts w:cstheme="minorHAnsi"/>
          <w:noProof/>
          <w:lang w:eastAsia="pl-PL"/>
        </w:rPr>
        <w:drawing>
          <wp:inline distT="0" distB="0" distL="0" distR="0" wp14:anchorId="2160CE6B" wp14:editId="3F516E18">
            <wp:extent cx="2484120" cy="1005840"/>
            <wp:effectExtent l="0" t="0" r="0" b="3810"/>
            <wp:docPr id="31" name="Obraz 31" descr="herb Województwa Kujawsko-Pomorskiego oraz napis Urząd Marszałkowski Województwa Kujawsko-Pomorskiego w Toruni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braz 31" descr="herb Województwa Kujawsko-Pomorskiego oraz napis Urząd Marszałkowski Województwa Kujawsko-Pomorskiego w Toruniu"/>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1005840"/>
                    </a:xfrm>
                    <a:prstGeom prst="rect">
                      <a:avLst/>
                    </a:prstGeom>
                    <a:noFill/>
                    <a:ln>
                      <a:noFill/>
                    </a:ln>
                  </pic:spPr>
                </pic:pic>
              </a:graphicData>
            </a:graphic>
          </wp:inline>
        </w:drawing>
      </w:r>
    </w:p>
    <w:p w14:paraId="1AF92B4F" w14:textId="77777777" w:rsidR="00D85FE4" w:rsidRPr="000938DC" w:rsidRDefault="00D85FE4" w:rsidP="00D85FE4">
      <w:pPr>
        <w:rPr>
          <w:rFonts w:cstheme="minorHAnsi"/>
          <w:b/>
        </w:rPr>
      </w:pPr>
      <w:r w:rsidRPr="000938DC">
        <w:rPr>
          <w:rFonts w:cstheme="minorHAnsi"/>
          <w:b/>
        </w:rPr>
        <w:t>Zamawiający:</w:t>
      </w:r>
    </w:p>
    <w:p w14:paraId="63FF4173" w14:textId="4BEDC66A" w:rsidR="00D85FE4" w:rsidRPr="000938DC" w:rsidRDefault="00D85FE4" w:rsidP="00D85FE4">
      <w:pPr>
        <w:rPr>
          <w:rFonts w:cstheme="minorHAnsi"/>
        </w:rPr>
      </w:pPr>
      <w:r w:rsidRPr="000938DC">
        <w:rPr>
          <w:rFonts w:cstheme="minorHAnsi"/>
        </w:rPr>
        <w:t>WOJEWÓDZTWO KUJAWSKO-POMORSKIE</w:t>
      </w:r>
      <w:r w:rsidRPr="000938DC">
        <w:rPr>
          <w:rFonts w:cstheme="minorHAnsi"/>
        </w:rPr>
        <w:cr/>
        <w:t>Urz</w:t>
      </w:r>
      <w:r>
        <w:rPr>
          <w:rFonts w:cstheme="minorHAnsi"/>
        </w:rPr>
        <w:t>ąd</w:t>
      </w:r>
      <w:r w:rsidRPr="000938DC">
        <w:rPr>
          <w:rFonts w:cstheme="minorHAnsi"/>
        </w:rPr>
        <w:t xml:space="preserve"> Marszałkowski Województwa Kujawsko-Pomorskiego</w:t>
      </w:r>
    </w:p>
    <w:p w14:paraId="527ECB1E" w14:textId="77777777" w:rsidR="00D85FE4" w:rsidRPr="000938DC" w:rsidRDefault="00D85FE4" w:rsidP="00D85FE4">
      <w:pPr>
        <w:rPr>
          <w:rFonts w:cstheme="minorHAnsi"/>
        </w:rPr>
      </w:pPr>
      <w:r w:rsidRPr="000938DC">
        <w:rPr>
          <w:rFonts w:cstheme="minorHAnsi"/>
        </w:rPr>
        <w:t xml:space="preserve">Pl. Teatralny 2 </w:t>
      </w:r>
    </w:p>
    <w:p w14:paraId="319E10EB" w14:textId="65431EC7" w:rsidR="00D85FE4" w:rsidRDefault="00D85FE4" w:rsidP="00D85FE4">
      <w:pPr>
        <w:rPr>
          <w:rFonts w:cstheme="minorHAnsi"/>
        </w:rPr>
      </w:pPr>
      <w:r w:rsidRPr="000938DC">
        <w:rPr>
          <w:rFonts w:cstheme="minorHAnsi"/>
        </w:rPr>
        <w:t>87-100 Toruń</w:t>
      </w:r>
    </w:p>
    <w:p w14:paraId="21473207" w14:textId="1CA28F9D" w:rsidR="00D85FE4" w:rsidRPr="00E93AF3" w:rsidRDefault="00D85FE4" w:rsidP="00D85FE4">
      <w:pPr>
        <w:rPr>
          <w:rFonts w:eastAsiaTheme="majorEastAsia"/>
          <w:b/>
          <w:bCs/>
          <w:sz w:val="44"/>
          <w:szCs w:val="44"/>
        </w:rPr>
      </w:pPr>
      <w:r w:rsidRPr="000938DC">
        <w:rPr>
          <w:rFonts w:cstheme="minorHAnsi"/>
          <w:noProof/>
          <w:lang w:eastAsia="pl-PL"/>
        </w:rPr>
        <w:drawing>
          <wp:anchor distT="0" distB="0" distL="114300" distR="114300" simplePos="0" relativeHeight="251658240" behindDoc="0" locked="0" layoutInCell="1" allowOverlap="1" wp14:anchorId="236C2DE3" wp14:editId="6E69B462">
            <wp:simplePos x="0" y="0"/>
            <wp:positionH relativeFrom="column">
              <wp:posOffset>0</wp:posOffset>
            </wp:positionH>
            <wp:positionV relativeFrom="paragraph">
              <wp:posOffset>457200</wp:posOffset>
            </wp:positionV>
            <wp:extent cx="1749425" cy="783590"/>
            <wp:effectExtent l="0" t="0" r="3175" b="0"/>
            <wp:wrapTopAndBottom/>
            <wp:docPr id="10" name="Obraz 10" descr="Logo firmy Evalu – ciemnoszary napis „evalu” na białym tle, otoczony z lewej dolnej i prawej górnej strony zielonymi nawiasami kątowy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Logo firmy Evalu – ciemnoszary napis „evalu” na białym tle, otoczony z lewej dolnej i prawej górnej strony zielonymi nawiasami kątowymi"/>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9425" cy="7835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50039D" w14:textId="77777777" w:rsidR="00D85FE4" w:rsidRDefault="00D85FE4" w:rsidP="00D85FE4">
      <w:pPr>
        <w:spacing w:line="288" w:lineRule="auto"/>
        <w:rPr>
          <w:rFonts w:cstheme="minorHAnsi"/>
          <w:b/>
        </w:rPr>
      </w:pPr>
    </w:p>
    <w:p w14:paraId="4CE60D4B" w14:textId="5333CD18" w:rsidR="00D85FE4" w:rsidRPr="000938DC" w:rsidRDefault="00D85FE4" w:rsidP="00D85FE4">
      <w:pPr>
        <w:spacing w:line="288" w:lineRule="auto"/>
        <w:rPr>
          <w:rFonts w:cstheme="minorHAnsi"/>
          <w:b/>
        </w:rPr>
      </w:pPr>
      <w:r w:rsidRPr="000938DC">
        <w:rPr>
          <w:rFonts w:cstheme="minorHAnsi"/>
          <w:b/>
        </w:rPr>
        <w:t>Wykonawca:</w:t>
      </w:r>
    </w:p>
    <w:p w14:paraId="3098C586" w14:textId="77777777" w:rsidR="00D85FE4" w:rsidRPr="000938DC" w:rsidRDefault="00D85FE4" w:rsidP="00D85FE4">
      <w:pPr>
        <w:rPr>
          <w:rFonts w:cstheme="minorHAnsi"/>
        </w:rPr>
      </w:pPr>
      <w:r w:rsidRPr="000938DC">
        <w:rPr>
          <w:rFonts w:cstheme="minorHAnsi"/>
        </w:rPr>
        <w:t xml:space="preserve">EVALU Sp. z o.o. </w:t>
      </w:r>
    </w:p>
    <w:p w14:paraId="690EA2BB" w14:textId="77777777" w:rsidR="00D85FE4" w:rsidRPr="00D85FE4" w:rsidRDefault="00D85FE4" w:rsidP="00D85FE4">
      <w:pPr>
        <w:rPr>
          <w:rFonts w:cstheme="minorHAnsi"/>
        </w:rPr>
      </w:pPr>
      <w:r w:rsidRPr="00D85FE4">
        <w:rPr>
          <w:rFonts w:cstheme="minorHAnsi"/>
        </w:rPr>
        <w:t>ul. Sumaków 14</w:t>
      </w:r>
    </w:p>
    <w:p w14:paraId="06C4F6B1" w14:textId="77777777" w:rsidR="00D85FE4" w:rsidRDefault="00D85FE4" w:rsidP="00D85FE4">
      <w:pPr>
        <w:rPr>
          <w:rFonts w:cstheme="minorHAnsi"/>
        </w:rPr>
      </w:pPr>
      <w:r w:rsidRPr="00D85FE4">
        <w:rPr>
          <w:rFonts w:cstheme="minorHAnsi"/>
        </w:rPr>
        <w:t>04-690 Warszawa</w:t>
      </w:r>
    </w:p>
    <w:p w14:paraId="14934A8D" w14:textId="3525D0B8" w:rsidR="00D85FE4" w:rsidRDefault="00D85FE4" w:rsidP="00D85FE4">
      <w:pPr>
        <w:rPr>
          <w:rStyle w:val="normaltextrun"/>
          <w:rFonts w:eastAsiaTheme="majorEastAsia" w:cstheme="minorHAnsi"/>
          <w:b/>
          <w:color w:val="0B0E9D" w:themeColor="accent1" w:themeShade="BF"/>
          <w:sz w:val="40"/>
          <w:szCs w:val="40"/>
        </w:rPr>
      </w:pPr>
      <w:r w:rsidRPr="00742BD0">
        <w:rPr>
          <w:rFonts w:cstheme="minorHAnsi"/>
        </w:rPr>
        <w:t xml:space="preserve">e-mail: </w:t>
      </w:r>
      <w:hyperlink r:id="rId16" w:history="1">
        <w:r w:rsidRPr="00742BD0">
          <w:rPr>
            <w:rStyle w:val="Hipercze"/>
            <w:rFonts w:eastAsiaTheme="majorEastAsia" w:cstheme="minorHAnsi"/>
          </w:rPr>
          <w:t>evalu@evalu.pl</w:t>
        </w:r>
      </w:hyperlink>
    </w:p>
    <w:p w14:paraId="50BA5C0B" w14:textId="77777777" w:rsidR="006874F6" w:rsidRDefault="006874F6">
      <w:pPr>
        <w:rPr>
          <w:rStyle w:val="normaltextrun"/>
          <w:rFonts w:eastAsiaTheme="majorEastAsia" w:cstheme="minorHAnsi"/>
          <w:b/>
          <w:color w:val="0B0E9D" w:themeColor="accent1" w:themeShade="BF"/>
          <w:sz w:val="40"/>
          <w:szCs w:val="40"/>
        </w:rPr>
      </w:pPr>
    </w:p>
    <w:p w14:paraId="27823F03" w14:textId="79BA8A41" w:rsidR="00911064" w:rsidRDefault="00C042F2">
      <w:r w:rsidRPr="00077CA0">
        <w:t>Badanie zrealizowane przez zespół badawczy:</w:t>
      </w:r>
      <w:r w:rsidR="0090522C">
        <w:t xml:space="preserve"> </w:t>
      </w:r>
    </w:p>
    <w:p w14:paraId="5E0C3F7C" w14:textId="7E5767DF" w:rsidR="0080078A" w:rsidRPr="00077CA0" w:rsidRDefault="00537E63">
      <w:r>
        <w:t xml:space="preserve">Agnieszka Śnieżek </w:t>
      </w:r>
      <w:r w:rsidR="00DA3CC0">
        <w:t>(</w:t>
      </w:r>
      <w:r w:rsidR="00EB2B81">
        <w:t>kierownik</w:t>
      </w:r>
      <w:r w:rsidR="00DA3CC0">
        <w:t>)</w:t>
      </w:r>
      <w:r w:rsidR="0090522C">
        <w:t>,</w:t>
      </w:r>
      <w:r w:rsidR="00EB2B81">
        <w:t xml:space="preserve"> </w:t>
      </w:r>
      <w:r>
        <w:t>Sebastian Pałka</w:t>
      </w:r>
      <w:r w:rsidR="00EB2B81">
        <w:t>,</w:t>
      </w:r>
      <w:r w:rsidR="0090522C">
        <w:t xml:space="preserve"> </w:t>
      </w:r>
      <w:r w:rsidR="00DA3CC0">
        <w:t>Wojciech Pieniążek, Aleksandra Kamińska, Beata Dec, Adam Grajek, dr Adam Mielczarek</w:t>
      </w:r>
      <w:r w:rsidR="0090522C">
        <w:t>, Marta Cichowicz-Major</w:t>
      </w:r>
      <w:r w:rsidR="00DA3CC0">
        <w:t>, Michał Marciniak, Paweł Penszko, Paweł Pijanowski</w:t>
      </w:r>
      <w:r w:rsidR="005E6435">
        <w:t xml:space="preserve"> </w:t>
      </w:r>
      <w:r w:rsidR="0080078A" w:rsidRPr="00077CA0">
        <w:br w:type="page"/>
      </w:r>
    </w:p>
    <w:p w14:paraId="77AB79B3" w14:textId="5F88F320" w:rsidR="00096BC7" w:rsidRDefault="0080078A">
      <w:pPr>
        <w:rPr>
          <w:rStyle w:val="normaltextrun"/>
          <w:rFonts w:eastAsiaTheme="majorEastAsia" w:cstheme="minorHAnsi"/>
          <w:b/>
          <w:color w:val="0B0E9D" w:themeColor="accent1" w:themeShade="BF"/>
          <w:sz w:val="40"/>
          <w:szCs w:val="40"/>
        </w:rPr>
      </w:pPr>
      <w:r>
        <w:rPr>
          <w:rStyle w:val="normaltextrun"/>
          <w:rFonts w:eastAsiaTheme="majorEastAsia" w:cstheme="minorHAnsi"/>
          <w:b/>
          <w:color w:val="0B0E9D" w:themeColor="accent1" w:themeShade="BF"/>
          <w:sz w:val="40"/>
          <w:szCs w:val="40"/>
        </w:rPr>
        <w:lastRenderedPageBreak/>
        <w:t>Wykaz skrótów</w:t>
      </w:r>
      <w:r w:rsidR="0007632B">
        <w:rPr>
          <w:rStyle w:val="normaltextrun"/>
          <w:rFonts w:eastAsiaTheme="majorEastAsia" w:cstheme="minorHAnsi"/>
          <w:b/>
          <w:color w:val="0B0E9D" w:themeColor="accent1" w:themeShade="BF"/>
          <w:sz w:val="40"/>
          <w:szCs w:val="40"/>
        </w:rPr>
        <w:t xml:space="preserve"> </w:t>
      </w:r>
    </w:p>
    <w:tbl>
      <w:tblPr>
        <w:tblStyle w:val="Tabelalisty3akcent1"/>
        <w:tblW w:w="0" w:type="auto"/>
        <w:tblLook w:val="04A0" w:firstRow="1" w:lastRow="0" w:firstColumn="1" w:lastColumn="0" w:noHBand="0" w:noVBand="1"/>
        <w:tblCaption w:val="Wykaz skrótów"/>
        <w:tblDescription w:val="Tabela zawiera listę skrótów użytych w raporcie i ich rozwinięcia"/>
      </w:tblPr>
      <w:tblGrid>
        <w:gridCol w:w="2322"/>
        <w:gridCol w:w="6740"/>
      </w:tblGrid>
      <w:tr w:rsidR="00413DAE" w:rsidRPr="003A0291" w14:paraId="720AE65E" w14:textId="77777777" w:rsidTr="00077CA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2322" w:type="dxa"/>
            <w:tcBorders>
              <w:bottom w:val="single" w:sz="4" w:space="0" w:color="0F14D2" w:themeColor="accent1"/>
            </w:tcBorders>
          </w:tcPr>
          <w:p w14:paraId="5750B398" w14:textId="6693B293" w:rsidR="00413DAE" w:rsidRPr="003A0291" w:rsidRDefault="0037714A">
            <w:pPr>
              <w:rPr>
                <w:rStyle w:val="normaltextrun"/>
                <w:rFonts w:eastAsiaTheme="majorEastAsia" w:cstheme="minorHAnsi"/>
                <w:b w:val="0"/>
              </w:rPr>
            </w:pPr>
            <w:r w:rsidRPr="003A0291">
              <w:rPr>
                <w:rStyle w:val="normaltextrun"/>
                <w:rFonts w:eastAsiaTheme="majorEastAsia" w:cstheme="minorHAnsi"/>
                <w:bCs w:val="0"/>
              </w:rPr>
              <w:t>S</w:t>
            </w:r>
            <w:r w:rsidRPr="003A0291">
              <w:rPr>
                <w:rStyle w:val="normaltextrun"/>
                <w:rFonts w:eastAsiaTheme="majorEastAsia" w:cstheme="minorHAnsi"/>
              </w:rPr>
              <w:t>krót</w:t>
            </w:r>
          </w:p>
        </w:tc>
        <w:tc>
          <w:tcPr>
            <w:tcW w:w="6740" w:type="dxa"/>
            <w:tcBorders>
              <w:bottom w:val="single" w:sz="4" w:space="0" w:color="0F14D2" w:themeColor="accent1"/>
            </w:tcBorders>
          </w:tcPr>
          <w:p w14:paraId="4E06B2EC" w14:textId="525B05DD" w:rsidR="00413DAE" w:rsidRPr="003A0291" w:rsidRDefault="00104AFB" w:rsidP="00AF4A0F">
            <w:pPr>
              <w:spacing w:line="360" w:lineRule="auto"/>
              <w:cnfStyle w:val="100000000000" w:firstRow="1" w:lastRow="0" w:firstColumn="0" w:lastColumn="0" w:oddVBand="0" w:evenVBand="0" w:oddHBand="0" w:evenHBand="0" w:firstRowFirstColumn="0" w:firstRowLastColumn="0" w:lastRowFirstColumn="0" w:lastRowLastColumn="0"/>
              <w:rPr>
                <w:rStyle w:val="normaltextrun"/>
                <w:rFonts w:eastAsiaTheme="majorEastAsia" w:cstheme="minorHAnsi"/>
                <w:b w:val="0"/>
              </w:rPr>
            </w:pPr>
            <w:r w:rsidRPr="003A0291">
              <w:rPr>
                <w:rStyle w:val="normaltextrun"/>
                <w:rFonts w:eastAsiaTheme="majorEastAsia" w:cstheme="minorHAnsi"/>
                <w:bCs w:val="0"/>
              </w:rPr>
              <w:t>Pełna nazwa lub znaczenie</w:t>
            </w:r>
          </w:p>
        </w:tc>
      </w:tr>
      <w:tr w:rsidR="00837E2B" w:rsidRPr="003A0291" w14:paraId="747FF839"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E5963DF" w14:textId="7A38D6E3" w:rsidR="00837E2B" w:rsidRPr="003A0291" w:rsidRDefault="00B27AAA" w:rsidP="00A518E8">
            <w:pPr>
              <w:spacing w:before="0"/>
              <w:rPr>
                <w:rFonts w:eastAsia="Times New Roman" w:cstheme="minorHAnsi"/>
                <w:lang w:eastAsia="pl-PL"/>
              </w:rPr>
            </w:pPr>
            <w:r>
              <w:rPr>
                <w:rFonts w:eastAsia="Times New Roman" w:cstheme="minorHAnsi"/>
                <w:lang w:eastAsia="pl-PL"/>
              </w:rPr>
              <w:t>BAFE</w:t>
            </w:r>
          </w:p>
        </w:tc>
        <w:tc>
          <w:tcPr>
            <w:tcW w:w="6740" w:type="dxa"/>
            <w:tcBorders>
              <w:left w:val="single" w:sz="4" w:space="0" w:color="0F14D2" w:themeColor="accent1"/>
            </w:tcBorders>
          </w:tcPr>
          <w:p w14:paraId="16592227" w14:textId="7198AC7C" w:rsidR="00837E2B" w:rsidRPr="003A0291" w:rsidRDefault="009D5BFC" w:rsidP="00A518E8">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EC458C">
              <w:rPr>
                <w:rFonts w:ascii="Arial" w:eastAsia="Times New Roman" w:hAnsi="Arial" w:cs="Arial"/>
                <w:color w:val="000000" w:themeColor="text1"/>
                <w:szCs w:val="24"/>
              </w:rPr>
              <w:t xml:space="preserve">Biuro Analiz Funduszy Europejskich </w:t>
            </w:r>
          </w:p>
        </w:tc>
      </w:tr>
      <w:tr w:rsidR="00B27AAA" w:rsidRPr="003A0291" w14:paraId="3DB1224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B2E7C15" w14:textId="7C747B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BydOF-IP</w:t>
            </w:r>
          </w:p>
        </w:tc>
        <w:tc>
          <w:tcPr>
            <w:tcW w:w="6740" w:type="dxa"/>
            <w:tcBorders>
              <w:left w:val="single" w:sz="4" w:space="0" w:color="0F14D2" w:themeColor="accent1"/>
            </w:tcBorders>
          </w:tcPr>
          <w:p w14:paraId="215B113D" w14:textId="1BA3265B"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Bydgoski Obszar Funkcjonalny – Instrumenty Terytorialne w ramach Instytucji Pośredniczącej</w:t>
            </w:r>
          </w:p>
        </w:tc>
      </w:tr>
      <w:tr w:rsidR="00B27AAA" w:rsidRPr="003A0291" w14:paraId="1A3E6DA5"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2514C8D"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CAWI</w:t>
            </w:r>
          </w:p>
        </w:tc>
        <w:tc>
          <w:tcPr>
            <w:tcW w:w="6740" w:type="dxa"/>
            <w:tcBorders>
              <w:left w:val="single" w:sz="4" w:space="0" w:color="0F14D2" w:themeColor="accent1"/>
            </w:tcBorders>
            <w:hideMark/>
          </w:tcPr>
          <w:p w14:paraId="53F28753"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proofErr w:type="spellStart"/>
            <w:r w:rsidRPr="003A0291">
              <w:rPr>
                <w:rFonts w:eastAsia="Times New Roman" w:cstheme="minorHAnsi"/>
                <w:lang w:eastAsia="pl-PL"/>
              </w:rPr>
              <w:t>Computer-Assisted</w:t>
            </w:r>
            <w:proofErr w:type="spellEnd"/>
            <w:r w:rsidRPr="003A0291">
              <w:rPr>
                <w:rFonts w:eastAsia="Times New Roman" w:cstheme="minorHAnsi"/>
                <w:lang w:eastAsia="pl-PL"/>
              </w:rPr>
              <w:t xml:space="preserve"> Web Interview – wywiad wspomagany komputerowo przez Internet</w:t>
            </w:r>
          </w:p>
        </w:tc>
      </w:tr>
      <w:tr w:rsidR="00B27AAA" w:rsidRPr="003A0291" w14:paraId="3E386746"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68011B65"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CATI</w:t>
            </w:r>
          </w:p>
        </w:tc>
        <w:tc>
          <w:tcPr>
            <w:tcW w:w="6740" w:type="dxa"/>
            <w:tcBorders>
              <w:left w:val="single" w:sz="4" w:space="0" w:color="0F14D2" w:themeColor="accent1"/>
            </w:tcBorders>
            <w:hideMark/>
          </w:tcPr>
          <w:p w14:paraId="0D84E456"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proofErr w:type="spellStart"/>
            <w:r w:rsidRPr="003A0291">
              <w:rPr>
                <w:rFonts w:eastAsia="Times New Roman" w:cstheme="minorHAnsi"/>
                <w:lang w:eastAsia="pl-PL"/>
              </w:rPr>
              <w:t>Computer-Assisted</w:t>
            </w:r>
            <w:proofErr w:type="spellEnd"/>
            <w:r w:rsidRPr="003A0291">
              <w:rPr>
                <w:rFonts w:eastAsia="Times New Roman" w:cstheme="minorHAnsi"/>
                <w:lang w:eastAsia="pl-PL"/>
              </w:rPr>
              <w:t xml:space="preserve"> Telephone Interview – wywiad telefoniczny wspomagany komputerowo</w:t>
            </w:r>
          </w:p>
        </w:tc>
      </w:tr>
      <w:tr w:rsidR="00B27AAA" w:rsidRPr="003A0291" w14:paraId="1E98A7DE"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4DEAC78"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CST2021</w:t>
            </w:r>
          </w:p>
        </w:tc>
        <w:tc>
          <w:tcPr>
            <w:tcW w:w="6740" w:type="dxa"/>
            <w:tcBorders>
              <w:left w:val="single" w:sz="4" w:space="0" w:color="0F14D2" w:themeColor="accent1"/>
            </w:tcBorders>
            <w:hideMark/>
          </w:tcPr>
          <w:p w14:paraId="3D8B285F"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Centralny System Teleinformatyczny 2021</w:t>
            </w:r>
          </w:p>
        </w:tc>
      </w:tr>
      <w:tr w:rsidR="00B27AAA" w:rsidRPr="003A0291" w14:paraId="25F41D3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A42E528" w14:textId="7E0B755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DNSH</w:t>
            </w:r>
          </w:p>
        </w:tc>
        <w:tc>
          <w:tcPr>
            <w:tcW w:w="6740" w:type="dxa"/>
            <w:tcBorders>
              <w:left w:val="single" w:sz="4" w:space="0" w:color="0F14D2" w:themeColor="accent1"/>
            </w:tcBorders>
          </w:tcPr>
          <w:p w14:paraId="635DF104" w14:textId="26ED0FD0"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Do No </w:t>
            </w:r>
            <w:proofErr w:type="spellStart"/>
            <w:r w:rsidRPr="003A0291">
              <w:rPr>
                <w:rFonts w:eastAsia="Times New Roman" w:cstheme="minorHAnsi"/>
                <w:lang w:eastAsia="pl-PL"/>
              </w:rPr>
              <w:t>Significant</w:t>
            </w:r>
            <w:proofErr w:type="spellEnd"/>
            <w:r w:rsidRPr="003A0291">
              <w:rPr>
                <w:rFonts w:eastAsia="Times New Roman" w:cstheme="minorHAnsi"/>
                <w:lang w:eastAsia="pl-PL"/>
              </w:rPr>
              <w:t xml:space="preserve"> </w:t>
            </w:r>
            <w:proofErr w:type="spellStart"/>
            <w:r w:rsidRPr="003A0291">
              <w:rPr>
                <w:rFonts w:eastAsia="Times New Roman" w:cstheme="minorHAnsi"/>
                <w:lang w:eastAsia="pl-PL"/>
              </w:rPr>
              <w:t>Harm</w:t>
            </w:r>
            <w:proofErr w:type="spellEnd"/>
            <w:r w:rsidRPr="003A0291">
              <w:rPr>
                <w:rFonts w:eastAsia="Times New Roman" w:cstheme="minorHAnsi"/>
                <w:lang w:eastAsia="pl-PL"/>
              </w:rPr>
              <w:t>, czyli „nie czyń poważnych szkód”</w:t>
            </w:r>
          </w:p>
        </w:tc>
      </w:tr>
      <w:tr w:rsidR="00B27AAA" w:rsidRPr="003A0291" w14:paraId="6EF1549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83EC16E" w14:textId="47EFE44A"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DKPUiI</w:t>
            </w:r>
          </w:p>
        </w:tc>
        <w:tc>
          <w:tcPr>
            <w:tcW w:w="6740" w:type="dxa"/>
            <w:tcBorders>
              <w:left w:val="single" w:sz="4" w:space="0" w:color="0F14D2" w:themeColor="accent1"/>
            </w:tcBorders>
          </w:tcPr>
          <w:p w14:paraId="7A8F8514" w14:textId="44D2499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Departament </w:t>
            </w:r>
            <w:r w:rsidR="00806FE3">
              <w:rPr>
                <w:rFonts w:eastAsia="Times New Roman" w:cstheme="minorHAnsi"/>
                <w:lang w:eastAsia="pl-PL"/>
              </w:rPr>
              <w:t>Koordynacji</w:t>
            </w:r>
            <w:r w:rsidRPr="003A0291">
              <w:rPr>
                <w:rFonts w:eastAsia="Times New Roman" w:cstheme="minorHAnsi"/>
                <w:lang w:eastAsia="pl-PL"/>
              </w:rPr>
              <w:t xml:space="preserve"> Projektów Unijnych i Inwestycji</w:t>
            </w:r>
          </w:p>
        </w:tc>
      </w:tr>
      <w:tr w:rsidR="00B27AAA" w:rsidRPr="003A0291" w14:paraId="69F01F1D"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996CD07" w14:textId="2F5E7573"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DROW</w:t>
            </w:r>
          </w:p>
        </w:tc>
        <w:tc>
          <w:tcPr>
            <w:tcW w:w="6740" w:type="dxa"/>
            <w:tcBorders>
              <w:left w:val="single" w:sz="4" w:space="0" w:color="0F14D2" w:themeColor="accent1"/>
            </w:tcBorders>
          </w:tcPr>
          <w:p w14:paraId="19443D4B" w14:textId="55CC83B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Departament Rozwoju Obszarów Wiejskich</w:t>
            </w:r>
          </w:p>
        </w:tc>
      </w:tr>
      <w:tr w:rsidR="00B27AAA" w:rsidRPr="003A0291" w14:paraId="09E86D1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616CC3F1"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EFS+</w:t>
            </w:r>
          </w:p>
        </w:tc>
        <w:tc>
          <w:tcPr>
            <w:tcW w:w="6740" w:type="dxa"/>
            <w:tcBorders>
              <w:left w:val="single" w:sz="4" w:space="0" w:color="0F14D2" w:themeColor="accent1"/>
            </w:tcBorders>
            <w:hideMark/>
          </w:tcPr>
          <w:p w14:paraId="24A5DBA7"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Europejski Fundusz Społeczny Plus</w:t>
            </w:r>
          </w:p>
        </w:tc>
      </w:tr>
      <w:tr w:rsidR="00B27AAA" w:rsidRPr="003A0291" w14:paraId="3570F2A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4AEA40A"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EFRR</w:t>
            </w:r>
          </w:p>
        </w:tc>
        <w:tc>
          <w:tcPr>
            <w:tcW w:w="6740" w:type="dxa"/>
            <w:tcBorders>
              <w:left w:val="single" w:sz="4" w:space="0" w:color="0F14D2" w:themeColor="accent1"/>
            </w:tcBorders>
            <w:hideMark/>
          </w:tcPr>
          <w:p w14:paraId="2AD7D772"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Europejski Fundusz Rozwoju Regionalnego</w:t>
            </w:r>
          </w:p>
        </w:tc>
      </w:tr>
      <w:tr w:rsidR="00B27AAA" w:rsidRPr="003A0291" w14:paraId="22118700"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4919BA06" w14:textId="10D3DFC2"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FEdKP 2021-2027</w:t>
            </w:r>
          </w:p>
        </w:tc>
        <w:tc>
          <w:tcPr>
            <w:tcW w:w="6740" w:type="dxa"/>
            <w:tcBorders>
              <w:left w:val="single" w:sz="4" w:space="0" w:color="0F14D2" w:themeColor="accent1"/>
            </w:tcBorders>
            <w:hideMark/>
          </w:tcPr>
          <w:p w14:paraId="7B024B59" w14:textId="596BDE6C"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Kujaw i Pomorza 2021-2027</w:t>
            </w:r>
          </w:p>
        </w:tc>
      </w:tr>
      <w:tr w:rsidR="00B27AAA" w:rsidRPr="003A0291" w14:paraId="57B4D1D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1574D39C"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FGI</w:t>
            </w:r>
          </w:p>
        </w:tc>
        <w:tc>
          <w:tcPr>
            <w:tcW w:w="6740" w:type="dxa"/>
            <w:tcBorders>
              <w:left w:val="single" w:sz="4" w:space="0" w:color="0F14D2" w:themeColor="accent1"/>
            </w:tcBorders>
            <w:hideMark/>
          </w:tcPr>
          <w:p w14:paraId="3DE6BB86"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Focus Group Interview – wywiady grupowe zogniskowane</w:t>
            </w:r>
          </w:p>
        </w:tc>
      </w:tr>
      <w:tr w:rsidR="00B27AAA" w:rsidRPr="003A0291" w14:paraId="6B3439BC"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877F62D" w14:textId="6B1604B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FE SL 2021-2027</w:t>
            </w:r>
          </w:p>
        </w:tc>
        <w:tc>
          <w:tcPr>
            <w:tcW w:w="6740" w:type="dxa"/>
            <w:tcBorders>
              <w:left w:val="single" w:sz="4" w:space="0" w:color="0F14D2" w:themeColor="accent1"/>
            </w:tcBorders>
          </w:tcPr>
          <w:p w14:paraId="0D2BFA76" w14:textId="14B6CA0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Śląskiego 2021–2027</w:t>
            </w:r>
          </w:p>
        </w:tc>
      </w:tr>
      <w:tr w:rsidR="00B27AAA" w:rsidRPr="003A0291" w14:paraId="3A2D433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9890325" w14:textId="1CF26341"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GOZ</w:t>
            </w:r>
          </w:p>
        </w:tc>
        <w:tc>
          <w:tcPr>
            <w:tcW w:w="6740" w:type="dxa"/>
            <w:tcBorders>
              <w:left w:val="single" w:sz="4" w:space="0" w:color="0F14D2" w:themeColor="accent1"/>
            </w:tcBorders>
          </w:tcPr>
          <w:p w14:paraId="584A6C65" w14:textId="69764A6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Gospodarka o obiegu zamkniętym</w:t>
            </w:r>
          </w:p>
        </w:tc>
      </w:tr>
      <w:tr w:rsidR="00B27AAA" w:rsidRPr="003A0291" w14:paraId="18B6980F"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142FFB6" w14:textId="01DCB5C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IIT</w:t>
            </w:r>
          </w:p>
        </w:tc>
        <w:tc>
          <w:tcPr>
            <w:tcW w:w="6740" w:type="dxa"/>
            <w:tcBorders>
              <w:left w:val="single" w:sz="4" w:space="0" w:color="0F14D2" w:themeColor="accent1"/>
            </w:tcBorders>
          </w:tcPr>
          <w:p w14:paraId="3258EE31" w14:textId="0B36DAC1"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Inny Instrument Terytorialny</w:t>
            </w:r>
          </w:p>
        </w:tc>
      </w:tr>
      <w:tr w:rsidR="00B27AAA" w:rsidRPr="003A0291" w14:paraId="3E7C059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535966D" w14:textId="1947F1C5"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IK UP</w:t>
            </w:r>
          </w:p>
        </w:tc>
        <w:tc>
          <w:tcPr>
            <w:tcW w:w="6740" w:type="dxa"/>
            <w:tcBorders>
              <w:left w:val="single" w:sz="4" w:space="0" w:color="0F14D2" w:themeColor="accent1"/>
            </w:tcBorders>
          </w:tcPr>
          <w:p w14:paraId="53D8C7F6" w14:textId="5F3EF660"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Koordynująca Umowę Partnerstwa</w:t>
            </w:r>
          </w:p>
        </w:tc>
      </w:tr>
      <w:tr w:rsidR="00B27AAA" w:rsidRPr="003A0291" w14:paraId="0D09B60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2090613" w14:textId="12B0A570"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ION</w:t>
            </w:r>
          </w:p>
        </w:tc>
        <w:tc>
          <w:tcPr>
            <w:tcW w:w="6740" w:type="dxa"/>
            <w:tcBorders>
              <w:left w:val="single" w:sz="4" w:space="0" w:color="0F14D2" w:themeColor="accent1"/>
            </w:tcBorders>
          </w:tcPr>
          <w:p w14:paraId="7F3AC7A3" w14:textId="28D8B64C"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organizująca nabory</w:t>
            </w:r>
          </w:p>
        </w:tc>
      </w:tr>
      <w:tr w:rsidR="00B27AAA" w:rsidRPr="003A0291" w14:paraId="64C8D97F"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EF8F776" w14:textId="4EB533D3" w:rsidR="00B27AAA" w:rsidRPr="00716F00" w:rsidRDefault="00B27AAA" w:rsidP="00B27AAA">
            <w:pPr>
              <w:spacing w:before="0"/>
              <w:rPr>
                <w:rFonts w:eastAsia="Times New Roman" w:cstheme="minorHAnsi"/>
                <w:lang w:eastAsia="pl-PL"/>
              </w:rPr>
            </w:pPr>
            <w:r w:rsidRPr="003A0291">
              <w:rPr>
                <w:rFonts w:eastAsia="Times New Roman" w:cstheme="minorHAnsi"/>
                <w:lang w:eastAsia="pl-PL"/>
              </w:rPr>
              <w:t>IP</w:t>
            </w:r>
          </w:p>
        </w:tc>
        <w:tc>
          <w:tcPr>
            <w:tcW w:w="6740" w:type="dxa"/>
            <w:tcBorders>
              <w:left w:val="single" w:sz="4" w:space="0" w:color="0F14D2" w:themeColor="accent1"/>
            </w:tcBorders>
          </w:tcPr>
          <w:p w14:paraId="503A39D1" w14:textId="18920377" w:rsidR="00B27AAA" w:rsidRPr="00161B3B"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Pośrednicząca</w:t>
            </w:r>
          </w:p>
        </w:tc>
      </w:tr>
      <w:tr w:rsidR="00B27AAA" w:rsidRPr="003A0291" w14:paraId="76AD554D" w14:textId="77777777" w:rsidTr="00A800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7E81D27" w14:textId="73DA0476" w:rsidR="00B27AAA" w:rsidRPr="003A0291" w:rsidRDefault="00B27AAA" w:rsidP="00B27AAA">
            <w:pPr>
              <w:spacing w:before="0"/>
              <w:rPr>
                <w:rFonts w:eastAsia="Times New Roman" w:cstheme="minorHAnsi"/>
                <w:lang w:eastAsia="pl-PL"/>
              </w:rPr>
            </w:pPr>
            <w:r w:rsidRPr="00716F00">
              <w:rPr>
                <w:rFonts w:eastAsia="Times New Roman" w:cstheme="minorHAnsi"/>
                <w:lang w:eastAsia="pl-PL"/>
              </w:rPr>
              <w:t>IP FEdKP 2021-2027</w:t>
            </w:r>
          </w:p>
        </w:tc>
        <w:tc>
          <w:tcPr>
            <w:tcW w:w="6740" w:type="dxa"/>
            <w:tcBorders>
              <w:left w:val="single" w:sz="4" w:space="0" w:color="0F14D2" w:themeColor="accent1"/>
            </w:tcBorders>
          </w:tcPr>
          <w:p w14:paraId="3EB31159" w14:textId="43D7831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161B3B">
              <w:rPr>
                <w:rFonts w:eastAsia="Times New Roman" w:cstheme="minorHAnsi"/>
                <w:lang w:eastAsia="pl-PL"/>
              </w:rPr>
              <w:t xml:space="preserve">Instytucja </w:t>
            </w:r>
            <w:r>
              <w:rPr>
                <w:rFonts w:eastAsia="Times New Roman" w:cstheme="minorHAnsi"/>
                <w:lang w:eastAsia="pl-PL"/>
              </w:rPr>
              <w:t>pośrednicząca</w:t>
            </w:r>
            <w:r w:rsidRPr="00161B3B">
              <w:rPr>
                <w:rFonts w:eastAsia="Times New Roman" w:cstheme="minorHAnsi"/>
                <w:lang w:eastAsia="pl-PL"/>
              </w:rPr>
              <w:t xml:space="preserve"> </w:t>
            </w:r>
            <w:r w:rsidR="000805B8">
              <w:rPr>
                <w:rFonts w:eastAsia="Times New Roman" w:cstheme="minorHAnsi"/>
                <w:lang w:eastAsia="pl-PL"/>
              </w:rPr>
              <w:t>P</w:t>
            </w:r>
            <w:r w:rsidRPr="00161B3B">
              <w:rPr>
                <w:rFonts w:eastAsia="Times New Roman" w:cstheme="minorHAnsi"/>
                <w:lang w:eastAsia="pl-PL"/>
              </w:rPr>
              <w:t>rogram</w:t>
            </w:r>
            <w:r>
              <w:rPr>
                <w:rFonts w:eastAsia="Times New Roman" w:cstheme="minorHAnsi"/>
                <w:lang w:eastAsia="pl-PL"/>
              </w:rPr>
              <w:t>u</w:t>
            </w:r>
            <w:r w:rsidRPr="00161B3B">
              <w:rPr>
                <w:rFonts w:eastAsia="Times New Roman" w:cstheme="minorHAnsi"/>
                <w:lang w:eastAsia="pl-PL"/>
              </w:rPr>
              <w:t xml:space="preserve"> Fundusze Europejskie dla Kujaw i Pomorza 2021-2027</w:t>
            </w:r>
            <w:r>
              <w:rPr>
                <w:rFonts w:eastAsia="Times New Roman" w:cstheme="minorHAnsi"/>
                <w:lang w:eastAsia="pl-PL"/>
              </w:rPr>
              <w:t xml:space="preserve"> (WUP Toruń i Miasto Bydgoszcz)</w:t>
            </w:r>
          </w:p>
        </w:tc>
      </w:tr>
      <w:tr w:rsidR="00B27AAA" w:rsidRPr="003A0291" w14:paraId="278D4A77"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461A4CE6" w14:textId="60FCBAAD" w:rsidR="00B27AAA" w:rsidRPr="003A0291" w:rsidRDefault="00B27AAA" w:rsidP="00B27AAA">
            <w:pPr>
              <w:spacing w:before="0"/>
              <w:rPr>
                <w:rFonts w:eastAsia="Times New Roman" w:cstheme="minorHAnsi"/>
                <w:lang w:eastAsia="pl-PL"/>
              </w:rPr>
            </w:pPr>
            <w:r>
              <w:rPr>
                <w:rFonts w:eastAsia="Times New Roman" w:cstheme="minorHAnsi"/>
                <w:lang w:eastAsia="pl-PL"/>
              </w:rPr>
              <w:t>IT</w:t>
            </w:r>
          </w:p>
        </w:tc>
        <w:tc>
          <w:tcPr>
            <w:tcW w:w="6740" w:type="dxa"/>
            <w:tcBorders>
              <w:left w:val="single" w:sz="4" w:space="0" w:color="0F14D2" w:themeColor="accent1"/>
            </w:tcBorders>
          </w:tcPr>
          <w:p w14:paraId="7A04DC88" w14:textId="294FFE3A"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1D35D6">
              <w:rPr>
                <w:rFonts w:eastAsia="Times New Roman" w:cstheme="minorHAnsi"/>
                <w:lang w:eastAsia="pl-PL"/>
              </w:rPr>
              <w:t>Instrumenty Terytorialne</w:t>
            </w:r>
          </w:p>
        </w:tc>
      </w:tr>
      <w:tr w:rsidR="00B27AAA" w:rsidRPr="003A0291" w14:paraId="27E39791"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4EE29D2A" w14:textId="78463D5A"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w:t>
            </w:r>
          </w:p>
        </w:tc>
        <w:tc>
          <w:tcPr>
            <w:tcW w:w="6740" w:type="dxa"/>
            <w:tcBorders>
              <w:left w:val="single" w:sz="4" w:space="0" w:color="0F14D2" w:themeColor="accent1"/>
            </w:tcBorders>
            <w:hideMark/>
          </w:tcPr>
          <w:p w14:paraId="66B4245B"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w:t>
            </w:r>
          </w:p>
        </w:tc>
      </w:tr>
      <w:tr w:rsidR="00B27AAA" w:rsidRPr="003A0291" w14:paraId="3438E3F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B50285C" w14:textId="0F60DA29" w:rsidR="00B27AAA" w:rsidRPr="003A0291" w:rsidRDefault="00B27AAA" w:rsidP="00B27AAA">
            <w:pPr>
              <w:spacing w:before="0"/>
              <w:rPr>
                <w:rFonts w:eastAsia="Times New Roman" w:cstheme="minorHAnsi"/>
                <w:lang w:eastAsia="pl-PL"/>
              </w:rPr>
            </w:pPr>
            <w:r>
              <w:rPr>
                <w:rFonts w:eastAsia="Times New Roman" w:cstheme="minorHAnsi"/>
                <w:lang w:eastAsia="pl-PL"/>
              </w:rPr>
              <w:t xml:space="preserve">IZ FEdKP </w:t>
            </w:r>
            <w:r w:rsidRPr="00716F00">
              <w:rPr>
                <w:rFonts w:eastAsia="Times New Roman" w:cstheme="minorHAnsi"/>
                <w:lang w:eastAsia="pl-PL"/>
              </w:rPr>
              <w:t>2021-2027</w:t>
            </w:r>
          </w:p>
        </w:tc>
        <w:tc>
          <w:tcPr>
            <w:tcW w:w="6740" w:type="dxa"/>
            <w:tcBorders>
              <w:left w:val="single" w:sz="4" w:space="0" w:color="0F14D2" w:themeColor="accent1"/>
            </w:tcBorders>
          </w:tcPr>
          <w:p w14:paraId="7D294B40" w14:textId="625EE43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w:t>
            </w:r>
            <w:r>
              <w:t xml:space="preserve"> P</w:t>
            </w:r>
            <w:r w:rsidRPr="00F64ADE">
              <w:rPr>
                <w:rFonts w:eastAsia="Times New Roman" w:cstheme="minorHAnsi"/>
                <w:lang w:eastAsia="pl-PL"/>
              </w:rPr>
              <w:t>rogramem Fundusze Europejskie dla Kujaw i Pomorza 2021-2027</w:t>
            </w:r>
          </w:p>
        </w:tc>
      </w:tr>
      <w:tr w:rsidR="00B27AAA" w:rsidRPr="003A0291" w14:paraId="5A2D8864"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070FD17" w14:textId="47C83A88"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 PO PT</w:t>
            </w:r>
          </w:p>
        </w:tc>
        <w:tc>
          <w:tcPr>
            <w:tcW w:w="6740" w:type="dxa"/>
            <w:tcBorders>
              <w:left w:val="single" w:sz="4" w:space="0" w:color="0F14D2" w:themeColor="accent1"/>
            </w:tcBorders>
          </w:tcPr>
          <w:p w14:paraId="09AA0279" w14:textId="5CAF9C00"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 Programem Operacyjnym Pomoc Techniczna</w:t>
            </w:r>
          </w:p>
        </w:tc>
      </w:tr>
      <w:tr w:rsidR="00B27AAA" w:rsidRPr="003A0291" w14:paraId="65B61A9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9CFD38A" w14:textId="1F299ECB"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IZ PO WER</w:t>
            </w:r>
          </w:p>
        </w:tc>
        <w:tc>
          <w:tcPr>
            <w:tcW w:w="6740" w:type="dxa"/>
            <w:tcBorders>
              <w:left w:val="single" w:sz="4" w:space="0" w:color="0F14D2" w:themeColor="accent1"/>
            </w:tcBorders>
          </w:tcPr>
          <w:p w14:paraId="64F352A3" w14:textId="73FD29C1"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Instytucja Zarządzająca Programem Operacyjnym Wiedza Edukacja Rozwój</w:t>
            </w:r>
          </w:p>
        </w:tc>
      </w:tr>
      <w:tr w:rsidR="00B27AAA" w:rsidRPr="003A0291" w14:paraId="11F8CE9B" w14:textId="77777777" w:rsidTr="00A800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09D09B1" w14:textId="1EBCB51D" w:rsidR="00B27AAA" w:rsidRPr="003A0291" w:rsidRDefault="00B27AAA" w:rsidP="00B27AAA">
            <w:pPr>
              <w:spacing w:before="0"/>
              <w:rPr>
                <w:rFonts w:eastAsia="Times New Roman" w:cstheme="minorHAnsi"/>
                <w:lang w:eastAsia="pl-PL"/>
              </w:rPr>
            </w:pPr>
            <w:r>
              <w:rPr>
                <w:rFonts w:eastAsia="Times New Roman" w:cstheme="minorHAnsi"/>
                <w:lang w:eastAsia="pl-PL"/>
              </w:rPr>
              <w:t>JRP</w:t>
            </w:r>
          </w:p>
        </w:tc>
        <w:tc>
          <w:tcPr>
            <w:tcW w:w="6740" w:type="dxa"/>
            <w:tcBorders>
              <w:left w:val="single" w:sz="4" w:space="0" w:color="0F14D2" w:themeColor="accent1"/>
            </w:tcBorders>
          </w:tcPr>
          <w:p w14:paraId="4389A12B" w14:textId="52E925A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Pr>
                <w:rFonts w:eastAsia="Times New Roman" w:cstheme="minorHAnsi"/>
                <w:lang w:eastAsia="pl-PL"/>
              </w:rPr>
              <w:t>Jednostka realizująca projekt</w:t>
            </w:r>
          </w:p>
        </w:tc>
      </w:tr>
      <w:tr w:rsidR="00B27AAA" w:rsidRPr="003A0291" w14:paraId="507BDC74"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2E150450"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JST</w:t>
            </w:r>
          </w:p>
        </w:tc>
        <w:tc>
          <w:tcPr>
            <w:tcW w:w="6740" w:type="dxa"/>
            <w:tcBorders>
              <w:left w:val="single" w:sz="4" w:space="0" w:color="0F14D2" w:themeColor="accent1"/>
            </w:tcBorders>
            <w:hideMark/>
          </w:tcPr>
          <w:p w14:paraId="7753449B"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Jednostka Samorządu Terytorialnego</w:t>
            </w:r>
          </w:p>
        </w:tc>
      </w:tr>
      <w:tr w:rsidR="00B27AAA" w:rsidRPr="003A0291" w14:paraId="6A841A85"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331A8E4" w14:textId="683BC12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KE</w:t>
            </w:r>
          </w:p>
        </w:tc>
        <w:tc>
          <w:tcPr>
            <w:tcW w:w="6740" w:type="dxa"/>
            <w:tcBorders>
              <w:left w:val="single" w:sz="4" w:space="0" w:color="0F14D2" w:themeColor="accent1"/>
            </w:tcBorders>
          </w:tcPr>
          <w:p w14:paraId="532917D5" w14:textId="2692CDB4"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Komisja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Europejska</w:t>
            </w:r>
            <w:proofErr w:type="spellEnd"/>
          </w:p>
        </w:tc>
      </w:tr>
      <w:tr w:rsidR="00B27AAA" w:rsidRPr="003A0291" w14:paraId="7B9A0716"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9C2802F" w14:textId="35354F6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KOP</w:t>
            </w:r>
          </w:p>
        </w:tc>
        <w:tc>
          <w:tcPr>
            <w:tcW w:w="6740" w:type="dxa"/>
            <w:tcBorders>
              <w:left w:val="single" w:sz="4" w:space="0" w:color="0F14D2" w:themeColor="accent1"/>
            </w:tcBorders>
          </w:tcPr>
          <w:p w14:paraId="15BC807D" w14:textId="5D842E09"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Komisja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Oceny</w:t>
            </w:r>
            <w:proofErr w:type="spellEnd"/>
            <w:r w:rsidRPr="003A0291">
              <w:rPr>
                <w:rFonts w:eastAsia="Times New Roman" w:cstheme="minorHAnsi"/>
                <w:lang w:val="en-GB" w:eastAsia="pl-PL"/>
              </w:rPr>
              <w:t xml:space="preserve"> Projektów</w:t>
            </w:r>
          </w:p>
        </w:tc>
      </w:tr>
      <w:tr w:rsidR="00B27AAA" w:rsidRPr="003A0291" w14:paraId="2C0C5D9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8AD020E" w14:textId="763F15B5"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val="en-GB" w:eastAsia="pl-PL"/>
              </w:rPr>
              <w:lastRenderedPageBreak/>
              <w:t>KPBPP</w:t>
            </w:r>
            <w:r>
              <w:rPr>
                <w:rFonts w:eastAsia="Times New Roman" w:cstheme="minorHAnsi"/>
                <w:lang w:val="en-GB" w:eastAsia="pl-PL"/>
              </w:rPr>
              <w:t>iR</w:t>
            </w:r>
            <w:proofErr w:type="spellEnd"/>
          </w:p>
        </w:tc>
        <w:tc>
          <w:tcPr>
            <w:tcW w:w="6740" w:type="dxa"/>
            <w:tcBorders>
              <w:left w:val="single" w:sz="4" w:space="0" w:color="0F14D2" w:themeColor="accent1"/>
            </w:tcBorders>
          </w:tcPr>
          <w:p w14:paraId="70349386" w14:textId="73DF190B"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Kujawsko-Pomorskie Biuro Planowania Przestrzennego</w:t>
            </w:r>
            <w:r>
              <w:rPr>
                <w:rFonts w:eastAsia="Times New Roman" w:cstheme="minorHAnsi"/>
                <w:lang w:eastAsia="pl-PL"/>
              </w:rPr>
              <w:t xml:space="preserve"> i Regionalnego we Włocławku</w:t>
            </w:r>
          </w:p>
        </w:tc>
      </w:tr>
      <w:tr w:rsidR="00B27AAA" w:rsidRPr="003A0291" w14:paraId="74446F4B"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6F95941" w14:textId="77EF42BF"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KPO</w:t>
            </w:r>
          </w:p>
        </w:tc>
        <w:tc>
          <w:tcPr>
            <w:tcW w:w="6740" w:type="dxa"/>
            <w:tcBorders>
              <w:left w:val="single" w:sz="4" w:space="0" w:color="0F14D2" w:themeColor="accent1"/>
            </w:tcBorders>
          </w:tcPr>
          <w:p w14:paraId="16E1ECC1" w14:textId="70371F5B"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Krajowy Plan Odbudowy i Zwiększania Odporności</w:t>
            </w:r>
          </w:p>
        </w:tc>
      </w:tr>
      <w:tr w:rsidR="00B27AAA" w:rsidRPr="003A0291" w14:paraId="1F53F95E"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2D2B795" w14:textId="7CD0BD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KPON</w:t>
            </w:r>
          </w:p>
        </w:tc>
        <w:tc>
          <w:tcPr>
            <w:tcW w:w="6740" w:type="dxa"/>
            <w:tcBorders>
              <w:left w:val="single" w:sz="4" w:space="0" w:color="0F14D2" w:themeColor="accent1"/>
            </w:tcBorders>
          </w:tcPr>
          <w:p w14:paraId="08D99C75" w14:textId="59AB39F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Konwencja o prawach osób niepełnosprawnych</w:t>
            </w:r>
          </w:p>
        </w:tc>
      </w:tr>
      <w:tr w:rsidR="00662DC3" w:rsidRPr="003A0291" w14:paraId="77F4017F"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9059A94" w14:textId="422DE0C8" w:rsidR="00662DC3" w:rsidRPr="003A0291" w:rsidRDefault="00662DC3" w:rsidP="00B27AAA">
            <w:pPr>
              <w:spacing w:before="0"/>
              <w:rPr>
                <w:rFonts w:eastAsia="Times New Roman" w:cstheme="minorHAnsi"/>
                <w:lang w:eastAsia="pl-PL"/>
              </w:rPr>
            </w:pPr>
            <w:r w:rsidRPr="00662DC3">
              <w:rPr>
                <w:rFonts w:eastAsia="Times New Roman" w:cstheme="minorHAnsi"/>
                <w:lang w:eastAsia="pl-PL"/>
              </w:rPr>
              <w:t>KPOŚK</w:t>
            </w:r>
          </w:p>
        </w:tc>
        <w:tc>
          <w:tcPr>
            <w:tcW w:w="6740" w:type="dxa"/>
            <w:tcBorders>
              <w:left w:val="single" w:sz="4" w:space="0" w:color="0F14D2" w:themeColor="accent1"/>
            </w:tcBorders>
          </w:tcPr>
          <w:p w14:paraId="2707F94F" w14:textId="526C431E" w:rsidR="00662DC3" w:rsidRPr="003A0291" w:rsidRDefault="0093167D"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93167D">
              <w:rPr>
                <w:rFonts w:eastAsia="Times New Roman" w:cstheme="minorHAnsi"/>
                <w:lang w:eastAsia="pl-PL"/>
              </w:rPr>
              <w:t xml:space="preserve">Krajowy </w:t>
            </w:r>
            <w:r>
              <w:rPr>
                <w:rFonts w:eastAsia="Times New Roman" w:cstheme="minorHAnsi"/>
                <w:lang w:eastAsia="pl-PL"/>
              </w:rPr>
              <w:t>P</w:t>
            </w:r>
            <w:r w:rsidRPr="0093167D">
              <w:rPr>
                <w:rFonts w:eastAsia="Times New Roman" w:cstheme="minorHAnsi"/>
                <w:lang w:eastAsia="pl-PL"/>
              </w:rPr>
              <w:t xml:space="preserve">rogram </w:t>
            </w:r>
            <w:r>
              <w:rPr>
                <w:rFonts w:eastAsia="Times New Roman" w:cstheme="minorHAnsi"/>
                <w:lang w:eastAsia="pl-PL"/>
              </w:rPr>
              <w:t>O</w:t>
            </w:r>
            <w:r w:rsidRPr="0093167D">
              <w:rPr>
                <w:rFonts w:eastAsia="Times New Roman" w:cstheme="minorHAnsi"/>
                <w:lang w:eastAsia="pl-PL"/>
              </w:rPr>
              <w:t xml:space="preserve">czyszczania </w:t>
            </w:r>
            <w:r>
              <w:rPr>
                <w:rFonts w:eastAsia="Times New Roman" w:cstheme="minorHAnsi"/>
                <w:lang w:eastAsia="pl-PL"/>
              </w:rPr>
              <w:t>Ś</w:t>
            </w:r>
            <w:r w:rsidRPr="0093167D">
              <w:rPr>
                <w:rFonts w:eastAsia="Times New Roman" w:cstheme="minorHAnsi"/>
                <w:lang w:eastAsia="pl-PL"/>
              </w:rPr>
              <w:t xml:space="preserve">cieków </w:t>
            </w:r>
            <w:r>
              <w:rPr>
                <w:rFonts w:eastAsia="Times New Roman" w:cstheme="minorHAnsi"/>
                <w:lang w:eastAsia="pl-PL"/>
              </w:rPr>
              <w:t>K</w:t>
            </w:r>
            <w:r w:rsidRPr="0093167D">
              <w:rPr>
                <w:rFonts w:eastAsia="Times New Roman" w:cstheme="minorHAnsi"/>
                <w:lang w:eastAsia="pl-PL"/>
              </w:rPr>
              <w:t>omunalnych</w:t>
            </w:r>
          </w:p>
        </w:tc>
      </w:tr>
      <w:tr w:rsidR="00B27AAA" w:rsidRPr="003A0291" w14:paraId="147EDE0D"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74C7976" w14:textId="2BFADF03" w:rsidR="00B27AAA" w:rsidRPr="003A0291" w:rsidRDefault="00B27AAA" w:rsidP="00B27AAA">
            <w:pPr>
              <w:spacing w:before="0"/>
              <w:rPr>
                <w:rFonts w:eastAsia="Times New Roman" w:cstheme="minorHAnsi"/>
                <w:lang w:eastAsia="pl-PL"/>
              </w:rPr>
            </w:pPr>
            <w:r>
              <w:rPr>
                <w:rFonts w:eastAsia="Times New Roman" w:cstheme="minorHAnsi"/>
                <w:lang w:eastAsia="pl-PL"/>
              </w:rPr>
              <w:t>KPP</w:t>
            </w:r>
          </w:p>
        </w:tc>
        <w:tc>
          <w:tcPr>
            <w:tcW w:w="6740" w:type="dxa"/>
            <w:tcBorders>
              <w:left w:val="single" w:sz="4" w:space="0" w:color="0F14D2" w:themeColor="accent1"/>
            </w:tcBorders>
          </w:tcPr>
          <w:p w14:paraId="3BDC7B9C" w14:textId="02444E7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A800C0">
              <w:rPr>
                <w:rFonts w:eastAsia="Times New Roman" w:cstheme="minorHAnsi"/>
                <w:lang w:eastAsia="pl-PL"/>
              </w:rPr>
              <w:t>Karta Praw Podstawowych Unii Europejskiej</w:t>
            </w:r>
          </w:p>
        </w:tc>
      </w:tr>
      <w:tr w:rsidR="00B27AAA" w:rsidRPr="003A0291" w14:paraId="05B98CEE"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1FD993F" w14:textId="3E43AFDC"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eastAsia="pl-PL"/>
              </w:rPr>
              <w:t>KP</w:t>
            </w:r>
            <w:r>
              <w:rPr>
                <w:rFonts w:eastAsia="Times New Roman" w:cstheme="minorHAnsi"/>
                <w:lang w:eastAsia="pl-PL"/>
              </w:rPr>
              <w:t>EiK</w:t>
            </w:r>
            <w:proofErr w:type="spellEnd"/>
          </w:p>
        </w:tc>
        <w:tc>
          <w:tcPr>
            <w:tcW w:w="6740" w:type="dxa"/>
            <w:tcBorders>
              <w:left w:val="single" w:sz="4" w:space="0" w:color="0F14D2" w:themeColor="accent1"/>
            </w:tcBorders>
          </w:tcPr>
          <w:p w14:paraId="08ECF682" w14:textId="45BE6463"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Krajowy Plan </w:t>
            </w:r>
            <w:r>
              <w:rPr>
                <w:rFonts w:eastAsia="Times New Roman" w:cstheme="minorHAnsi"/>
                <w:lang w:eastAsia="pl-PL"/>
              </w:rPr>
              <w:t>w dziedzinie</w:t>
            </w:r>
            <w:r w:rsidRPr="003A0291">
              <w:rPr>
                <w:rFonts w:eastAsia="Times New Roman" w:cstheme="minorHAnsi"/>
                <w:lang w:eastAsia="pl-PL"/>
              </w:rPr>
              <w:t xml:space="preserve"> Energii i Klimatu</w:t>
            </w:r>
          </w:p>
        </w:tc>
      </w:tr>
      <w:tr w:rsidR="00B27AAA" w:rsidRPr="003A0291" w14:paraId="1C91267A"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4AFFD1A0" w14:textId="59388A23" w:rsidR="00B27AAA" w:rsidRPr="003A0291" w:rsidRDefault="00B27AAA" w:rsidP="00B27AAA">
            <w:pPr>
              <w:spacing w:before="0"/>
              <w:rPr>
                <w:rFonts w:eastAsia="Times New Roman" w:cstheme="minorHAnsi"/>
                <w:lang w:eastAsia="pl-PL"/>
              </w:rPr>
            </w:pPr>
            <w:r w:rsidRPr="003A0291">
              <w:rPr>
                <w:rFonts w:eastAsia="Times New Roman" w:cstheme="minorHAnsi"/>
                <w:lang w:val="en-GB" w:eastAsia="pl-PL"/>
              </w:rPr>
              <w:t>MFiPR</w:t>
            </w:r>
          </w:p>
        </w:tc>
        <w:tc>
          <w:tcPr>
            <w:tcW w:w="6740" w:type="dxa"/>
            <w:tcBorders>
              <w:left w:val="single" w:sz="4" w:space="0" w:color="0F14D2" w:themeColor="accent1"/>
            </w:tcBorders>
          </w:tcPr>
          <w:p w14:paraId="5319B713" w14:textId="656DBE8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Ministerstwo Funduszy i Polityki Regionalnej</w:t>
            </w:r>
          </w:p>
        </w:tc>
      </w:tr>
      <w:tr w:rsidR="00B27AAA" w:rsidRPr="003A0291" w14:paraId="573D4D28"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03FB3AB" w14:textId="6498FC35"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MŚP</w:t>
            </w:r>
          </w:p>
        </w:tc>
        <w:tc>
          <w:tcPr>
            <w:tcW w:w="6740" w:type="dxa"/>
            <w:tcBorders>
              <w:left w:val="single" w:sz="4" w:space="0" w:color="0F14D2" w:themeColor="accent1"/>
            </w:tcBorders>
          </w:tcPr>
          <w:p w14:paraId="06DC9498" w14:textId="6CE73A7D"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pl-PL"/>
              </w:rPr>
            </w:pPr>
            <w:proofErr w:type="spellStart"/>
            <w:r w:rsidRPr="003A0291">
              <w:rPr>
                <w:rFonts w:eastAsia="Times New Roman" w:cstheme="minorHAnsi"/>
                <w:lang w:val="en-GB" w:eastAsia="pl-PL"/>
              </w:rPr>
              <w:t>małe</w:t>
            </w:r>
            <w:proofErr w:type="spellEnd"/>
            <w:r w:rsidRPr="003A0291">
              <w:rPr>
                <w:rFonts w:eastAsia="Times New Roman" w:cstheme="minorHAnsi"/>
                <w:lang w:val="en-GB" w:eastAsia="pl-PL"/>
              </w:rPr>
              <w:t xml:space="preserve"> i </w:t>
            </w:r>
            <w:proofErr w:type="spellStart"/>
            <w:r w:rsidRPr="003A0291">
              <w:rPr>
                <w:rFonts w:eastAsia="Times New Roman" w:cstheme="minorHAnsi"/>
                <w:lang w:val="en-GB" w:eastAsia="pl-PL"/>
              </w:rPr>
              <w:t>średnie</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przedsiębiorstwa</w:t>
            </w:r>
            <w:proofErr w:type="spellEnd"/>
          </w:p>
        </w:tc>
      </w:tr>
      <w:tr w:rsidR="00B27AAA" w:rsidRPr="0076709A" w14:paraId="369D8F13"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AC52894"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NGO</w:t>
            </w:r>
          </w:p>
        </w:tc>
        <w:tc>
          <w:tcPr>
            <w:tcW w:w="6740" w:type="dxa"/>
            <w:tcBorders>
              <w:left w:val="single" w:sz="4" w:space="0" w:color="0F14D2" w:themeColor="accent1"/>
            </w:tcBorders>
            <w:hideMark/>
          </w:tcPr>
          <w:p w14:paraId="38B298D2" w14:textId="77777777"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pl-PL"/>
              </w:rPr>
            </w:pPr>
            <w:r w:rsidRPr="003A0291">
              <w:rPr>
                <w:rFonts w:eastAsia="Times New Roman" w:cstheme="minorHAnsi"/>
                <w:lang w:val="en-GB" w:eastAsia="pl-PL"/>
              </w:rPr>
              <w:t xml:space="preserve">Non-Governmental Organization – </w:t>
            </w:r>
            <w:proofErr w:type="spellStart"/>
            <w:r w:rsidRPr="003A0291">
              <w:rPr>
                <w:rFonts w:eastAsia="Times New Roman" w:cstheme="minorHAnsi"/>
                <w:lang w:val="en-GB" w:eastAsia="pl-PL"/>
              </w:rPr>
              <w:t>organizacja</w:t>
            </w:r>
            <w:proofErr w:type="spellEnd"/>
            <w:r w:rsidRPr="003A0291">
              <w:rPr>
                <w:rFonts w:eastAsia="Times New Roman" w:cstheme="minorHAnsi"/>
                <w:lang w:val="en-GB" w:eastAsia="pl-PL"/>
              </w:rPr>
              <w:t xml:space="preserve"> </w:t>
            </w:r>
            <w:proofErr w:type="spellStart"/>
            <w:r w:rsidRPr="003A0291">
              <w:rPr>
                <w:rFonts w:eastAsia="Times New Roman" w:cstheme="minorHAnsi"/>
                <w:lang w:val="en-GB" w:eastAsia="pl-PL"/>
              </w:rPr>
              <w:t>pozarządowa</w:t>
            </w:r>
            <w:proofErr w:type="spellEnd"/>
          </w:p>
        </w:tc>
      </w:tr>
      <w:tr w:rsidR="00B27AAA" w:rsidRPr="003A0291" w14:paraId="3A0A63A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55869D20"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OPPT</w:t>
            </w:r>
          </w:p>
        </w:tc>
        <w:tc>
          <w:tcPr>
            <w:tcW w:w="6740" w:type="dxa"/>
            <w:tcBorders>
              <w:left w:val="single" w:sz="4" w:space="0" w:color="0F14D2" w:themeColor="accent1"/>
            </w:tcBorders>
            <w:hideMark/>
          </w:tcPr>
          <w:p w14:paraId="2846AA92" w14:textId="3F9295F4"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Obszar Prowadzenia Polityki Terytorialnej</w:t>
            </w:r>
          </w:p>
        </w:tc>
      </w:tr>
      <w:tr w:rsidR="00B27AAA" w:rsidRPr="003A0291" w14:paraId="6F8965BC"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C9BB55" w14:textId="2D9C04CE"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OPZ</w:t>
            </w:r>
          </w:p>
        </w:tc>
        <w:tc>
          <w:tcPr>
            <w:tcW w:w="6740" w:type="dxa"/>
            <w:tcBorders>
              <w:left w:val="single" w:sz="4" w:space="0" w:color="0F14D2" w:themeColor="accent1"/>
            </w:tcBorders>
          </w:tcPr>
          <w:p w14:paraId="22248EDC" w14:textId="7E31232E"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Opis przedmiotu zamówienia</w:t>
            </w:r>
          </w:p>
        </w:tc>
      </w:tr>
      <w:tr w:rsidR="00B27AAA" w:rsidRPr="003A0291" w14:paraId="0F16B675"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5775FD08" w14:textId="6FF82E3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OSP</w:t>
            </w:r>
          </w:p>
        </w:tc>
        <w:tc>
          <w:tcPr>
            <w:tcW w:w="6740" w:type="dxa"/>
            <w:tcBorders>
              <w:left w:val="single" w:sz="4" w:space="0" w:color="0F14D2" w:themeColor="accent1"/>
            </w:tcBorders>
          </w:tcPr>
          <w:p w14:paraId="6478F332" w14:textId="7AAC63FC"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Ochotnicza Straż Pożarna</w:t>
            </w:r>
          </w:p>
        </w:tc>
      </w:tr>
      <w:tr w:rsidR="00B27AAA" w:rsidRPr="003A0291" w14:paraId="381DD0C8"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791C176" w14:textId="2E97728D" w:rsidR="00B27AAA" w:rsidRPr="003A0291" w:rsidRDefault="00B27AAA" w:rsidP="00B27AAA">
            <w:pPr>
              <w:spacing w:before="0"/>
              <w:rPr>
                <w:rFonts w:eastAsia="Times New Roman" w:cstheme="minorHAnsi"/>
                <w:lang w:eastAsia="pl-PL"/>
              </w:rPr>
            </w:pPr>
            <w:proofErr w:type="spellStart"/>
            <w:r w:rsidRPr="003A0291">
              <w:rPr>
                <w:rFonts w:eastAsia="Times New Roman" w:cstheme="minorHAnsi"/>
                <w:lang w:eastAsia="pl-PL"/>
              </w:rPr>
              <w:t>OzN</w:t>
            </w:r>
            <w:proofErr w:type="spellEnd"/>
          </w:p>
        </w:tc>
        <w:tc>
          <w:tcPr>
            <w:tcW w:w="6740" w:type="dxa"/>
            <w:tcBorders>
              <w:left w:val="single" w:sz="4" w:space="0" w:color="0F14D2" w:themeColor="accent1"/>
            </w:tcBorders>
          </w:tcPr>
          <w:p w14:paraId="6DB79D63" w14:textId="4D8DC1A6"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Osoby z Niepełnosprawnościami</w:t>
            </w:r>
          </w:p>
        </w:tc>
      </w:tr>
      <w:tr w:rsidR="00B27AAA" w:rsidRPr="003A0291" w14:paraId="71D0C4A1"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5F0F95" w14:textId="78CF6940"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PIFE</w:t>
            </w:r>
          </w:p>
        </w:tc>
        <w:tc>
          <w:tcPr>
            <w:tcW w:w="6740" w:type="dxa"/>
            <w:tcBorders>
              <w:left w:val="single" w:sz="4" w:space="0" w:color="0F14D2" w:themeColor="accent1"/>
            </w:tcBorders>
          </w:tcPr>
          <w:p w14:paraId="25E5894B" w14:textId="1E60A85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Punkty Informacyjne Funduszy Europejskich</w:t>
            </w:r>
          </w:p>
        </w:tc>
      </w:tr>
      <w:tr w:rsidR="00B27AAA" w:rsidRPr="003A0291" w14:paraId="7A30B49B"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2F2FDD5" w14:textId="67E3B49E" w:rsidR="00B27AAA" w:rsidRPr="003A0291" w:rsidRDefault="00B27AAA" w:rsidP="00B27AAA">
            <w:pPr>
              <w:spacing w:before="0"/>
              <w:rPr>
                <w:rFonts w:eastAsia="Times New Roman" w:cstheme="minorHAnsi"/>
                <w:lang w:eastAsia="pl-PL"/>
              </w:rPr>
            </w:pPr>
            <w:r>
              <w:rPr>
                <w:rFonts w:eastAsia="Times New Roman" w:cstheme="minorHAnsi"/>
                <w:lang w:eastAsia="pl-PL"/>
              </w:rPr>
              <w:t>Program</w:t>
            </w:r>
          </w:p>
        </w:tc>
        <w:tc>
          <w:tcPr>
            <w:tcW w:w="6740" w:type="dxa"/>
            <w:tcBorders>
              <w:left w:val="single" w:sz="4" w:space="0" w:color="0F14D2" w:themeColor="accent1"/>
            </w:tcBorders>
          </w:tcPr>
          <w:p w14:paraId="1F00BBC8" w14:textId="0E039F6D"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Fundusze Europejskie dla Kujaw i Pomorza 2021-2027</w:t>
            </w:r>
          </w:p>
        </w:tc>
      </w:tr>
      <w:tr w:rsidR="00B27AAA" w:rsidRPr="003A0291" w14:paraId="6DE2B171" w14:textId="77777777" w:rsidTr="00A800C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69D0EAA" w14:textId="2B3A3362" w:rsidR="00B27AAA" w:rsidRPr="003A0291" w:rsidRDefault="00B27AAA" w:rsidP="00B27AAA">
            <w:pPr>
              <w:spacing w:before="0"/>
              <w:rPr>
                <w:rFonts w:eastAsia="Times New Roman" w:cstheme="minorHAnsi"/>
                <w:lang w:eastAsia="pl-PL"/>
              </w:rPr>
            </w:pPr>
            <w:r w:rsidRPr="00FB7055">
              <w:rPr>
                <w:rFonts w:eastAsia="Times New Roman" w:cstheme="minorHAnsi"/>
                <w:lang w:eastAsia="pl-PL"/>
              </w:rPr>
              <w:t>PSZOK</w:t>
            </w:r>
          </w:p>
        </w:tc>
        <w:tc>
          <w:tcPr>
            <w:tcW w:w="6740" w:type="dxa"/>
            <w:tcBorders>
              <w:left w:val="single" w:sz="4" w:space="0" w:color="0F14D2" w:themeColor="accent1"/>
            </w:tcBorders>
          </w:tcPr>
          <w:p w14:paraId="424861F4" w14:textId="0267D195"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FB7055">
              <w:rPr>
                <w:rFonts w:eastAsia="Times New Roman" w:cstheme="minorHAnsi"/>
                <w:lang w:eastAsia="pl-PL"/>
              </w:rPr>
              <w:t>punkt selektywnego zbierania odpadów komunalnych</w:t>
            </w:r>
          </w:p>
        </w:tc>
      </w:tr>
      <w:tr w:rsidR="00B27AAA" w:rsidRPr="003A0291" w14:paraId="63B9AAF7"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E262966" w14:textId="12EE3DD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PT WK-P</w:t>
            </w:r>
          </w:p>
        </w:tc>
        <w:tc>
          <w:tcPr>
            <w:tcW w:w="6740" w:type="dxa"/>
            <w:tcBorders>
              <w:left w:val="single" w:sz="4" w:space="0" w:color="0F14D2" w:themeColor="accent1"/>
            </w:tcBorders>
          </w:tcPr>
          <w:p w14:paraId="490F1C33" w14:textId="58C70E70"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Polityka Terytorialna Województwa Kujawsko-Pomorskiego</w:t>
            </w:r>
          </w:p>
        </w:tc>
      </w:tr>
      <w:tr w:rsidR="00B27AAA" w:rsidRPr="003A0291" w14:paraId="0C4621D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79C2135F" w14:textId="7DA51DC9"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Q&amp;A</w:t>
            </w:r>
          </w:p>
        </w:tc>
        <w:tc>
          <w:tcPr>
            <w:tcW w:w="6740" w:type="dxa"/>
            <w:tcBorders>
              <w:left w:val="single" w:sz="4" w:space="0" w:color="0F14D2" w:themeColor="accent1"/>
            </w:tcBorders>
          </w:tcPr>
          <w:p w14:paraId="256E1C73" w14:textId="40B4C111"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Pytania i Odpowiedzi</w:t>
            </w:r>
          </w:p>
        </w:tc>
      </w:tr>
      <w:tr w:rsidR="00B27AAA" w:rsidRPr="003A0291" w14:paraId="05A2233F"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C563191" w14:textId="73115FC4"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RDOŚ</w:t>
            </w:r>
          </w:p>
        </w:tc>
        <w:tc>
          <w:tcPr>
            <w:tcW w:w="6740" w:type="dxa"/>
            <w:tcBorders>
              <w:left w:val="single" w:sz="4" w:space="0" w:color="0F14D2" w:themeColor="accent1"/>
            </w:tcBorders>
          </w:tcPr>
          <w:p w14:paraId="31B847AA" w14:textId="1041555A"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 xml:space="preserve">Regionalna Dyrekcja Ochrony Środowiska </w:t>
            </w:r>
          </w:p>
        </w:tc>
      </w:tr>
      <w:tr w:rsidR="00B27AAA" w:rsidRPr="003A0291" w14:paraId="4BEEDFA9"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B9CE0FE"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RLM</w:t>
            </w:r>
          </w:p>
        </w:tc>
        <w:tc>
          <w:tcPr>
            <w:tcW w:w="6740" w:type="dxa"/>
            <w:tcBorders>
              <w:left w:val="single" w:sz="4" w:space="0" w:color="0F14D2" w:themeColor="accent1"/>
            </w:tcBorders>
            <w:hideMark/>
          </w:tcPr>
          <w:p w14:paraId="0C705162"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Równoważna Liczba Mieszkańców (używane w kontekście aglomeracji wodno-ściekowych)</w:t>
            </w:r>
          </w:p>
        </w:tc>
      </w:tr>
      <w:tr w:rsidR="00B27AAA" w:rsidRPr="003A0291" w14:paraId="431990DB"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5F2A997" w14:textId="7B213FD4"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RPO WK-P 2014</w:t>
            </w:r>
            <w:r w:rsidR="009C0039">
              <w:rPr>
                <w:rFonts w:eastAsia="Times New Roman" w:cstheme="minorHAnsi"/>
                <w:lang w:eastAsia="pl-PL"/>
              </w:rPr>
              <w:t>-</w:t>
            </w:r>
            <w:r w:rsidRPr="003A0291">
              <w:rPr>
                <w:rFonts w:eastAsia="Times New Roman" w:cstheme="minorHAnsi"/>
                <w:lang w:eastAsia="pl-PL"/>
              </w:rPr>
              <w:t>2020</w:t>
            </w:r>
          </w:p>
        </w:tc>
        <w:tc>
          <w:tcPr>
            <w:tcW w:w="6740" w:type="dxa"/>
            <w:tcBorders>
              <w:left w:val="single" w:sz="4" w:space="0" w:color="0F14D2" w:themeColor="accent1"/>
            </w:tcBorders>
          </w:tcPr>
          <w:p w14:paraId="6960D6B3" w14:textId="613D1786"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Regionalny Program Operacyjny Województwa Kujawsko-Pomorskiego na lata 2014–2020</w:t>
            </w:r>
          </w:p>
        </w:tc>
      </w:tr>
      <w:tr w:rsidR="00B27AAA" w:rsidRPr="003A0291" w14:paraId="02E4162C"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2607460A"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SL2014</w:t>
            </w:r>
          </w:p>
        </w:tc>
        <w:tc>
          <w:tcPr>
            <w:tcW w:w="6740" w:type="dxa"/>
            <w:tcBorders>
              <w:left w:val="single" w:sz="4" w:space="0" w:color="0F14D2" w:themeColor="accent1"/>
            </w:tcBorders>
            <w:hideMark/>
          </w:tcPr>
          <w:p w14:paraId="0016B9D7" w14:textId="681E011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System Informatyczny dotyczący projektów w ramach perspektywy finansowej 2014-2020</w:t>
            </w:r>
          </w:p>
        </w:tc>
      </w:tr>
      <w:tr w:rsidR="00B27AAA" w:rsidRPr="003A0291" w14:paraId="2C819AC3"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33337C8"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SOWA EFS</w:t>
            </w:r>
          </w:p>
        </w:tc>
        <w:tc>
          <w:tcPr>
            <w:tcW w:w="6740" w:type="dxa"/>
            <w:tcBorders>
              <w:left w:val="single" w:sz="4" w:space="0" w:color="0F14D2" w:themeColor="accent1"/>
            </w:tcBorders>
            <w:hideMark/>
          </w:tcPr>
          <w:p w14:paraId="5EEFB1B7" w14:textId="3B22A5DF"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System Obsługi Wniosków Aplikacyjnych Europejski Fundusz Społeczny Plus</w:t>
            </w:r>
          </w:p>
        </w:tc>
      </w:tr>
      <w:tr w:rsidR="00B27AAA" w:rsidRPr="003A0291" w14:paraId="3E98A64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31AE49D"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SWZ</w:t>
            </w:r>
          </w:p>
        </w:tc>
        <w:tc>
          <w:tcPr>
            <w:tcW w:w="6740" w:type="dxa"/>
            <w:tcBorders>
              <w:left w:val="single" w:sz="4" w:space="0" w:color="0F14D2" w:themeColor="accent1"/>
            </w:tcBorders>
            <w:hideMark/>
          </w:tcPr>
          <w:p w14:paraId="39C1103C"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Specyfikacja Warunków Zamówienia</w:t>
            </w:r>
          </w:p>
        </w:tc>
      </w:tr>
      <w:tr w:rsidR="00B27AAA" w:rsidRPr="003A0291" w14:paraId="741A41C2"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2C84B5A3" w14:textId="59C837A6"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SZOP</w:t>
            </w:r>
          </w:p>
        </w:tc>
        <w:tc>
          <w:tcPr>
            <w:tcW w:w="6740" w:type="dxa"/>
            <w:tcBorders>
              <w:left w:val="single" w:sz="4" w:space="0" w:color="0F14D2" w:themeColor="accent1"/>
            </w:tcBorders>
          </w:tcPr>
          <w:p w14:paraId="7A38E79C" w14:textId="5F017C44"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Szczegółowy Opis Priorytetów</w:t>
            </w:r>
          </w:p>
        </w:tc>
      </w:tr>
      <w:tr w:rsidR="00B27AAA" w:rsidRPr="003A0291" w14:paraId="0534081A"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9E6535B" w14:textId="60A6171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UE</w:t>
            </w:r>
          </w:p>
        </w:tc>
        <w:tc>
          <w:tcPr>
            <w:tcW w:w="6740" w:type="dxa"/>
            <w:tcBorders>
              <w:left w:val="single" w:sz="4" w:space="0" w:color="0F14D2" w:themeColor="accent1"/>
            </w:tcBorders>
          </w:tcPr>
          <w:p w14:paraId="4418C46B" w14:textId="4922A8DF"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Unia Europejska</w:t>
            </w:r>
          </w:p>
        </w:tc>
      </w:tr>
      <w:tr w:rsidR="00B27AAA" w:rsidRPr="003A0291" w14:paraId="53BA71B4"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0A1BD695" w14:textId="1ADA50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UMWKP</w:t>
            </w:r>
          </w:p>
        </w:tc>
        <w:tc>
          <w:tcPr>
            <w:tcW w:w="6740" w:type="dxa"/>
            <w:tcBorders>
              <w:left w:val="single" w:sz="4" w:space="0" w:color="0F14D2" w:themeColor="accent1"/>
            </w:tcBorders>
          </w:tcPr>
          <w:p w14:paraId="6903D976" w14:textId="41181C62"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Urząd Marszałkowski Województwa Kujawsko-Pomorskiego</w:t>
            </w:r>
          </w:p>
        </w:tc>
      </w:tr>
      <w:tr w:rsidR="00B27AAA" w:rsidRPr="003A0291" w14:paraId="1C95989C"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BD30644" w14:textId="2E0A920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UoD</w:t>
            </w:r>
          </w:p>
        </w:tc>
        <w:tc>
          <w:tcPr>
            <w:tcW w:w="6740" w:type="dxa"/>
            <w:tcBorders>
              <w:left w:val="single" w:sz="4" w:space="0" w:color="0F14D2" w:themeColor="accent1"/>
            </w:tcBorders>
          </w:tcPr>
          <w:p w14:paraId="29A43BC4" w14:textId="299DF795"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Umowa o dofinansowanie</w:t>
            </w:r>
          </w:p>
        </w:tc>
      </w:tr>
      <w:tr w:rsidR="00B27AAA" w:rsidRPr="003A0291" w14:paraId="45E0D16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3C2F82E4" w14:textId="2BB6CDD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WK-P</w:t>
            </w:r>
          </w:p>
        </w:tc>
        <w:tc>
          <w:tcPr>
            <w:tcW w:w="6740" w:type="dxa"/>
            <w:tcBorders>
              <w:left w:val="single" w:sz="4" w:space="0" w:color="0F14D2" w:themeColor="accent1"/>
            </w:tcBorders>
          </w:tcPr>
          <w:p w14:paraId="05BD2FD6" w14:textId="1C4BB138"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Województwo Kujawsko-Pomorskie</w:t>
            </w:r>
          </w:p>
        </w:tc>
      </w:tr>
      <w:tr w:rsidR="00B27AAA" w:rsidRPr="003A0291" w14:paraId="5B6D61A7"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675F6B03" w14:textId="0E93A9B3"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WoD</w:t>
            </w:r>
          </w:p>
        </w:tc>
        <w:tc>
          <w:tcPr>
            <w:tcW w:w="6740" w:type="dxa"/>
            <w:tcBorders>
              <w:left w:val="single" w:sz="4" w:space="0" w:color="0F14D2" w:themeColor="accent1"/>
            </w:tcBorders>
          </w:tcPr>
          <w:p w14:paraId="52993AB0" w14:textId="2F691DC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Wniosek o Dofinansowanie</w:t>
            </w:r>
          </w:p>
        </w:tc>
      </w:tr>
      <w:tr w:rsidR="00B27AAA" w:rsidRPr="003A0291" w14:paraId="40BE0966"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tcPr>
          <w:p w14:paraId="1D7C0AD3" w14:textId="4F60C0FC"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WUP</w:t>
            </w:r>
          </w:p>
        </w:tc>
        <w:tc>
          <w:tcPr>
            <w:tcW w:w="6740" w:type="dxa"/>
            <w:tcBorders>
              <w:left w:val="single" w:sz="4" w:space="0" w:color="0F14D2" w:themeColor="accent1"/>
            </w:tcBorders>
          </w:tcPr>
          <w:p w14:paraId="3AB805A9" w14:textId="6E90938B"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Wojewódzki Urząd Pracy</w:t>
            </w:r>
          </w:p>
        </w:tc>
      </w:tr>
      <w:tr w:rsidR="00B27AAA" w:rsidRPr="003A0291" w14:paraId="248C3292" w14:textId="77777777" w:rsidTr="00077CA0">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01304339"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ZIT</w:t>
            </w:r>
          </w:p>
        </w:tc>
        <w:tc>
          <w:tcPr>
            <w:tcW w:w="6740" w:type="dxa"/>
            <w:tcBorders>
              <w:left w:val="single" w:sz="4" w:space="0" w:color="0F14D2" w:themeColor="accent1"/>
            </w:tcBorders>
            <w:hideMark/>
          </w:tcPr>
          <w:p w14:paraId="338F891F" w14:textId="77777777" w:rsidR="00B27AAA" w:rsidRPr="003A0291" w:rsidRDefault="00B27AAA" w:rsidP="00B27AAA">
            <w:pPr>
              <w:spacing w:before="0"/>
              <w:cnfStyle w:val="000000000000" w:firstRow="0" w:lastRow="0" w:firstColumn="0" w:lastColumn="0" w:oddVBand="0" w:evenVBand="0" w:oddHBand="0"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Zintegrowane Inwestycje Terytorialne</w:t>
            </w:r>
          </w:p>
        </w:tc>
      </w:tr>
      <w:tr w:rsidR="00B27AAA" w:rsidRPr="003A0291" w14:paraId="17040EE1" w14:textId="77777777" w:rsidTr="00077C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2" w:type="dxa"/>
            <w:tcBorders>
              <w:right w:val="single" w:sz="4" w:space="0" w:color="0F14D2" w:themeColor="accent1"/>
            </w:tcBorders>
            <w:hideMark/>
          </w:tcPr>
          <w:p w14:paraId="317CD4E2" w14:textId="77777777" w:rsidR="00B27AAA" w:rsidRPr="003A0291" w:rsidRDefault="00B27AAA" w:rsidP="00B27AAA">
            <w:pPr>
              <w:spacing w:before="0"/>
              <w:rPr>
                <w:rFonts w:eastAsia="Times New Roman" w:cstheme="minorHAnsi"/>
                <w:lang w:eastAsia="pl-PL"/>
              </w:rPr>
            </w:pPr>
            <w:r w:rsidRPr="003A0291">
              <w:rPr>
                <w:rFonts w:eastAsia="Times New Roman" w:cstheme="minorHAnsi"/>
                <w:lang w:eastAsia="pl-PL"/>
              </w:rPr>
              <w:t>ZIT BydOF</w:t>
            </w:r>
          </w:p>
        </w:tc>
        <w:tc>
          <w:tcPr>
            <w:tcW w:w="6740" w:type="dxa"/>
            <w:tcBorders>
              <w:left w:val="single" w:sz="4" w:space="0" w:color="0F14D2" w:themeColor="accent1"/>
            </w:tcBorders>
            <w:hideMark/>
          </w:tcPr>
          <w:p w14:paraId="1CFFA906" w14:textId="01668968" w:rsidR="00B27AAA" w:rsidRPr="003A0291" w:rsidRDefault="00B27AAA" w:rsidP="00B27AAA">
            <w:pPr>
              <w:spacing w:before="0"/>
              <w:cnfStyle w:val="000000100000" w:firstRow="0" w:lastRow="0" w:firstColumn="0" w:lastColumn="0" w:oddVBand="0" w:evenVBand="0" w:oddHBand="1" w:evenHBand="0" w:firstRowFirstColumn="0" w:firstRowLastColumn="0" w:lastRowFirstColumn="0" w:lastRowLastColumn="0"/>
              <w:rPr>
                <w:rFonts w:eastAsia="Times New Roman" w:cstheme="minorHAnsi"/>
                <w:lang w:eastAsia="pl-PL"/>
              </w:rPr>
            </w:pPr>
            <w:r w:rsidRPr="003A0291">
              <w:rPr>
                <w:rFonts w:eastAsia="Times New Roman" w:cstheme="minorHAnsi"/>
                <w:lang w:eastAsia="pl-PL"/>
              </w:rPr>
              <w:t>Zintegrowane Inwestycje Terytorialne Bydgoskiego Obszaru Funkcjonalnego</w:t>
            </w:r>
          </w:p>
        </w:tc>
      </w:tr>
    </w:tbl>
    <w:p w14:paraId="67B7FE88" w14:textId="2C7DA0B0" w:rsidR="003560E4" w:rsidRPr="008570E4" w:rsidRDefault="003F1D5B">
      <w:pPr>
        <w:rPr>
          <w:rStyle w:val="normaltextrun"/>
          <w:rFonts w:eastAsiaTheme="majorEastAsia" w:cstheme="minorHAnsi"/>
          <w:b/>
          <w:color w:val="0B0E9D" w:themeColor="accent1" w:themeShade="BF"/>
          <w:sz w:val="40"/>
          <w:szCs w:val="40"/>
        </w:rPr>
      </w:pPr>
      <w:r w:rsidRPr="008570E4">
        <w:rPr>
          <w:rStyle w:val="normaltextrun"/>
          <w:rFonts w:eastAsiaTheme="majorEastAsia" w:cstheme="minorHAnsi"/>
          <w:b/>
          <w:color w:val="0B0E9D" w:themeColor="accent1" w:themeShade="BF"/>
          <w:sz w:val="40"/>
          <w:szCs w:val="40"/>
        </w:rPr>
        <w:lastRenderedPageBreak/>
        <w:t>SPIS TREŚCI</w:t>
      </w:r>
      <w:r w:rsidR="00944004">
        <w:rPr>
          <w:rStyle w:val="normaltextrun"/>
          <w:rFonts w:eastAsiaTheme="majorEastAsia" w:cstheme="minorHAnsi"/>
          <w:b/>
          <w:color w:val="0B0E9D" w:themeColor="accent1" w:themeShade="BF"/>
          <w:sz w:val="40"/>
          <w:szCs w:val="40"/>
        </w:rPr>
        <w:t xml:space="preserve"> </w:t>
      </w:r>
    </w:p>
    <w:p w14:paraId="3E8AE979" w14:textId="3F3C1F65" w:rsidR="004D36ED" w:rsidRDefault="003F1D5B">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r w:rsidRPr="008570E4">
        <w:rPr>
          <w:rStyle w:val="normaltextrun"/>
          <w:rFonts w:eastAsiaTheme="majorEastAsia" w:cstheme="minorHAnsi"/>
          <w:b/>
        </w:rPr>
        <w:fldChar w:fldCharType="begin"/>
      </w:r>
      <w:r w:rsidRPr="008570E4">
        <w:rPr>
          <w:rStyle w:val="normaltextrun"/>
          <w:rFonts w:eastAsiaTheme="majorEastAsia" w:cstheme="minorHAnsi"/>
          <w:b/>
        </w:rPr>
        <w:instrText xml:space="preserve"> TOC \o "1-3" \h \z \u </w:instrText>
      </w:r>
      <w:r w:rsidRPr="008570E4">
        <w:rPr>
          <w:rStyle w:val="normaltextrun"/>
          <w:rFonts w:eastAsiaTheme="majorEastAsia" w:cstheme="minorHAnsi"/>
          <w:b/>
        </w:rPr>
        <w:fldChar w:fldCharType="separate"/>
      </w:r>
      <w:hyperlink w:anchor="_Toc208593134" w:history="1">
        <w:r w:rsidR="004D36ED" w:rsidRPr="001E24B3">
          <w:rPr>
            <w:rStyle w:val="Hipercze"/>
            <w:rFonts w:cstheme="minorHAnsi"/>
            <w:noProof/>
          </w:rPr>
          <w:t>1</w:t>
        </w:r>
        <w:r w:rsidR="004D36ED">
          <w:rPr>
            <w:rFonts w:asciiTheme="minorHAnsi" w:eastAsiaTheme="minorEastAsia" w:hAnsiTheme="minorHAnsi" w:cstheme="minorBidi"/>
            <w:noProof/>
            <w:kern w:val="2"/>
            <w:szCs w:val="24"/>
            <w:lang w:eastAsia="pl-PL"/>
            <w14:ligatures w14:val="standardContextual"/>
          </w:rPr>
          <w:tab/>
        </w:r>
        <w:r w:rsidR="004D36ED" w:rsidRPr="001E24B3">
          <w:rPr>
            <w:rStyle w:val="Hipercze"/>
            <w:rFonts w:cstheme="minorHAnsi"/>
            <w:noProof/>
          </w:rPr>
          <w:t>STRESZCZENIE</w:t>
        </w:r>
        <w:r w:rsidR="004D36ED">
          <w:rPr>
            <w:noProof/>
            <w:webHidden/>
          </w:rPr>
          <w:tab/>
        </w:r>
        <w:r w:rsidR="004D36ED">
          <w:rPr>
            <w:noProof/>
            <w:webHidden/>
          </w:rPr>
          <w:fldChar w:fldCharType="begin"/>
        </w:r>
        <w:r w:rsidR="004D36ED">
          <w:rPr>
            <w:noProof/>
            <w:webHidden/>
          </w:rPr>
          <w:instrText xml:space="preserve"> PAGEREF _Toc208593134 \h </w:instrText>
        </w:r>
        <w:r w:rsidR="004D36ED">
          <w:rPr>
            <w:noProof/>
            <w:webHidden/>
          </w:rPr>
        </w:r>
        <w:r w:rsidR="004D36ED">
          <w:rPr>
            <w:noProof/>
            <w:webHidden/>
          </w:rPr>
          <w:fldChar w:fldCharType="separate"/>
        </w:r>
        <w:r w:rsidR="00541DFA">
          <w:rPr>
            <w:noProof/>
            <w:webHidden/>
          </w:rPr>
          <w:t>6</w:t>
        </w:r>
        <w:r w:rsidR="004D36ED">
          <w:rPr>
            <w:noProof/>
            <w:webHidden/>
          </w:rPr>
          <w:fldChar w:fldCharType="end"/>
        </w:r>
      </w:hyperlink>
    </w:p>
    <w:p w14:paraId="722BA118" w14:textId="6DB9FD8D"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5" w:history="1">
        <w:r w:rsidRPr="001E24B3">
          <w:rPr>
            <w:rStyle w:val="Hipercze"/>
            <w:rFonts w:cstheme="minorHAnsi"/>
            <w:noProof/>
          </w:rPr>
          <w:t>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WPROWADZENIE</w:t>
        </w:r>
        <w:r>
          <w:rPr>
            <w:noProof/>
            <w:webHidden/>
          </w:rPr>
          <w:tab/>
        </w:r>
        <w:r>
          <w:rPr>
            <w:noProof/>
            <w:webHidden/>
          </w:rPr>
          <w:fldChar w:fldCharType="begin"/>
        </w:r>
        <w:r>
          <w:rPr>
            <w:noProof/>
            <w:webHidden/>
          </w:rPr>
          <w:instrText xml:space="preserve"> PAGEREF _Toc208593135 \h </w:instrText>
        </w:r>
        <w:r>
          <w:rPr>
            <w:noProof/>
            <w:webHidden/>
          </w:rPr>
        </w:r>
        <w:r>
          <w:rPr>
            <w:noProof/>
            <w:webHidden/>
          </w:rPr>
          <w:fldChar w:fldCharType="separate"/>
        </w:r>
        <w:r w:rsidR="00541DFA">
          <w:rPr>
            <w:noProof/>
            <w:webHidden/>
          </w:rPr>
          <w:t>27</w:t>
        </w:r>
        <w:r>
          <w:rPr>
            <w:noProof/>
            <w:webHidden/>
          </w:rPr>
          <w:fldChar w:fldCharType="end"/>
        </w:r>
      </w:hyperlink>
    </w:p>
    <w:p w14:paraId="0ED00344" w14:textId="3CB91D48"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6" w:history="1">
        <w:r w:rsidRPr="001E24B3">
          <w:rPr>
            <w:rStyle w:val="Hipercze"/>
            <w:rFonts w:cstheme="minorHAnsi"/>
            <w:noProof/>
          </w:rPr>
          <w:t>3</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SYNTETYCZNY OPIS ZASTOSOWANEJ METODOLOGII</w:t>
        </w:r>
        <w:r>
          <w:rPr>
            <w:noProof/>
            <w:webHidden/>
          </w:rPr>
          <w:tab/>
        </w:r>
        <w:r>
          <w:rPr>
            <w:noProof/>
            <w:webHidden/>
          </w:rPr>
          <w:fldChar w:fldCharType="begin"/>
        </w:r>
        <w:r>
          <w:rPr>
            <w:noProof/>
            <w:webHidden/>
          </w:rPr>
          <w:instrText xml:space="preserve"> PAGEREF _Toc208593136 \h </w:instrText>
        </w:r>
        <w:r>
          <w:rPr>
            <w:noProof/>
            <w:webHidden/>
          </w:rPr>
        </w:r>
        <w:r>
          <w:rPr>
            <w:noProof/>
            <w:webHidden/>
          </w:rPr>
          <w:fldChar w:fldCharType="separate"/>
        </w:r>
        <w:r w:rsidR="00541DFA">
          <w:rPr>
            <w:noProof/>
            <w:webHidden/>
          </w:rPr>
          <w:t>27</w:t>
        </w:r>
        <w:r>
          <w:rPr>
            <w:noProof/>
            <w:webHidden/>
          </w:rPr>
          <w:fldChar w:fldCharType="end"/>
        </w:r>
      </w:hyperlink>
    </w:p>
    <w:p w14:paraId="5D1A10C2" w14:textId="6C71CA33"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37" w:history="1">
        <w:r w:rsidRPr="001E24B3">
          <w:rPr>
            <w:rStyle w:val="Hipercze"/>
            <w:rFonts w:cstheme="minorHAnsi"/>
            <w:noProof/>
          </w:rPr>
          <w:t>4</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PRZYCZYNY WPŁYWAJĄCE NA NISKĄ SKUTECZNOŚĆ APLIKOWANIA O WSPARCIE</w:t>
        </w:r>
        <w:r>
          <w:rPr>
            <w:noProof/>
            <w:webHidden/>
          </w:rPr>
          <w:tab/>
        </w:r>
        <w:r>
          <w:rPr>
            <w:noProof/>
            <w:webHidden/>
          </w:rPr>
          <w:fldChar w:fldCharType="begin"/>
        </w:r>
        <w:r>
          <w:rPr>
            <w:noProof/>
            <w:webHidden/>
          </w:rPr>
          <w:instrText xml:space="preserve"> PAGEREF _Toc208593137 \h </w:instrText>
        </w:r>
        <w:r>
          <w:rPr>
            <w:noProof/>
            <w:webHidden/>
          </w:rPr>
        </w:r>
        <w:r>
          <w:rPr>
            <w:noProof/>
            <w:webHidden/>
          </w:rPr>
          <w:fldChar w:fldCharType="separate"/>
        </w:r>
        <w:r w:rsidR="00541DFA">
          <w:rPr>
            <w:noProof/>
            <w:webHidden/>
          </w:rPr>
          <w:t>31</w:t>
        </w:r>
        <w:r>
          <w:rPr>
            <w:noProof/>
            <w:webHidden/>
          </w:rPr>
          <w:fldChar w:fldCharType="end"/>
        </w:r>
      </w:hyperlink>
    </w:p>
    <w:p w14:paraId="4C01C023" w14:textId="5C63892B"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38" w:history="1">
        <w:r w:rsidRPr="001E24B3">
          <w:rPr>
            <w:rStyle w:val="Hipercze"/>
            <w:noProof/>
          </w:rPr>
          <w:t>4.1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Charakterystyka naborów</w:t>
        </w:r>
        <w:r w:rsidRPr="001E24B3">
          <w:rPr>
            <w:rStyle w:val="Hipercze"/>
            <w:noProof/>
          </w:rPr>
          <w:t xml:space="preserve">, które cechowały się niską skutecznością aplikowania </w:t>
        </w:r>
        <w:r>
          <w:rPr>
            <w:noProof/>
            <w:webHidden/>
          </w:rPr>
          <w:tab/>
        </w:r>
        <w:r>
          <w:rPr>
            <w:noProof/>
            <w:webHidden/>
          </w:rPr>
          <w:fldChar w:fldCharType="begin"/>
        </w:r>
        <w:r>
          <w:rPr>
            <w:noProof/>
            <w:webHidden/>
          </w:rPr>
          <w:instrText xml:space="preserve"> PAGEREF _Toc208593138 \h </w:instrText>
        </w:r>
        <w:r>
          <w:rPr>
            <w:noProof/>
            <w:webHidden/>
          </w:rPr>
        </w:r>
        <w:r>
          <w:rPr>
            <w:noProof/>
            <w:webHidden/>
          </w:rPr>
          <w:fldChar w:fldCharType="separate"/>
        </w:r>
        <w:r w:rsidR="00541DFA">
          <w:rPr>
            <w:noProof/>
            <w:webHidden/>
          </w:rPr>
          <w:t>31</w:t>
        </w:r>
        <w:r>
          <w:rPr>
            <w:noProof/>
            <w:webHidden/>
          </w:rPr>
          <w:fldChar w:fldCharType="end"/>
        </w:r>
      </w:hyperlink>
    </w:p>
    <w:p w14:paraId="7A34DA80" w14:textId="0E994D7F"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39" w:history="1">
        <w:r w:rsidRPr="001E24B3">
          <w:rPr>
            <w:rStyle w:val="Hipercze"/>
            <w:rFonts w:cstheme="minorHAnsi"/>
            <w:noProof/>
          </w:rPr>
          <w:t>4.2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Adekwatność procedur naborów względem celów Programu i zasad horyzontalnych</w:t>
        </w:r>
        <w:r>
          <w:rPr>
            <w:noProof/>
            <w:webHidden/>
          </w:rPr>
          <w:tab/>
        </w:r>
        <w:r>
          <w:rPr>
            <w:noProof/>
            <w:webHidden/>
          </w:rPr>
          <w:fldChar w:fldCharType="begin"/>
        </w:r>
        <w:r>
          <w:rPr>
            <w:noProof/>
            <w:webHidden/>
          </w:rPr>
          <w:instrText xml:space="preserve"> PAGEREF _Toc208593139 \h </w:instrText>
        </w:r>
        <w:r>
          <w:rPr>
            <w:noProof/>
            <w:webHidden/>
          </w:rPr>
        </w:r>
        <w:r>
          <w:rPr>
            <w:noProof/>
            <w:webHidden/>
          </w:rPr>
          <w:fldChar w:fldCharType="separate"/>
        </w:r>
        <w:r w:rsidR="00541DFA">
          <w:rPr>
            <w:noProof/>
            <w:webHidden/>
          </w:rPr>
          <w:t>50</w:t>
        </w:r>
        <w:r>
          <w:rPr>
            <w:noProof/>
            <w:webHidden/>
          </w:rPr>
          <w:fldChar w:fldCharType="end"/>
        </w:r>
      </w:hyperlink>
    </w:p>
    <w:p w14:paraId="58AF4DE5" w14:textId="41F184BA"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0" w:history="1">
        <w:r w:rsidRPr="001E24B3">
          <w:rPr>
            <w:rStyle w:val="Hipercze"/>
            <w:rFonts w:cstheme="minorHAnsi"/>
            <w:noProof/>
          </w:rPr>
          <w:t>4.3</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Przyczyny niskiej skuteczności naborów</w:t>
        </w:r>
        <w:r>
          <w:rPr>
            <w:noProof/>
            <w:webHidden/>
          </w:rPr>
          <w:tab/>
        </w:r>
        <w:r>
          <w:rPr>
            <w:noProof/>
            <w:webHidden/>
          </w:rPr>
          <w:fldChar w:fldCharType="begin"/>
        </w:r>
        <w:r>
          <w:rPr>
            <w:noProof/>
            <w:webHidden/>
          </w:rPr>
          <w:instrText xml:space="preserve"> PAGEREF _Toc208593140 \h </w:instrText>
        </w:r>
        <w:r>
          <w:rPr>
            <w:noProof/>
            <w:webHidden/>
          </w:rPr>
        </w:r>
        <w:r>
          <w:rPr>
            <w:noProof/>
            <w:webHidden/>
          </w:rPr>
          <w:fldChar w:fldCharType="separate"/>
        </w:r>
        <w:r w:rsidR="00541DFA">
          <w:rPr>
            <w:noProof/>
            <w:webHidden/>
          </w:rPr>
          <w:t>54</w:t>
        </w:r>
        <w:r>
          <w:rPr>
            <w:noProof/>
            <w:webHidden/>
          </w:rPr>
          <w:fldChar w:fldCharType="end"/>
        </w:r>
      </w:hyperlink>
    </w:p>
    <w:p w14:paraId="584C2B86" w14:textId="136CFE19"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1" w:history="1">
        <w:r w:rsidRPr="001E24B3">
          <w:rPr>
            <w:rStyle w:val="Hipercze"/>
            <w:noProof/>
          </w:rPr>
          <w:t>4.3.1</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Wprowadzenie</w:t>
        </w:r>
        <w:r>
          <w:rPr>
            <w:noProof/>
            <w:webHidden/>
          </w:rPr>
          <w:tab/>
        </w:r>
        <w:r>
          <w:rPr>
            <w:noProof/>
            <w:webHidden/>
          </w:rPr>
          <w:fldChar w:fldCharType="begin"/>
        </w:r>
        <w:r>
          <w:rPr>
            <w:noProof/>
            <w:webHidden/>
          </w:rPr>
          <w:instrText xml:space="preserve"> PAGEREF _Toc208593141 \h </w:instrText>
        </w:r>
        <w:r>
          <w:rPr>
            <w:noProof/>
            <w:webHidden/>
          </w:rPr>
        </w:r>
        <w:r>
          <w:rPr>
            <w:noProof/>
            <w:webHidden/>
          </w:rPr>
          <w:fldChar w:fldCharType="separate"/>
        </w:r>
        <w:r w:rsidR="00541DFA">
          <w:rPr>
            <w:noProof/>
            <w:webHidden/>
          </w:rPr>
          <w:t>54</w:t>
        </w:r>
        <w:r>
          <w:rPr>
            <w:noProof/>
            <w:webHidden/>
          </w:rPr>
          <w:fldChar w:fldCharType="end"/>
        </w:r>
      </w:hyperlink>
    </w:p>
    <w:p w14:paraId="7D2E8BA4" w14:textId="1CFE4228"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2" w:history="1">
        <w:r w:rsidRPr="001E24B3">
          <w:rPr>
            <w:rStyle w:val="Hipercze"/>
            <w:noProof/>
          </w:rPr>
          <w:t>4.3.2</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Wpływ specyfiki polityki terytorialnej na skuteczność naborów</w:t>
        </w:r>
        <w:r>
          <w:rPr>
            <w:noProof/>
            <w:webHidden/>
          </w:rPr>
          <w:tab/>
        </w:r>
        <w:r>
          <w:rPr>
            <w:noProof/>
            <w:webHidden/>
          </w:rPr>
          <w:fldChar w:fldCharType="begin"/>
        </w:r>
        <w:r>
          <w:rPr>
            <w:noProof/>
            <w:webHidden/>
          </w:rPr>
          <w:instrText xml:space="preserve"> PAGEREF _Toc208593142 \h </w:instrText>
        </w:r>
        <w:r>
          <w:rPr>
            <w:noProof/>
            <w:webHidden/>
          </w:rPr>
        </w:r>
        <w:r>
          <w:rPr>
            <w:noProof/>
            <w:webHidden/>
          </w:rPr>
          <w:fldChar w:fldCharType="separate"/>
        </w:r>
        <w:r w:rsidR="00541DFA">
          <w:rPr>
            <w:noProof/>
            <w:webHidden/>
          </w:rPr>
          <w:t>55</w:t>
        </w:r>
        <w:r>
          <w:rPr>
            <w:noProof/>
            <w:webHidden/>
          </w:rPr>
          <w:fldChar w:fldCharType="end"/>
        </w:r>
      </w:hyperlink>
    </w:p>
    <w:p w14:paraId="7DB01C38" w14:textId="7085900D"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3" w:history="1">
        <w:r w:rsidRPr="001E24B3">
          <w:rPr>
            <w:rStyle w:val="Hipercze"/>
            <w:noProof/>
          </w:rPr>
          <w:t>4.3.3</w:t>
        </w:r>
        <w:r>
          <w:rPr>
            <w:rFonts w:asciiTheme="minorHAnsi" w:eastAsiaTheme="minorEastAsia" w:hAnsiTheme="minorHAnsi" w:cstheme="minorBidi"/>
            <w:noProof/>
            <w:kern w:val="2"/>
            <w:szCs w:val="24"/>
            <w:lang w:eastAsia="pl-PL"/>
            <w14:ligatures w14:val="standardContextual"/>
          </w:rPr>
          <w:tab/>
        </w:r>
        <w:r w:rsidRPr="001E24B3">
          <w:rPr>
            <w:rStyle w:val="Hipercze"/>
            <w:noProof/>
          </w:rPr>
          <w:t>Wpływ specyfiki niekonkurencyjnego sposobu wyboru projektów na skuteczność naborów</w:t>
        </w:r>
        <w:r>
          <w:rPr>
            <w:noProof/>
            <w:webHidden/>
          </w:rPr>
          <w:tab/>
        </w:r>
        <w:r>
          <w:rPr>
            <w:noProof/>
            <w:webHidden/>
          </w:rPr>
          <w:fldChar w:fldCharType="begin"/>
        </w:r>
        <w:r>
          <w:rPr>
            <w:noProof/>
            <w:webHidden/>
          </w:rPr>
          <w:instrText xml:space="preserve"> PAGEREF _Toc208593143 \h </w:instrText>
        </w:r>
        <w:r>
          <w:rPr>
            <w:noProof/>
            <w:webHidden/>
          </w:rPr>
        </w:r>
        <w:r>
          <w:rPr>
            <w:noProof/>
            <w:webHidden/>
          </w:rPr>
          <w:fldChar w:fldCharType="separate"/>
        </w:r>
        <w:r w:rsidR="00541DFA">
          <w:rPr>
            <w:noProof/>
            <w:webHidden/>
          </w:rPr>
          <w:t>76</w:t>
        </w:r>
        <w:r>
          <w:rPr>
            <w:noProof/>
            <w:webHidden/>
          </w:rPr>
          <w:fldChar w:fldCharType="end"/>
        </w:r>
      </w:hyperlink>
    </w:p>
    <w:p w14:paraId="6837841B" w14:textId="083D37F0"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4" w:history="1">
        <w:r w:rsidRPr="001E24B3">
          <w:rPr>
            <w:rStyle w:val="Hipercze"/>
            <w:noProof/>
          </w:rPr>
          <w:t>4.3.4</w:t>
        </w:r>
        <w:r>
          <w:rPr>
            <w:rFonts w:asciiTheme="minorHAnsi" w:eastAsiaTheme="minorEastAsia" w:hAnsiTheme="minorHAnsi" w:cstheme="minorBidi"/>
            <w:noProof/>
            <w:kern w:val="2"/>
            <w:szCs w:val="24"/>
            <w:lang w:eastAsia="pl-PL"/>
            <w14:ligatures w14:val="standardContextual"/>
          </w:rPr>
          <w:tab/>
        </w:r>
        <w:r w:rsidRPr="001E24B3">
          <w:rPr>
            <w:rStyle w:val="Hipercze"/>
            <w:noProof/>
          </w:rPr>
          <w:t>Inne czynniki wpływające na niską skuteczność naborów</w:t>
        </w:r>
        <w:r>
          <w:rPr>
            <w:noProof/>
            <w:webHidden/>
          </w:rPr>
          <w:tab/>
        </w:r>
        <w:r>
          <w:rPr>
            <w:noProof/>
            <w:webHidden/>
          </w:rPr>
          <w:fldChar w:fldCharType="begin"/>
        </w:r>
        <w:r>
          <w:rPr>
            <w:noProof/>
            <w:webHidden/>
          </w:rPr>
          <w:instrText xml:space="preserve"> PAGEREF _Toc208593144 \h </w:instrText>
        </w:r>
        <w:r>
          <w:rPr>
            <w:noProof/>
            <w:webHidden/>
          </w:rPr>
        </w:r>
        <w:r>
          <w:rPr>
            <w:noProof/>
            <w:webHidden/>
          </w:rPr>
          <w:fldChar w:fldCharType="separate"/>
        </w:r>
        <w:r w:rsidR="00541DFA">
          <w:rPr>
            <w:noProof/>
            <w:webHidden/>
          </w:rPr>
          <w:t>84</w:t>
        </w:r>
        <w:r>
          <w:rPr>
            <w:noProof/>
            <w:webHidden/>
          </w:rPr>
          <w:fldChar w:fldCharType="end"/>
        </w:r>
      </w:hyperlink>
    </w:p>
    <w:p w14:paraId="34D3F213" w14:textId="6A6FFD43"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5" w:history="1">
        <w:r w:rsidRPr="001E24B3">
          <w:rPr>
            <w:rStyle w:val="Hipercze"/>
            <w:noProof/>
          </w:rPr>
          <w:t>4.3.5</w:t>
        </w:r>
        <w:r>
          <w:rPr>
            <w:rFonts w:asciiTheme="minorHAnsi" w:eastAsiaTheme="minorEastAsia" w:hAnsiTheme="minorHAnsi" w:cstheme="minorBidi"/>
            <w:noProof/>
            <w:kern w:val="2"/>
            <w:szCs w:val="24"/>
            <w:lang w:eastAsia="pl-PL"/>
            <w14:ligatures w14:val="standardContextual"/>
          </w:rPr>
          <w:tab/>
        </w:r>
        <w:r w:rsidRPr="001E24B3">
          <w:rPr>
            <w:rStyle w:val="Hipercze"/>
            <w:noProof/>
          </w:rPr>
          <w:t>Podsumowanie – przyczyny niskiej skuteczności naborów</w:t>
        </w:r>
        <w:r>
          <w:rPr>
            <w:noProof/>
            <w:webHidden/>
          </w:rPr>
          <w:tab/>
        </w:r>
        <w:r>
          <w:rPr>
            <w:noProof/>
            <w:webHidden/>
          </w:rPr>
          <w:fldChar w:fldCharType="begin"/>
        </w:r>
        <w:r>
          <w:rPr>
            <w:noProof/>
            <w:webHidden/>
          </w:rPr>
          <w:instrText xml:space="preserve"> PAGEREF _Toc208593145 \h </w:instrText>
        </w:r>
        <w:r>
          <w:rPr>
            <w:noProof/>
            <w:webHidden/>
          </w:rPr>
        </w:r>
        <w:r>
          <w:rPr>
            <w:noProof/>
            <w:webHidden/>
          </w:rPr>
          <w:fldChar w:fldCharType="separate"/>
        </w:r>
        <w:r w:rsidR="00541DFA">
          <w:rPr>
            <w:noProof/>
            <w:webHidden/>
          </w:rPr>
          <w:t>127</w:t>
        </w:r>
        <w:r>
          <w:rPr>
            <w:noProof/>
            <w:webHidden/>
          </w:rPr>
          <w:fldChar w:fldCharType="end"/>
        </w:r>
      </w:hyperlink>
    </w:p>
    <w:p w14:paraId="41FA9CD1" w14:textId="5B85C8C9"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6" w:history="1">
        <w:r w:rsidRPr="001E24B3">
          <w:rPr>
            <w:rStyle w:val="Hipercze"/>
            <w:rFonts w:cstheme="minorHAnsi"/>
            <w:noProof/>
          </w:rPr>
          <w:t>5</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DZIAŁANIA WPŁYWAJĄCE NA POPRAWĘ ZAINTERESOWANIA APLIKOWANIEM O WSPARCIE</w:t>
        </w:r>
        <w:r>
          <w:rPr>
            <w:noProof/>
            <w:webHidden/>
          </w:rPr>
          <w:tab/>
        </w:r>
        <w:r>
          <w:rPr>
            <w:noProof/>
            <w:webHidden/>
          </w:rPr>
          <w:fldChar w:fldCharType="begin"/>
        </w:r>
        <w:r>
          <w:rPr>
            <w:noProof/>
            <w:webHidden/>
          </w:rPr>
          <w:instrText xml:space="preserve"> PAGEREF _Toc208593146 \h </w:instrText>
        </w:r>
        <w:r>
          <w:rPr>
            <w:noProof/>
            <w:webHidden/>
          </w:rPr>
        </w:r>
        <w:r>
          <w:rPr>
            <w:noProof/>
            <w:webHidden/>
          </w:rPr>
          <w:fldChar w:fldCharType="separate"/>
        </w:r>
        <w:r w:rsidR="00541DFA">
          <w:rPr>
            <w:noProof/>
            <w:webHidden/>
          </w:rPr>
          <w:t>129</w:t>
        </w:r>
        <w:r>
          <w:rPr>
            <w:noProof/>
            <w:webHidden/>
          </w:rPr>
          <w:fldChar w:fldCharType="end"/>
        </w:r>
      </w:hyperlink>
    </w:p>
    <w:p w14:paraId="465ED691" w14:textId="363A27D7"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7" w:history="1">
        <w:r w:rsidRPr="001E24B3">
          <w:rPr>
            <w:rStyle w:val="Hipercze"/>
            <w:noProof/>
          </w:rPr>
          <w:t>5.1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Dotychczasowe działania naprawcze</w:t>
        </w:r>
        <w:r>
          <w:rPr>
            <w:noProof/>
            <w:webHidden/>
          </w:rPr>
          <w:tab/>
        </w:r>
        <w:r>
          <w:rPr>
            <w:noProof/>
            <w:webHidden/>
          </w:rPr>
          <w:fldChar w:fldCharType="begin"/>
        </w:r>
        <w:r>
          <w:rPr>
            <w:noProof/>
            <w:webHidden/>
          </w:rPr>
          <w:instrText xml:space="preserve"> PAGEREF _Toc208593147 \h </w:instrText>
        </w:r>
        <w:r>
          <w:rPr>
            <w:noProof/>
            <w:webHidden/>
          </w:rPr>
        </w:r>
        <w:r>
          <w:rPr>
            <w:noProof/>
            <w:webHidden/>
          </w:rPr>
          <w:fldChar w:fldCharType="separate"/>
        </w:r>
        <w:r w:rsidR="00541DFA">
          <w:rPr>
            <w:noProof/>
            <w:webHidden/>
          </w:rPr>
          <w:t>129</w:t>
        </w:r>
        <w:r>
          <w:rPr>
            <w:noProof/>
            <w:webHidden/>
          </w:rPr>
          <w:fldChar w:fldCharType="end"/>
        </w:r>
      </w:hyperlink>
    </w:p>
    <w:p w14:paraId="3F5A4DF2" w14:textId="464204D2"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48" w:history="1">
        <w:r w:rsidRPr="001E24B3">
          <w:rPr>
            <w:rStyle w:val="Hipercze"/>
            <w:noProof/>
          </w:rPr>
          <w:t>5.2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Propozycje działań i zmian na przyszłość</w:t>
        </w:r>
        <w:r>
          <w:rPr>
            <w:noProof/>
            <w:webHidden/>
          </w:rPr>
          <w:tab/>
        </w:r>
        <w:r>
          <w:rPr>
            <w:noProof/>
            <w:webHidden/>
          </w:rPr>
          <w:fldChar w:fldCharType="begin"/>
        </w:r>
        <w:r>
          <w:rPr>
            <w:noProof/>
            <w:webHidden/>
          </w:rPr>
          <w:instrText xml:space="preserve"> PAGEREF _Toc208593148 \h </w:instrText>
        </w:r>
        <w:r>
          <w:rPr>
            <w:noProof/>
            <w:webHidden/>
          </w:rPr>
        </w:r>
        <w:r>
          <w:rPr>
            <w:noProof/>
            <w:webHidden/>
          </w:rPr>
          <w:fldChar w:fldCharType="separate"/>
        </w:r>
        <w:r w:rsidR="00541DFA">
          <w:rPr>
            <w:noProof/>
            <w:webHidden/>
          </w:rPr>
          <w:t>134</w:t>
        </w:r>
        <w:r>
          <w:rPr>
            <w:noProof/>
            <w:webHidden/>
          </w:rPr>
          <w:fldChar w:fldCharType="end"/>
        </w:r>
      </w:hyperlink>
    </w:p>
    <w:p w14:paraId="066D0B85" w14:textId="6F438720"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49" w:history="1">
        <w:r w:rsidRPr="001E24B3">
          <w:rPr>
            <w:rStyle w:val="Hipercze"/>
            <w:noProof/>
          </w:rPr>
          <w:t>5.2.1</w:t>
        </w:r>
        <w:r>
          <w:rPr>
            <w:rFonts w:asciiTheme="minorHAnsi" w:eastAsiaTheme="minorEastAsia" w:hAnsiTheme="minorHAnsi" w:cstheme="minorBidi"/>
            <w:noProof/>
            <w:kern w:val="2"/>
            <w:szCs w:val="24"/>
            <w:lang w:eastAsia="pl-PL"/>
            <w14:ligatures w14:val="standardContextual"/>
          </w:rPr>
          <w:tab/>
        </w:r>
        <w:r w:rsidRPr="001E24B3">
          <w:rPr>
            <w:rStyle w:val="Hipercze"/>
            <w:noProof/>
          </w:rPr>
          <w:t>Zmiany dotyczące polityki terytorialnej</w:t>
        </w:r>
        <w:r>
          <w:rPr>
            <w:noProof/>
            <w:webHidden/>
          </w:rPr>
          <w:tab/>
        </w:r>
        <w:r>
          <w:rPr>
            <w:noProof/>
            <w:webHidden/>
          </w:rPr>
          <w:fldChar w:fldCharType="begin"/>
        </w:r>
        <w:r>
          <w:rPr>
            <w:noProof/>
            <w:webHidden/>
          </w:rPr>
          <w:instrText xml:space="preserve"> PAGEREF _Toc208593149 \h </w:instrText>
        </w:r>
        <w:r>
          <w:rPr>
            <w:noProof/>
            <w:webHidden/>
          </w:rPr>
        </w:r>
        <w:r>
          <w:rPr>
            <w:noProof/>
            <w:webHidden/>
          </w:rPr>
          <w:fldChar w:fldCharType="separate"/>
        </w:r>
        <w:r w:rsidR="00541DFA">
          <w:rPr>
            <w:noProof/>
            <w:webHidden/>
          </w:rPr>
          <w:t>134</w:t>
        </w:r>
        <w:r>
          <w:rPr>
            <w:noProof/>
            <w:webHidden/>
          </w:rPr>
          <w:fldChar w:fldCharType="end"/>
        </w:r>
      </w:hyperlink>
    </w:p>
    <w:p w14:paraId="205F8F30" w14:textId="036CE0AA"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0" w:history="1">
        <w:r w:rsidRPr="001E24B3">
          <w:rPr>
            <w:rStyle w:val="Hipercze"/>
            <w:noProof/>
          </w:rPr>
          <w:t>5.2.2</w:t>
        </w:r>
        <w:r>
          <w:rPr>
            <w:rFonts w:asciiTheme="minorHAnsi" w:eastAsiaTheme="minorEastAsia" w:hAnsiTheme="minorHAnsi" w:cstheme="minorBidi"/>
            <w:noProof/>
            <w:kern w:val="2"/>
            <w:szCs w:val="24"/>
            <w:lang w:eastAsia="pl-PL"/>
            <w14:ligatures w14:val="standardContextual"/>
          </w:rPr>
          <w:tab/>
        </w:r>
        <w:r w:rsidRPr="001E24B3">
          <w:rPr>
            <w:rStyle w:val="Hipercze"/>
            <w:noProof/>
          </w:rPr>
          <w:t>Zmiany dotyczące niekonkurencyjnego sposobu wyboru projektów</w:t>
        </w:r>
        <w:r>
          <w:rPr>
            <w:noProof/>
            <w:webHidden/>
          </w:rPr>
          <w:tab/>
        </w:r>
        <w:r>
          <w:rPr>
            <w:noProof/>
            <w:webHidden/>
          </w:rPr>
          <w:fldChar w:fldCharType="begin"/>
        </w:r>
        <w:r>
          <w:rPr>
            <w:noProof/>
            <w:webHidden/>
          </w:rPr>
          <w:instrText xml:space="preserve"> PAGEREF _Toc208593150 \h </w:instrText>
        </w:r>
        <w:r>
          <w:rPr>
            <w:noProof/>
            <w:webHidden/>
          </w:rPr>
        </w:r>
        <w:r>
          <w:rPr>
            <w:noProof/>
            <w:webHidden/>
          </w:rPr>
          <w:fldChar w:fldCharType="separate"/>
        </w:r>
        <w:r w:rsidR="00541DFA">
          <w:rPr>
            <w:noProof/>
            <w:webHidden/>
          </w:rPr>
          <w:t>136</w:t>
        </w:r>
        <w:r>
          <w:rPr>
            <w:noProof/>
            <w:webHidden/>
          </w:rPr>
          <w:fldChar w:fldCharType="end"/>
        </w:r>
      </w:hyperlink>
    </w:p>
    <w:p w14:paraId="0D04DBD0" w14:textId="54CBA4FA"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1" w:history="1">
        <w:r w:rsidRPr="001E24B3">
          <w:rPr>
            <w:rStyle w:val="Hipercze"/>
            <w:noProof/>
          </w:rPr>
          <w:t>5.2.3</w:t>
        </w:r>
        <w:r>
          <w:rPr>
            <w:rFonts w:asciiTheme="minorHAnsi" w:eastAsiaTheme="minorEastAsia" w:hAnsiTheme="minorHAnsi" w:cstheme="minorBidi"/>
            <w:noProof/>
            <w:kern w:val="2"/>
            <w:szCs w:val="24"/>
            <w:lang w:eastAsia="pl-PL"/>
            <w14:ligatures w14:val="standardContextual"/>
          </w:rPr>
          <w:tab/>
        </w:r>
        <w:r w:rsidRPr="001E24B3">
          <w:rPr>
            <w:rStyle w:val="Hipercze"/>
            <w:noProof/>
          </w:rPr>
          <w:t>Uproszczenie i optymalizacja procesu aplikacyjnego</w:t>
        </w:r>
        <w:r>
          <w:rPr>
            <w:noProof/>
            <w:webHidden/>
          </w:rPr>
          <w:tab/>
        </w:r>
        <w:r>
          <w:rPr>
            <w:noProof/>
            <w:webHidden/>
          </w:rPr>
          <w:fldChar w:fldCharType="begin"/>
        </w:r>
        <w:r>
          <w:rPr>
            <w:noProof/>
            <w:webHidden/>
          </w:rPr>
          <w:instrText xml:space="preserve"> PAGEREF _Toc208593151 \h </w:instrText>
        </w:r>
        <w:r>
          <w:rPr>
            <w:noProof/>
            <w:webHidden/>
          </w:rPr>
        </w:r>
        <w:r>
          <w:rPr>
            <w:noProof/>
            <w:webHidden/>
          </w:rPr>
          <w:fldChar w:fldCharType="separate"/>
        </w:r>
        <w:r w:rsidR="00541DFA">
          <w:rPr>
            <w:noProof/>
            <w:webHidden/>
          </w:rPr>
          <w:t>137</w:t>
        </w:r>
        <w:r>
          <w:rPr>
            <w:noProof/>
            <w:webHidden/>
          </w:rPr>
          <w:fldChar w:fldCharType="end"/>
        </w:r>
      </w:hyperlink>
    </w:p>
    <w:p w14:paraId="0E7176F5" w14:textId="3CC66A40" w:rsidR="004D36ED" w:rsidRDefault="004D36ED">
      <w:pPr>
        <w:pStyle w:val="Spistreci3"/>
        <w:tabs>
          <w:tab w:val="left" w:pos="1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2" w:history="1">
        <w:r w:rsidRPr="001E24B3">
          <w:rPr>
            <w:rStyle w:val="Hipercze"/>
            <w:rFonts w:cstheme="minorHAnsi"/>
            <w:noProof/>
          </w:rPr>
          <w:t>5.2.4</w:t>
        </w:r>
        <w:r>
          <w:rPr>
            <w:rFonts w:asciiTheme="minorHAnsi" w:eastAsiaTheme="minorEastAsia" w:hAnsiTheme="minorHAnsi" w:cstheme="minorBidi"/>
            <w:noProof/>
            <w:kern w:val="2"/>
            <w:szCs w:val="24"/>
            <w:lang w:eastAsia="pl-PL"/>
            <w14:ligatures w14:val="standardContextual"/>
          </w:rPr>
          <w:tab/>
        </w:r>
        <w:r w:rsidRPr="001E24B3">
          <w:rPr>
            <w:rStyle w:val="Hipercze"/>
            <w:noProof/>
          </w:rPr>
          <w:t>Kluczowe wyzwania strategiczne, które należałoby uwzględnić w Programie</w:t>
        </w:r>
        <w:r>
          <w:rPr>
            <w:noProof/>
            <w:webHidden/>
          </w:rPr>
          <w:tab/>
        </w:r>
        <w:r>
          <w:rPr>
            <w:noProof/>
            <w:webHidden/>
          </w:rPr>
          <w:fldChar w:fldCharType="begin"/>
        </w:r>
        <w:r>
          <w:rPr>
            <w:noProof/>
            <w:webHidden/>
          </w:rPr>
          <w:instrText xml:space="preserve"> PAGEREF _Toc208593152 \h </w:instrText>
        </w:r>
        <w:r>
          <w:rPr>
            <w:noProof/>
            <w:webHidden/>
          </w:rPr>
        </w:r>
        <w:r>
          <w:rPr>
            <w:noProof/>
            <w:webHidden/>
          </w:rPr>
          <w:fldChar w:fldCharType="separate"/>
        </w:r>
        <w:r w:rsidR="00541DFA">
          <w:rPr>
            <w:noProof/>
            <w:webHidden/>
          </w:rPr>
          <w:t>141</w:t>
        </w:r>
        <w:r>
          <w:rPr>
            <w:noProof/>
            <w:webHidden/>
          </w:rPr>
          <w:fldChar w:fldCharType="end"/>
        </w:r>
      </w:hyperlink>
    </w:p>
    <w:p w14:paraId="31ED57EB" w14:textId="108FD076"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3" w:history="1">
        <w:r w:rsidRPr="001E24B3">
          <w:rPr>
            <w:rStyle w:val="Hipercze"/>
            <w:noProof/>
          </w:rPr>
          <w:t>6</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WNIOSKI I REKOMENDACJE</w:t>
        </w:r>
        <w:r>
          <w:rPr>
            <w:noProof/>
            <w:webHidden/>
          </w:rPr>
          <w:tab/>
        </w:r>
        <w:r>
          <w:rPr>
            <w:noProof/>
            <w:webHidden/>
          </w:rPr>
          <w:fldChar w:fldCharType="begin"/>
        </w:r>
        <w:r>
          <w:rPr>
            <w:noProof/>
            <w:webHidden/>
          </w:rPr>
          <w:instrText xml:space="preserve"> PAGEREF _Toc208593153 \h </w:instrText>
        </w:r>
        <w:r>
          <w:rPr>
            <w:noProof/>
            <w:webHidden/>
          </w:rPr>
        </w:r>
        <w:r>
          <w:rPr>
            <w:noProof/>
            <w:webHidden/>
          </w:rPr>
          <w:fldChar w:fldCharType="separate"/>
        </w:r>
        <w:r w:rsidR="00541DFA">
          <w:rPr>
            <w:noProof/>
            <w:webHidden/>
          </w:rPr>
          <w:t>145</w:t>
        </w:r>
        <w:r>
          <w:rPr>
            <w:noProof/>
            <w:webHidden/>
          </w:rPr>
          <w:fldChar w:fldCharType="end"/>
        </w:r>
      </w:hyperlink>
    </w:p>
    <w:p w14:paraId="79528DB6" w14:textId="5809CA88"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4" w:history="1">
        <w:r w:rsidRPr="001E24B3">
          <w:rPr>
            <w:rStyle w:val="Hipercze"/>
            <w:rFonts w:cstheme="minorHAnsi"/>
            <w:noProof/>
          </w:rPr>
          <w:t>7</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SYNTETYCZNE ODPOWIEDZI NA PYTANIA BADAWCZE</w:t>
        </w:r>
        <w:r>
          <w:rPr>
            <w:noProof/>
            <w:webHidden/>
          </w:rPr>
          <w:tab/>
        </w:r>
        <w:r>
          <w:rPr>
            <w:noProof/>
            <w:webHidden/>
          </w:rPr>
          <w:fldChar w:fldCharType="begin"/>
        </w:r>
        <w:r>
          <w:rPr>
            <w:noProof/>
            <w:webHidden/>
          </w:rPr>
          <w:instrText xml:space="preserve"> PAGEREF _Toc208593154 \h </w:instrText>
        </w:r>
        <w:r>
          <w:rPr>
            <w:noProof/>
            <w:webHidden/>
          </w:rPr>
        </w:r>
        <w:r>
          <w:rPr>
            <w:noProof/>
            <w:webHidden/>
          </w:rPr>
          <w:fldChar w:fldCharType="separate"/>
        </w:r>
        <w:r w:rsidR="00541DFA">
          <w:rPr>
            <w:noProof/>
            <w:webHidden/>
          </w:rPr>
          <w:t>149</w:t>
        </w:r>
        <w:r>
          <w:rPr>
            <w:noProof/>
            <w:webHidden/>
          </w:rPr>
          <w:fldChar w:fldCharType="end"/>
        </w:r>
      </w:hyperlink>
    </w:p>
    <w:p w14:paraId="6F1379EC" w14:textId="7790AAF7" w:rsidR="004D36ED" w:rsidRDefault="004D36ED">
      <w:pPr>
        <w:pStyle w:val="Spistreci1"/>
        <w:tabs>
          <w:tab w:val="left" w:pos="440"/>
          <w:tab w:val="right" w:leader="dot" w:pos="9062"/>
        </w:tabs>
        <w:rPr>
          <w:rFonts w:asciiTheme="minorHAnsi" w:eastAsiaTheme="minorEastAsia" w:hAnsiTheme="minorHAnsi" w:cstheme="minorBidi"/>
          <w:noProof/>
          <w:kern w:val="2"/>
          <w:szCs w:val="24"/>
          <w:lang w:eastAsia="pl-PL"/>
          <w14:ligatures w14:val="standardContextual"/>
        </w:rPr>
      </w:pPr>
      <w:hyperlink w:anchor="_Toc208593155" w:history="1">
        <w:r w:rsidRPr="001E24B3">
          <w:rPr>
            <w:rStyle w:val="Hipercze"/>
            <w:rFonts w:cstheme="minorHAnsi"/>
            <w:noProof/>
          </w:rPr>
          <w:t>8</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ANEKSY</w:t>
        </w:r>
        <w:r>
          <w:rPr>
            <w:noProof/>
            <w:webHidden/>
          </w:rPr>
          <w:tab/>
        </w:r>
        <w:r>
          <w:rPr>
            <w:noProof/>
            <w:webHidden/>
          </w:rPr>
          <w:fldChar w:fldCharType="begin"/>
        </w:r>
        <w:r>
          <w:rPr>
            <w:noProof/>
            <w:webHidden/>
          </w:rPr>
          <w:instrText xml:space="preserve"> PAGEREF _Toc208593155 \h </w:instrText>
        </w:r>
        <w:r>
          <w:rPr>
            <w:noProof/>
            <w:webHidden/>
          </w:rPr>
        </w:r>
        <w:r>
          <w:rPr>
            <w:noProof/>
            <w:webHidden/>
          </w:rPr>
          <w:fldChar w:fldCharType="separate"/>
        </w:r>
        <w:r w:rsidR="00541DFA">
          <w:rPr>
            <w:noProof/>
            <w:webHidden/>
          </w:rPr>
          <w:t>159</w:t>
        </w:r>
        <w:r>
          <w:rPr>
            <w:noProof/>
            <w:webHidden/>
          </w:rPr>
          <w:fldChar w:fldCharType="end"/>
        </w:r>
      </w:hyperlink>
    </w:p>
    <w:p w14:paraId="593947D9" w14:textId="6C6C7900"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56" w:history="1">
        <w:r w:rsidRPr="001E24B3">
          <w:rPr>
            <w:rStyle w:val="Hipercze"/>
            <w:rFonts w:cstheme="minorHAnsi"/>
            <w:noProof/>
          </w:rPr>
          <w:t>8.1</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Narzędzia badawcze</w:t>
        </w:r>
        <w:r>
          <w:rPr>
            <w:noProof/>
            <w:webHidden/>
          </w:rPr>
          <w:tab/>
        </w:r>
        <w:r>
          <w:rPr>
            <w:noProof/>
            <w:webHidden/>
          </w:rPr>
          <w:fldChar w:fldCharType="begin"/>
        </w:r>
        <w:r>
          <w:rPr>
            <w:noProof/>
            <w:webHidden/>
          </w:rPr>
          <w:instrText xml:space="preserve"> PAGEREF _Toc208593156 \h </w:instrText>
        </w:r>
        <w:r>
          <w:rPr>
            <w:noProof/>
            <w:webHidden/>
          </w:rPr>
        </w:r>
        <w:r>
          <w:rPr>
            <w:noProof/>
            <w:webHidden/>
          </w:rPr>
          <w:fldChar w:fldCharType="separate"/>
        </w:r>
        <w:r w:rsidR="00541DFA">
          <w:rPr>
            <w:noProof/>
            <w:webHidden/>
          </w:rPr>
          <w:t>159</w:t>
        </w:r>
        <w:r>
          <w:rPr>
            <w:noProof/>
            <w:webHidden/>
          </w:rPr>
          <w:fldChar w:fldCharType="end"/>
        </w:r>
      </w:hyperlink>
    </w:p>
    <w:p w14:paraId="05862614" w14:textId="587912A4" w:rsidR="004D36ED" w:rsidRDefault="004D36ED">
      <w:pPr>
        <w:pStyle w:val="Spistreci2"/>
        <w:tabs>
          <w:tab w:val="left" w:pos="960"/>
          <w:tab w:val="right" w:leader="dot" w:pos="9062"/>
        </w:tabs>
        <w:rPr>
          <w:rFonts w:asciiTheme="minorHAnsi" w:eastAsiaTheme="minorEastAsia" w:hAnsiTheme="minorHAnsi" w:cstheme="minorBidi"/>
          <w:noProof/>
          <w:kern w:val="2"/>
          <w:szCs w:val="24"/>
          <w:lang w:eastAsia="pl-PL"/>
          <w14:ligatures w14:val="standardContextual"/>
        </w:rPr>
      </w:pPr>
      <w:hyperlink w:anchor="_Toc208593157" w:history="1">
        <w:r w:rsidRPr="001E24B3">
          <w:rPr>
            <w:rStyle w:val="Hipercze"/>
            <w:rFonts w:cstheme="minorHAnsi"/>
            <w:noProof/>
          </w:rPr>
          <w:t>8.2</w:t>
        </w:r>
        <w:r>
          <w:rPr>
            <w:rFonts w:asciiTheme="minorHAnsi" w:eastAsiaTheme="minorEastAsia" w:hAnsiTheme="minorHAnsi" w:cstheme="minorBidi"/>
            <w:noProof/>
            <w:kern w:val="2"/>
            <w:szCs w:val="24"/>
            <w:lang w:eastAsia="pl-PL"/>
            <w14:ligatures w14:val="standardContextual"/>
          </w:rPr>
          <w:tab/>
        </w:r>
        <w:r w:rsidRPr="001E24B3">
          <w:rPr>
            <w:rStyle w:val="Hipercze"/>
            <w:rFonts w:cstheme="minorHAnsi"/>
            <w:noProof/>
          </w:rPr>
          <w:t>Dane pierwotne</w:t>
        </w:r>
        <w:r>
          <w:rPr>
            <w:noProof/>
            <w:webHidden/>
          </w:rPr>
          <w:tab/>
        </w:r>
        <w:r>
          <w:rPr>
            <w:noProof/>
            <w:webHidden/>
          </w:rPr>
          <w:fldChar w:fldCharType="begin"/>
        </w:r>
        <w:r>
          <w:rPr>
            <w:noProof/>
            <w:webHidden/>
          </w:rPr>
          <w:instrText xml:space="preserve"> PAGEREF _Toc208593157 \h </w:instrText>
        </w:r>
        <w:r>
          <w:rPr>
            <w:noProof/>
            <w:webHidden/>
          </w:rPr>
        </w:r>
        <w:r>
          <w:rPr>
            <w:noProof/>
            <w:webHidden/>
          </w:rPr>
          <w:fldChar w:fldCharType="separate"/>
        </w:r>
        <w:r w:rsidR="00541DFA">
          <w:rPr>
            <w:noProof/>
            <w:webHidden/>
          </w:rPr>
          <w:t>160</w:t>
        </w:r>
        <w:r>
          <w:rPr>
            <w:noProof/>
            <w:webHidden/>
          </w:rPr>
          <w:fldChar w:fldCharType="end"/>
        </w:r>
      </w:hyperlink>
    </w:p>
    <w:p w14:paraId="0ACE644A" w14:textId="24DBA450" w:rsidR="003F1D5B" w:rsidRPr="005D422D" w:rsidRDefault="003F1D5B" w:rsidP="00F9153B">
      <w:r w:rsidRPr="008570E4">
        <w:rPr>
          <w:rStyle w:val="normaltextrun"/>
          <w:rFonts w:eastAsiaTheme="majorEastAsia" w:cstheme="minorHAnsi"/>
          <w:b/>
        </w:rPr>
        <w:fldChar w:fldCharType="end"/>
      </w:r>
      <w:r w:rsidRPr="005D422D">
        <w:br w:type="page"/>
      </w:r>
    </w:p>
    <w:p w14:paraId="53D45E59" w14:textId="36DB90CF" w:rsidR="001F761E" w:rsidRDefault="001F761E" w:rsidP="00A17ED5">
      <w:pPr>
        <w:pStyle w:val="Nagwek1"/>
        <w:spacing w:before="360"/>
        <w:rPr>
          <w:rStyle w:val="normaltextrun"/>
          <w:rFonts w:asciiTheme="minorHAnsi" w:hAnsiTheme="minorHAnsi" w:cstheme="minorHAnsi"/>
          <w:color w:val="0B0E9D" w:themeColor="accent1" w:themeShade="BF"/>
          <w:sz w:val="40"/>
          <w:szCs w:val="40"/>
        </w:rPr>
      </w:pPr>
      <w:bookmarkStart w:id="0" w:name="_Toc208593134"/>
      <w:r>
        <w:rPr>
          <w:rStyle w:val="normaltextrun"/>
          <w:rFonts w:asciiTheme="minorHAnsi" w:hAnsiTheme="minorHAnsi" w:cstheme="minorHAnsi"/>
          <w:color w:val="0B0E9D" w:themeColor="accent1" w:themeShade="BF"/>
          <w:sz w:val="40"/>
          <w:szCs w:val="40"/>
        </w:rPr>
        <w:lastRenderedPageBreak/>
        <w:t>STRESZCZENIE</w:t>
      </w:r>
      <w:bookmarkEnd w:id="0"/>
    </w:p>
    <w:p w14:paraId="12A64F4A" w14:textId="69E387B5" w:rsidR="005E4F13" w:rsidRPr="00930A68" w:rsidRDefault="00930A68" w:rsidP="00930A68">
      <w:pPr>
        <w:rPr>
          <w:b/>
          <w:bCs/>
          <w:color w:val="640B68" w:themeColor="accent3" w:themeShade="BF"/>
        </w:rPr>
      </w:pPr>
      <w:r w:rsidRPr="00930A68">
        <w:rPr>
          <w:b/>
          <w:bCs/>
          <w:color w:val="640B68" w:themeColor="accent3" w:themeShade="BF"/>
        </w:rPr>
        <w:t>CELE BADANIA I ZASTOSOWANA METODOLOGIA</w:t>
      </w:r>
    </w:p>
    <w:p w14:paraId="354022DD" w14:textId="50BB575B" w:rsidR="00EA503E" w:rsidRPr="008570E4" w:rsidRDefault="00EA503E" w:rsidP="00EA503E">
      <w:pPr>
        <w:rPr>
          <w:rFonts w:eastAsia="Calibri" w:cstheme="minorHAnsi"/>
        </w:rPr>
      </w:pPr>
      <w:r w:rsidRPr="00F05D31">
        <w:t xml:space="preserve">Badanie </w:t>
      </w:r>
      <w:r>
        <w:t>z</w:t>
      </w:r>
      <w:r w:rsidRPr="00F05D31">
        <w:t xml:space="preserve">realizowane </w:t>
      </w:r>
      <w:r>
        <w:t>zostało</w:t>
      </w:r>
      <w:r w:rsidRPr="00F05D31">
        <w:t xml:space="preserve"> w okresie </w:t>
      </w:r>
      <w:r>
        <w:t>od kwietnia do września</w:t>
      </w:r>
      <w:r w:rsidRPr="00F05D31">
        <w:t xml:space="preserve"> 2025 roku.</w:t>
      </w:r>
      <w:r>
        <w:t xml:space="preserve"> O</w:t>
      </w:r>
      <w:r w:rsidRPr="00B06E03">
        <w:rPr>
          <w:rFonts w:eastAsia="Calibri" w:cstheme="minorHAnsi"/>
        </w:rPr>
        <w:t>bejm</w:t>
      </w:r>
      <w:r>
        <w:rPr>
          <w:rFonts w:eastAsia="Calibri" w:cstheme="minorHAnsi"/>
        </w:rPr>
        <w:t>owało</w:t>
      </w:r>
      <w:r w:rsidRPr="00B06E03">
        <w:rPr>
          <w:rFonts w:eastAsia="Calibri" w:cstheme="minorHAnsi"/>
        </w:rPr>
        <w:t xml:space="preserve"> okres od zatwierdzenia </w:t>
      </w:r>
      <w:r w:rsidR="004A08C7">
        <w:rPr>
          <w:rFonts w:eastAsia="Calibri" w:cstheme="minorHAnsi"/>
        </w:rPr>
        <w:t>P</w:t>
      </w:r>
      <w:r w:rsidRPr="00B06E03">
        <w:rPr>
          <w:rFonts w:eastAsia="Calibri" w:cstheme="minorHAnsi"/>
        </w:rPr>
        <w:t>rogramu FEdKP 2021-2027, tj. od 7.12.2022r</w:t>
      </w:r>
      <w:r w:rsidR="00972379">
        <w:rPr>
          <w:rFonts w:eastAsia="Calibri" w:cstheme="minorHAnsi"/>
        </w:rPr>
        <w:t>.</w:t>
      </w:r>
      <w:r w:rsidRPr="00B06E03">
        <w:rPr>
          <w:rFonts w:eastAsia="Calibri" w:cstheme="minorHAnsi"/>
        </w:rPr>
        <w:t xml:space="preserve"> </w:t>
      </w:r>
      <w:r w:rsidRPr="00C94347">
        <w:rPr>
          <w:rFonts w:eastAsia="Calibri" w:cstheme="minorHAnsi"/>
        </w:rPr>
        <w:t xml:space="preserve">do </w:t>
      </w:r>
      <w:r w:rsidRPr="00EB4713">
        <w:t>31.0</w:t>
      </w:r>
      <w:r>
        <w:t>3</w:t>
      </w:r>
      <w:r w:rsidRPr="00EB4713">
        <w:t>.202</w:t>
      </w:r>
      <w:r>
        <w:t>5</w:t>
      </w:r>
      <w:r w:rsidRPr="00EB4713">
        <w:t xml:space="preserve"> r. </w:t>
      </w:r>
      <w:r>
        <w:t xml:space="preserve">(data graniczna wygenerowania danych </w:t>
      </w:r>
      <w:r w:rsidRPr="00EB4713">
        <w:t xml:space="preserve">z </w:t>
      </w:r>
      <w:r>
        <w:t xml:space="preserve">SL2014 oraz </w:t>
      </w:r>
      <w:r w:rsidRPr="00EB4713">
        <w:t>CST2021</w:t>
      </w:r>
      <w:r>
        <w:t>).</w:t>
      </w:r>
      <w:r w:rsidRPr="00EB4713">
        <w:t xml:space="preserve"> </w:t>
      </w:r>
    </w:p>
    <w:p w14:paraId="48013F77" w14:textId="0022B862" w:rsidR="005E4F13" w:rsidRDefault="005E4F13" w:rsidP="005E4F13">
      <w:pPr>
        <w:spacing w:after="160" w:line="257" w:lineRule="auto"/>
        <w:rPr>
          <w:rFonts w:eastAsia="Calibri" w:cstheme="minorHAnsi"/>
        </w:rPr>
      </w:pPr>
      <w:r w:rsidRPr="00D828B2">
        <w:rPr>
          <w:rFonts w:eastAsia="Calibri" w:cstheme="minorHAnsi"/>
          <w:b/>
          <w:bCs/>
        </w:rPr>
        <w:t>Celem badania</w:t>
      </w:r>
      <w:r w:rsidRPr="008570E4">
        <w:rPr>
          <w:rFonts w:eastAsia="Calibri" w:cstheme="minorHAnsi"/>
        </w:rPr>
        <w:t xml:space="preserve"> </w:t>
      </w:r>
      <w:r>
        <w:rPr>
          <w:rFonts w:eastAsia="Calibri" w:cstheme="minorHAnsi"/>
        </w:rPr>
        <w:t>było</w:t>
      </w:r>
      <w:r w:rsidRPr="008570E4">
        <w:rPr>
          <w:rFonts w:eastAsia="Calibri" w:cstheme="minorHAnsi"/>
        </w:rPr>
        <w:t xml:space="preserve"> zidentyfikowanie przyczyn wpływających na niskie zainteresowanie aplikowaniem o wsparcie uruchamiane w ramach </w:t>
      </w:r>
      <w:r w:rsidR="00FE5760">
        <w:rPr>
          <w:rFonts w:eastAsia="Calibri" w:cstheme="minorHAnsi"/>
        </w:rPr>
        <w:t xml:space="preserve">wybranych </w:t>
      </w:r>
      <w:r w:rsidRPr="008570E4">
        <w:rPr>
          <w:rFonts w:eastAsia="Calibri" w:cstheme="minorHAnsi"/>
        </w:rPr>
        <w:t>naborów FEdKP 2021-2027 oraz zaproponowanie działań zaradczych, które pozwolą uniknąć podobnych sytuacji w przyszłości.</w:t>
      </w:r>
    </w:p>
    <w:p w14:paraId="10B5E6E2" w14:textId="2CCF826F" w:rsidR="00235C28" w:rsidRDefault="002228C5" w:rsidP="00235C28">
      <w:pPr>
        <w:spacing w:after="160" w:line="257" w:lineRule="auto"/>
        <w:rPr>
          <w:rFonts w:eastAsia="Calibri" w:cstheme="minorHAnsi"/>
        </w:rPr>
      </w:pPr>
      <w:r>
        <w:t xml:space="preserve">W </w:t>
      </w:r>
      <w:r w:rsidR="00235C28">
        <w:t xml:space="preserve">ramach </w:t>
      </w:r>
      <w:r w:rsidR="00107E3A">
        <w:t xml:space="preserve">badania </w:t>
      </w:r>
      <w:r w:rsidR="00107E3A" w:rsidRPr="00256242">
        <w:rPr>
          <w:b/>
          <w:bCs/>
        </w:rPr>
        <w:t>zastosowano następujące metody badawcze</w:t>
      </w:r>
      <w:r w:rsidR="00107E3A">
        <w:t>:</w:t>
      </w:r>
    </w:p>
    <w:p w14:paraId="0544AFBB" w14:textId="3E131D38" w:rsidR="00107E3A" w:rsidRPr="00256242" w:rsidRDefault="00D66FF9" w:rsidP="00107E3A">
      <w:pPr>
        <w:pStyle w:val="Akapitzlist"/>
        <w:numPr>
          <w:ilvl w:val="0"/>
          <w:numId w:val="41"/>
        </w:numPr>
        <w:spacing w:after="160" w:line="257" w:lineRule="auto"/>
        <w:rPr>
          <w:rFonts w:eastAsia="Calibri" w:cstheme="minorHAnsi"/>
        </w:rPr>
      </w:pPr>
      <w:r>
        <w:rPr>
          <w:rFonts w:eastAsia="Calibri" w:cstheme="minorHAnsi"/>
        </w:rPr>
        <w:t>A</w:t>
      </w:r>
      <w:r w:rsidR="00090C7F" w:rsidRPr="00090C7F">
        <w:rPr>
          <w:rFonts w:eastAsia="Calibri" w:cstheme="minorHAnsi"/>
        </w:rPr>
        <w:t>naliza danych zastanych</w:t>
      </w:r>
      <w:r w:rsidR="00090C7F">
        <w:rPr>
          <w:rFonts w:eastAsia="Calibri" w:cstheme="minorHAnsi"/>
        </w:rPr>
        <w:t xml:space="preserve"> (</w:t>
      </w:r>
      <w:r w:rsidR="00972379">
        <w:t>a</w:t>
      </w:r>
      <w:r w:rsidR="00EC4EBC">
        <w:t>nalizie poddano dokumenty programowe i strategiczne, d</w:t>
      </w:r>
      <w:r w:rsidR="00EC4EBC" w:rsidRPr="00FB684A">
        <w:t>okumenty dotyczące polityki terytorialnej</w:t>
      </w:r>
      <w:r w:rsidR="00EC4EBC">
        <w:t>, d</w:t>
      </w:r>
      <w:r w:rsidR="00EC4EBC" w:rsidRPr="00045CC2">
        <w:t>okumenty dotyczące systemu instytucjonalnego, procedur i zadań</w:t>
      </w:r>
      <w:r w:rsidR="00256242">
        <w:t xml:space="preserve"> </w:t>
      </w:r>
      <w:r w:rsidR="008B323D">
        <w:t xml:space="preserve">oraz </w:t>
      </w:r>
      <w:r w:rsidR="00256242">
        <w:t>d</w:t>
      </w:r>
      <w:r w:rsidR="00256242" w:rsidRPr="00C317A9">
        <w:t>okumenty określające warunki realizacji wsparcia</w:t>
      </w:r>
      <w:r w:rsidR="00256242">
        <w:t>, d</w:t>
      </w:r>
      <w:r w:rsidR="00256242" w:rsidRPr="00AD2A44">
        <w:t>okumentacj</w:t>
      </w:r>
      <w:r w:rsidR="00256242">
        <w:t>ę</w:t>
      </w:r>
      <w:r w:rsidR="00256242" w:rsidRPr="00AD2A44">
        <w:t xml:space="preserve"> dotycząc</w:t>
      </w:r>
      <w:r w:rsidR="00256242">
        <w:t>ą</w:t>
      </w:r>
      <w:r w:rsidR="00256242" w:rsidRPr="00AD2A44">
        <w:t xml:space="preserve"> naborów</w:t>
      </w:r>
      <w:r w:rsidR="00256242">
        <w:t>, d</w:t>
      </w:r>
      <w:r w:rsidR="00256242" w:rsidRPr="00206A0B">
        <w:t>ane z systemów informatycznych</w:t>
      </w:r>
      <w:r w:rsidR="00256242">
        <w:t xml:space="preserve"> (</w:t>
      </w:r>
      <w:r w:rsidR="00256242" w:rsidRPr="008570E4">
        <w:rPr>
          <w:rFonts w:cstheme="minorHAnsi"/>
        </w:rPr>
        <w:t>SL2014 oraz CST2021</w:t>
      </w:r>
      <w:r w:rsidR="00256242">
        <w:rPr>
          <w:rFonts w:cstheme="minorHAnsi"/>
        </w:rPr>
        <w:t>), wyniki innych badań ewaluacyjnych;</w:t>
      </w:r>
    </w:p>
    <w:p w14:paraId="581F9C72" w14:textId="7E2C03C9" w:rsidR="000445AD" w:rsidRDefault="00C779DA" w:rsidP="001F761E">
      <w:pPr>
        <w:pStyle w:val="Akapitzlist"/>
        <w:numPr>
          <w:ilvl w:val="0"/>
          <w:numId w:val="41"/>
        </w:numPr>
        <w:spacing w:after="160" w:line="257" w:lineRule="auto"/>
      </w:pPr>
      <w:r>
        <w:t>1</w:t>
      </w:r>
      <w:r w:rsidR="00C036F3">
        <w:t>7</w:t>
      </w:r>
      <w:r>
        <w:t xml:space="preserve"> </w:t>
      </w:r>
      <w:r w:rsidR="00D66FF9" w:rsidRPr="00D66FF9">
        <w:t>wywiad</w:t>
      </w:r>
      <w:r w:rsidR="002A6CDC">
        <w:t>ów</w:t>
      </w:r>
      <w:r w:rsidR="00D66FF9" w:rsidRPr="00D66FF9">
        <w:t xml:space="preserve"> pogłębion</w:t>
      </w:r>
      <w:r w:rsidR="002A6CDC">
        <w:t>ych</w:t>
      </w:r>
      <w:r w:rsidR="000445AD">
        <w:t>:</w:t>
      </w:r>
      <w:r w:rsidR="00D66FF9">
        <w:t xml:space="preserve"> </w:t>
      </w:r>
    </w:p>
    <w:p w14:paraId="0BD777FC" w14:textId="28A9A24A" w:rsidR="00A00660" w:rsidRDefault="00395D92" w:rsidP="000445AD">
      <w:pPr>
        <w:pStyle w:val="Akapitzlist"/>
        <w:numPr>
          <w:ilvl w:val="1"/>
          <w:numId w:val="41"/>
        </w:numPr>
        <w:spacing w:after="160" w:line="257" w:lineRule="auto"/>
      </w:pPr>
      <w:r>
        <w:t>10</w:t>
      </w:r>
      <w:r w:rsidR="00A00660">
        <w:t xml:space="preserve"> </w:t>
      </w:r>
      <w:r w:rsidR="00C036F3">
        <w:t>wywiadów</w:t>
      </w:r>
      <w:r w:rsidR="004428F0">
        <w:t xml:space="preserve"> </w:t>
      </w:r>
      <w:r w:rsidR="001A4E6C" w:rsidRPr="001A4E6C">
        <w:t>z przedstawicielami Urzędu Marszałkowskiego Województwa Kujawsko-Pomorskiego oraz Instytucji Pośredniczących (WUP i ZIT BydOF) zaangażowanymi w realizację FEdKP 2021-2027</w:t>
      </w:r>
      <w:r w:rsidR="00EF3DEA">
        <w:t xml:space="preserve">; </w:t>
      </w:r>
    </w:p>
    <w:p w14:paraId="263F03C2" w14:textId="5B33E682" w:rsidR="00C036F3" w:rsidRDefault="00A00660" w:rsidP="000445AD">
      <w:pPr>
        <w:pStyle w:val="Akapitzlist"/>
        <w:numPr>
          <w:ilvl w:val="1"/>
          <w:numId w:val="41"/>
        </w:numPr>
        <w:spacing w:after="160" w:line="257" w:lineRule="auto"/>
      </w:pPr>
      <w:r>
        <w:t>4</w:t>
      </w:r>
      <w:r w:rsidR="00C46CBE">
        <w:t xml:space="preserve"> </w:t>
      </w:r>
      <w:r w:rsidR="00C036F3">
        <w:t>wywiady</w:t>
      </w:r>
      <w:r w:rsidR="00C46CBE">
        <w:t xml:space="preserve"> z</w:t>
      </w:r>
      <w:r w:rsidR="00BE390D">
        <w:t xml:space="preserve"> przedstawicielami </w:t>
      </w:r>
      <w:r w:rsidR="00A877CB" w:rsidRPr="00A877CB">
        <w:t>JST tworzących i/lub będących liderem ZIT/OPPT (innych niż miasto Bydgoszcz</w:t>
      </w:r>
      <w:r w:rsidR="00B43F69">
        <w:t>)</w:t>
      </w:r>
      <w:r w:rsidR="00D84769">
        <w:t xml:space="preserve">; </w:t>
      </w:r>
    </w:p>
    <w:p w14:paraId="6CBDCA28" w14:textId="04009E07" w:rsidR="005E4F13" w:rsidRDefault="00C036F3" w:rsidP="00077CA0">
      <w:pPr>
        <w:pStyle w:val="Akapitzlist"/>
        <w:numPr>
          <w:ilvl w:val="1"/>
          <w:numId w:val="41"/>
        </w:numPr>
        <w:spacing w:after="160" w:line="257" w:lineRule="auto"/>
      </w:pPr>
      <w:r>
        <w:t xml:space="preserve">3 wywiady z </w:t>
      </w:r>
      <w:r w:rsidR="00D84769" w:rsidRPr="00D84769">
        <w:t xml:space="preserve">wnioskodawcami naborów </w:t>
      </w:r>
      <w:r w:rsidR="001A10C3">
        <w:t>w ramach</w:t>
      </w:r>
      <w:r w:rsidR="00DB3AD8">
        <w:t xml:space="preserve"> </w:t>
      </w:r>
      <w:r w:rsidR="00D84769" w:rsidRPr="00D84769">
        <w:t>niekonkurencyjn</w:t>
      </w:r>
      <w:r w:rsidR="00DB3AD8">
        <w:t>ego sposobu wyb</w:t>
      </w:r>
      <w:r w:rsidR="001A10C3">
        <w:t>oru</w:t>
      </w:r>
      <w:r w:rsidR="00D84769">
        <w:t>;</w:t>
      </w:r>
    </w:p>
    <w:p w14:paraId="67AEB04E" w14:textId="77777777" w:rsidR="004E5709" w:rsidRDefault="00CA6D72" w:rsidP="00B80895">
      <w:pPr>
        <w:pStyle w:val="Akapitzlist"/>
        <w:numPr>
          <w:ilvl w:val="0"/>
          <w:numId w:val="41"/>
        </w:numPr>
        <w:spacing w:after="160" w:line="257" w:lineRule="auto"/>
      </w:pPr>
      <w:r w:rsidRPr="00CA6D72">
        <w:t>Badani</w:t>
      </w:r>
      <w:r w:rsidR="00B80895">
        <w:t>a</w:t>
      </w:r>
      <w:r w:rsidRPr="00CA6D72">
        <w:t xml:space="preserve"> ilościowe CAWI/CATI</w:t>
      </w:r>
      <w:r w:rsidR="00B80895">
        <w:t xml:space="preserve"> z: </w:t>
      </w:r>
    </w:p>
    <w:p w14:paraId="1FB53B5B" w14:textId="1FF7EE65" w:rsidR="004E5709" w:rsidRDefault="00B80895" w:rsidP="004E5709">
      <w:pPr>
        <w:pStyle w:val="Akapitzlist"/>
        <w:numPr>
          <w:ilvl w:val="1"/>
          <w:numId w:val="41"/>
        </w:numPr>
        <w:spacing w:after="160" w:line="257" w:lineRule="auto"/>
      </w:pPr>
      <w:r>
        <w:t>potencjalnymi wnioskodawcami, którzy skorzystali ze wsparcia w ramach RPO WK-P 2014-2020, i którzy mogliby być zainteresowani wsparciem w ramach FEdKP 2021-2027, ale w momencie realizacji badania nie aplikowali</w:t>
      </w:r>
      <w:r w:rsidR="004E2C24">
        <w:t xml:space="preserve"> (208</w:t>
      </w:r>
      <w:r w:rsidR="00705DA7">
        <w:t xml:space="preserve"> zrealizowanych ankiet</w:t>
      </w:r>
      <w:r w:rsidR="00D90E4E">
        <w:rPr>
          <w:rStyle w:val="Odwoanieprzypisudolnego"/>
        </w:rPr>
        <w:footnoteReference w:id="2"/>
      </w:r>
      <w:r w:rsidR="00705DA7">
        <w:t>)</w:t>
      </w:r>
      <w:r>
        <w:t xml:space="preserve">; </w:t>
      </w:r>
    </w:p>
    <w:p w14:paraId="76314186" w14:textId="0BE47DD8" w:rsidR="00D84769" w:rsidRDefault="00B80895" w:rsidP="00077CA0">
      <w:pPr>
        <w:pStyle w:val="Akapitzlist"/>
        <w:numPr>
          <w:ilvl w:val="1"/>
          <w:numId w:val="41"/>
        </w:numPr>
        <w:spacing w:after="160" w:line="257" w:lineRule="auto"/>
      </w:pPr>
      <w:r>
        <w:t>wnioskodawcami FEdKP 2021-2027 z naborów, które zakwalifikowano do badania jako charakteryzujące się niskim zainteresowaniem</w:t>
      </w:r>
      <w:r w:rsidR="00FC5280">
        <w:t xml:space="preserve"> (104 zrealizowane ankiety</w:t>
      </w:r>
      <w:r w:rsidR="00D90E4E">
        <w:rPr>
          <w:rStyle w:val="Odwoanieprzypisudolnego"/>
        </w:rPr>
        <w:footnoteReference w:id="3"/>
      </w:r>
      <w:r w:rsidR="00FC5280">
        <w:t>)</w:t>
      </w:r>
      <w:r>
        <w:t>;</w:t>
      </w:r>
    </w:p>
    <w:p w14:paraId="7AC4B2A6" w14:textId="19F7C75F" w:rsidR="00B80895" w:rsidRPr="00256242" w:rsidRDefault="00C036F3" w:rsidP="00B80895">
      <w:pPr>
        <w:pStyle w:val="Akapitzlist"/>
        <w:numPr>
          <w:ilvl w:val="0"/>
          <w:numId w:val="41"/>
        </w:numPr>
        <w:spacing w:after="160" w:line="257" w:lineRule="auto"/>
      </w:pPr>
      <w:r>
        <w:t>4 w</w:t>
      </w:r>
      <w:r w:rsidR="00B80895">
        <w:t xml:space="preserve">ywiady grupowe z </w:t>
      </w:r>
      <w:r w:rsidR="00EE072F" w:rsidRPr="00EE072F">
        <w:t>wnioskodawc</w:t>
      </w:r>
      <w:r w:rsidR="00EE072F">
        <w:t>ami</w:t>
      </w:r>
      <w:r w:rsidR="00EE072F" w:rsidRPr="00EE072F">
        <w:t xml:space="preserve"> i potencjaln</w:t>
      </w:r>
      <w:r w:rsidR="00EE072F">
        <w:t>ym</w:t>
      </w:r>
      <w:r w:rsidR="00EE072F" w:rsidRPr="00EE072F">
        <w:t>i wnioskodawc</w:t>
      </w:r>
      <w:r w:rsidR="00EE072F">
        <w:t>ami FEdKP 2021-2027.</w:t>
      </w:r>
    </w:p>
    <w:p w14:paraId="7F9C8ED4" w14:textId="4B23C758" w:rsidR="00474B42" w:rsidRPr="005B59F6" w:rsidRDefault="005B59F6" w:rsidP="00077CA0">
      <w:pPr>
        <w:keepNext/>
        <w:rPr>
          <w:rFonts w:cstheme="minorHAnsi"/>
          <w:b/>
          <w:bCs/>
          <w:color w:val="640B68" w:themeColor="accent3" w:themeShade="BF"/>
        </w:rPr>
      </w:pPr>
      <w:r w:rsidRPr="005B59F6">
        <w:rPr>
          <w:b/>
          <w:bCs/>
          <w:color w:val="640B68" w:themeColor="accent3" w:themeShade="BF"/>
        </w:rPr>
        <w:lastRenderedPageBreak/>
        <w:t>PRZYCZYNY WPŁYWAJĄCE NA NISKĄ SKUTECZNOŚĆ APLIKOWANIA O WSPARCIE</w:t>
      </w:r>
    </w:p>
    <w:p w14:paraId="40F41396" w14:textId="52E7E625" w:rsidR="004C7E06" w:rsidRPr="003570E7" w:rsidRDefault="004C7E06" w:rsidP="001F761E">
      <w:r w:rsidRPr="003570E7">
        <w:rPr>
          <w:rFonts w:cstheme="minorHAnsi"/>
          <w:color w:val="640B68" w:themeColor="accent3" w:themeShade="BF"/>
        </w:rPr>
        <w:t>Charakterystyka naborów, które cechowały się niską skutecznością aplikowania</w:t>
      </w:r>
    </w:p>
    <w:p w14:paraId="7323068A" w14:textId="794E9C62" w:rsidR="002F5B24" w:rsidRDefault="00D56EA3" w:rsidP="00391FEE">
      <w:pPr>
        <w:spacing w:before="0"/>
      </w:pPr>
      <w:r>
        <w:t>Przedmiotowym b</w:t>
      </w:r>
      <w:r w:rsidR="002D36D9">
        <w:t>adaniem o</w:t>
      </w:r>
      <w:r w:rsidR="00EC23A4">
        <w:t>bjęt</w:t>
      </w:r>
      <w:r w:rsidR="0030729F">
        <w:t>o</w:t>
      </w:r>
      <w:r w:rsidR="00EC23A4">
        <w:t xml:space="preserve"> 47 naborów. </w:t>
      </w:r>
      <w:r w:rsidR="00E658B7" w:rsidRPr="00E658B7">
        <w:t xml:space="preserve">W analizie uwzględniono </w:t>
      </w:r>
      <w:r w:rsidR="000167FF">
        <w:t>tylko</w:t>
      </w:r>
      <w:r w:rsidR="00E658B7" w:rsidRPr="00E658B7">
        <w:t xml:space="preserve"> te</w:t>
      </w:r>
      <w:r w:rsidR="000167FF">
        <w:t xml:space="preserve"> nabory</w:t>
      </w:r>
      <w:r w:rsidR="00E658B7" w:rsidRPr="00E658B7">
        <w:t xml:space="preserve">, w których wartość złożonych wniosków nie przekroczyła 50% dostępnej alokacji lub nie złożono żadnego wniosku, w tym nabory unieważnione. Zidentyfikowana grupa obejmowała zarówno postępowania </w:t>
      </w:r>
      <w:r w:rsidR="00146F15">
        <w:t xml:space="preserve">z </w:t>
      </w:r>
      <w:r w:rsidR="00E658B7" w:rsidRPr="00E658B7">
        <w:t>konkurencyjn</w:t>
      </w:r>
      <w:r w:rsidR="00146F15">
        <w:t>ym</w:t>
      </w:r>
      <w:r w:rsidR="009A4B77">
        <w:t xml:space="preserve"> (41 naborów)</w:t>
      </w:r>
      <w:r w:rsidR="00E658B7" w:rsidRPr="00E658B7">
        <w:t>, jak i niekonkurencyjn</w:t>
      </w:r>
      <w:r w:rsidR="00146F15">
        <w:t xml:space="preserve">ym </w:t>
      </w:r>
      <w:r w:rsidR="009A4B77">
        <w:t>(6 naborów)</w:t>
      </w:r>
      <w:r w:rsidR="00146F15">
        <w:t xml:space="preserve"> sposobem wyboru projektów</w:t>
      </w:r>
      <w:r w:rsidR="00AC72FC">
        <w:t xml:space="preserve">. </w:t>
      </w:r>
    </w:p>
    <w:p w14:paraId="58136720" w14:textId="1D72B442" w:rsidR="00E658B7" w:rsidRPr="00E658B7" w:rsidRDefault="00AC72FC" w:rsidP="00391FEE">
      <w:pPr>
        <w:spacing w:before="0"/>
      </w:pPr>
      <w:r>
        <w:t>Z</w:t>
      </w:r>
      <w:r w:rsidR="00E658B7" w:rsidRPr="00E658B7">
        <w:t>decydowaną większość stanowiły nabory finansowane z E</w:t>
      </w:r>
      <w:r w:rsidR="0015282C">
        <w:t>FRR</w:t>
      </w:r>
      <w:r w:rsidR="00127427">
        <w:t xml:space="preserve"> (42 nabory)</w:t>
      </w:r>
      <w:r w:rsidR="00E658B7" w:rsidRPr="00E658B7">
        <w:t xml:space="preserve">. W ich przypadku dominowały przedsięwzięcia o charakterze infrastrukturalnym i środowiskowym, wymagające wysokiego poziomu przygotowania merytorycznego i formalnego oraz znacznych nakładów inwestycyjnych. </w:t>
      </w:r>
      <w:r w:rsidR="002F319B">
        <w:t>Nabory</w:t>
      </w:r>
      <w:r w:rsidR="00E658B7" w:rsidRPr="00E658B7">
        <w:t xml:space="preserve"> EFS+ dotyczył</w:t>
      </w:r>
      <w:r w:rsidR="002F319B">
        <w:t>y</w:t>
      </w:r>
      <w:r w:rsidR="00E658B7" w:rsidRPr="00E658B7">
        <w:t xml:space="preserve"> głównie działań z zakresu edukacji i włączenia społecznego. Ponad połowa analizowanych naborów </w:t>
      </w:r>
      <w:r w:rsidR="0045173C">
        <w:t>(27)</w:t>
      </w:r>
      <w:r w:rsidR="00E658B7" w:rsidRPr="00E658B7">
        <w:t xml:space="preserve"> była realizowana w ramach polityki terytorialnej</w:t>
      </w:r>
      <w:r w:rsidR="008B496B">
        <w:t xml:space="preserve"> –</w:t>
      </w:r>
      <w:r w:rsidR="00E658B7" w:rsidRPr="00E658B7">
        <w:t xml:space="preserve"> </w:t>
      </w:r>
      <w:r w:rsidR="008B496B">
        <w:t>w tym</w:t>
      </w:r>
      <w:r w:rsidR="00E658B7" w:rsidRPr="00E658B7">
        <w:t xml:space="preserve"> w ramach Zintegrowanych Inwestycji Terytorialnych, Obszarów </w:t>
      </w:r>
      <w:r w:rsidR="006E2B84">
        <w:t xml:space="preserve">Prowadzenia Polityki Terytorialnej </w:t>
      </w:r>
      <w:r w:rsidR="00E658B7" w:rsidRPr="00E658B7">
        <w:t xml:space="preserve">Partnerstwa Publiczno-Terytorialnego i Bydgoskiego Obszaru Funkcjonalnego, wszystkie w </w:t>
      </w:r>
      <w:r w:rsidR="005C0FB6">
        <w:t>ramach</w:t>
      </w:r>
      <w:r w:rsidR="005C0FB6" w:rsidRPr="00E658B7">
        <w:t xml:space="preserve"> konkurencyjn</w:t>
      </w:r>
      <w:r w:rsidR="005C0FB6">
        <w:t>ego sposobu wyboru</w:t>
      </w:r>
      <w:r w:rsidR="00E658B7" w:rsidRPr="00E658B7">
        <w:t>.</w:t>
      </w:r>
    </w:p>
    <w:p w14:paraId="7B680AFE" w14:textId="194340E7" w:rsidR="00E658B7" w:rsidRPr="00E658B7" w:rsidRDefault="007621F1" w:rsidP="00E658B7">
      <w:r>
        <w:t>Wnioskodawcami</w:t>
      </w:r>
      <w:r w:rsidR="00E658B7" w:rsidRPr="00E658B7">
        <w:t xml:space="preserve"> </w:t>
      </w:r>
      <w:r w:rsidR="00A772C9" w:rsidRPr="00E658B7">
        <w:t>by</w:t>
      </w:r>
      <w:r w:rsidR="00A772C9">
        <w:t>ły</w:t>
      </w:r>
      <w:r w:rsidR="00A772C9" w:rsidRPr="00E658B7">
        <w:t xml:space="preserve"> </w:t>
      </w:r>
      <w:r w:rsidR="00E658B7" w:rsidRPr="00E658B7">
        <w:t>przede wszystkim jednost</w:t>
      </w:r>
      <w:r w:rsidR="00A772C9">
        <w:t xml:space="preserve">ki </w:t>
      </w:r>
      <w:r w:rsidR="00E658B7" w:rsidRPr="00E658B7">
        <w:t xml:space="preserve">samorządu terytorialnego, ale także podmioty świadczące usługi </w:t>
      </w:r>
      <w:r w:rsidR="00833DDC">
        <w:t>publiczne</w:t>
      </w:r>
      <w:r w:rsidR="00E658B7" w:rsidRPr="00E658B7">
        <w:t>, przedsiębiorstwa, organizacje pozarządowe, spółdzielnie mieszkaniowe</w:t>
      </w:r>
      <w:r w:rsidR="00A16071">
        <w:t xml:space="preserve"> i TBS</w:t>
      </w:r>
      <w:r w:rsidR="00E658B7" w:rsidRPr="00E658B7">
        <w:t>, kościoły i związki wyznaniowe, instytucje kultury oraz podmioty edukacyjne</w:t>
      </w:r>
      <w:r w:rsidR="000F5293">
        <w:t xml:space="preserve"> </w:t>
      </w:r>
      <w:r w:rsidR="000F5293" w:rsidRPr="000F5293">
        <w:t>czy podmioty ekonomii społecznej</w:t>
      </w:r>
      <w:r w:rsidR="00E658B7" w:rsidRPr="00E658B7">
        <w:t xml:space="preserve">. Nabory </w:t>
      </w:r>
      <w:r w:rsidR="00AF175C">
        <w:t xml:space="preserve">z </w:t>
      </w:r>
      <w:r w:rsidR="00E658B7" w:rsidRPr="00E658B7">
        <w:t>niekonkurencyjn</w:t>
      </w:r>
      <w:r w:rsidR="00AF175C">
        <w:t>ym sposobem wyboru</w:t>
      </w:r>
      <w:r w:rsidR="00E658B7" w:rsidRPr="00E658B7">
        <w:t xml:space="preserve"> kierowano natomiast do ściśle określonych instytucji, takich jak Samorząd Województwa czy </w:t>
      </w:r>
      <w:r w:rsidR="00770716">
        <w:t>jednostki organizacyjne województwa kujawsko-pomorskiego.</w:t>
      </w:r>
    </w:p>
    <w:p w14:paraId="49C71AE4" w14:textId="0837F202" w:rsidR="00B044AF" w:rsidRDefault="00604DFC" w:rsidP="00B044AF">
      <w:r>
        <w:t>N</w:t>
      </w:r>
      <w:r w:rsidR="00B044AF" w:rsidRPr="00E658B7">
        <w:t>abor</w:t>
      </w:r>
      <w:r>
        <w:t>y</w:t>
      </w:r>
      <w:r w:rsidR="00B044AF" w:rsidRPr="00E658B7">
        <w:t xml:space="preserve"> o niski</w:t>
      </w:r>
      <w:r w:rsidR="00347B25">
        <w:t>ej</w:t>
      </w:r>
      <w:r w:rsidR="00B044AF" w:rsidRPr="00E658B7">
        <w:t xml:space="preserve"> </w:t>
      </w:r>
      <w:r w:rsidR="00347B25">
        <w:t>skuteczności dotyczyły w sumie 17 różnych obszarów wsparcia</w:t>
      </w:r>
      <w:r w:rsidR="00331472">
        <w:t xml:space="preserve">, w tym </w:t>
      </w:r>
      <w:r w:rsidR="0073365B">
        <w:t>np.</w:t>
      </w:r>
      <w:r w:rsidR="00331472">
        <w:t xml:space="preserve"> </w:t>
      </w:r>
      <w:r w:rsidR="00876E76">
        <w:t xml:space="preserve">obszaru </w:t>
      </w:r>
      <w:r w:rsidR="00B044AF" w:rsidRPr="00E658B7">
        <w:t>adaptacji do zmian klimatu</w:t>
      </w:r>
      <w:r w:rsidR="00876E76">
        <w:t xml:space="preserve"> (</w:t>
      </w:r>
      <w:r w:rsidR="0073365B">
        <w:t>9 naborów)</w:t>
      </w:r>
      <w:r w:rsidR="00B044AF" w:rsidRPr="00E658B7">
        <w:t xml:space="preserve">, mobilności miejskiej </w:t>
      </w:r>
      <w:r w:rsidR="0073365B">
        <w:t xml:space="preserve">(7), </w:t>
      </w:r>
      <w:r w:rsidR="00B044AF" w:rsidRPr="00E658B7">
        <w:t>efektywności energetycznej</w:t>
      </w:r>
      <w:r w:rsidR="0073365B">
        <w:t xml:space="preserve"> (6)</w:t>
      </w:r>
      <w:r w:rsidR="00B044AF" w:rsidRPr="00E658B7">
        <w:t>, infrastruktur</w:t>
      </w:r>
      <w:r w:rsidR="00EC0224">
        <w:t>y</w:t>
      </w:r>
      <w:r w:rsidR="00B044AF" w:rsidRPr="00E658B7">
        <w:t xml:space="preserve"> edukacyjn</w:t>
      </w:r>
      <w:r w:rsidR="00EC0224">
        <w:t xml:space="preserve">ej, </w:t>
      </w:r>
      <w:r w:rsidR="00B044AF" w:rsidRPr="00E658B7">
        <w:t>turystyk</w:t>
      </w:r>
      <w:r w:rsidR="00EC0224">
        <w:t>i</w:t>
      </w:r>
      <w:r w:rsidR="00B044AF" w:rsidRPr="00E658B7">
        <w:t>, wsparci</w:t>
      </w:r>
      <w:r w:rsidR="00EC0224">
        <w:t>a</w:t>
      </w:r>
      <w:r w:rsidR="00B044AF" w:rsidRPr="00E658B7">
        <w:t xml:space="preserve"> MŚP, </w:t>
      </w:r>
      <w:r w:rsidR="00AA01AA">
        <w:t>edukacji (po 3 nabory)</w:t>
      </w:r>
      <w:r w:rsidR="00B044AF" w:rsidRPr="00E658B7">
        <w:t>.</w:t>
      </w:r>
      <w:r w:rsidR="00B044AF">
        <w:t xml:space="preserve"> </w:t>
      </w:r>
    </w:p>
    <w:p w14:paraId="7D99F33F" w14:textId="64BB6DE9" w:rsidR="00D2115E" w:rsidRDefault="00E658B7" w:rsidP="001F761E">
      <w:r w:rsidRPr="00E658B7">
        <w:t xml:space="preserve">Zakres wspieranych projektów obejmował zarówno inwestycje infrastrukturalne, w tym </w:t>
      </w:r>
      <w:r w:rsidR="004852C6">
        <w:t>np.:</w:t>
      </w:r>
      <w:r w:rsidRPr="00E658B7">
        <w:t xml:space="preserve"> modernizacje </w:t>
      </w:r>
      <w:r w:rsidR="00747F1A">
        <w:t>systemów ciepłowniczych</w:t>
      </w:r>
      <w:r w:rsidRPr="00E658B7">
        <w:t>, rozwój systemów transportu publicznego, rozbudowę infrastruktury rowerowej</w:t>
      </w:r>
      <w:r w:rsidR="004852C6">
        <w:t>,</w:t>
      </w:r>
      <w:r w:rsidRPr="00E658B7">
        <w:t xml:space="preserve"> działania w zakresie </w:t>
      </w:r>
      <w:r w:rsidR="008034D9">
        <w:t xml:space="preserve">rozwoju </w:t>
      </w:r>
      <w:r w:rsidR="00E732AF">
        <w:t xml:space="preserve">małej </w:t>
      </w:r>
      <w:r w:rsidRPr="00E658B7">
        <w:t xml:space="preserve">retencji wodnej, </w:t>
      </w:r>
      <w:r w:rsidR="007D22A4">
        <w:t xml:space="preserve">działania z zakresu poprawy dostępności szkół, w tym inwestycje w przyszkolną bazę sportową, infrastrukturę na potrzeby prowadzenia mieszkań treningowych lub wspomaganych, </w:t>
      </w:r>
      <w:r w:rsidRPr="00E658B7">
        <w:t xml:space="preserve">jak i przedsięwzięcia </w:t>
      </w:r>
      <w:r w:rsidR="00F756AF">
        <w:t>miękkie</w:t>
      </w:r>
      <w:r w:rsidRPr="00E658B7">
        <w:t xml:space="preserve">, </w:t>
      </w:r>
      <w:r w:rsidR="009A2E2C">
        <w:t>w tym</w:t>
      </w:r>
      <w:r w:rsidR="00F756AF">
        <w:t xml:space="preserve"> np.</w:t>
      </w:r>
      <w:r w:rsidRPr="00E658B7">
        <w:t xml:space="preserve"> tworzenie miejsc przedszkolnych, rozwój usług społecznych czy integracj</w:t>
      </w:r>
      <w:r w:rsidR="009A2E2C">
        <w:t>a</w:t>
      </w:r>
      <w:r w:rsidRPr="00E658B7">
        <w:t xml:space="preserve"> cudzoziemców. </w:t>
      </w:r>
    </w:p>
    <w:p w14:paraId="764B57C8" w14:textId="30466BFA" w:rsidR="004C7E06" w:rsidRDefault="00E658B7" w:rsidP="001F761E">
      <w:r w:rsidRPr="00E658B7">
        <w:t>Warunki finansowe zakładały najczęściej dofinansowanie na poziomie 85%, rzadziej 95%</w:t>
      </w:r>
      <w:r w:rsidR="00AA50A2">
        <w:t xml:space="preserve">, a w pojedynczych przypadkach </w:t>
      </w:r>
      <w:r w:rsidR="009F3922">
        <w:t>przewidziano dofinansowanie na poziomie</w:t>
      </w:r>
      <w:r w:rsidR="00AA50A2">
        <w:t xml:space="preserve"> 90%, 65</w:t>
      </w:r>
      <w:r w:rsidRPr="00E658B7">
        <w:t xml:space="preserve">% lub </w:t>
      </w:r>
      <w:r w:rsidR="00AA50A2">
        <w:t>50%</w:t>
      </w:r>
      <w:r w:rsidR="008D56F8">
        <w:t>.</w:t>
      </w:r>
      <w:r w:rsidR="00837FB1">
        <w:t xml:space="preserve"> </w:t>
      </w:r>
      <w:r w:rsidRPr="00E658B7">
        <w:t xml:space="preserve">Minimalne i maksymalne wartości projektów były wskazywane </w:t>
      </w:r>
      <w:r w:rsidRPr="00E658B7">
        <w:lastRenderedPageBreak/>
        <w:t>sporadycznie, a ich wysokość znacząco różniła się w zależności od funduszu i obszaru wsparcia.</w:t>
      </w:r>
    </w:p>
    <w:p w14:paraId="3BDCD5F3" w14:textId="6826EFA8" w:rsidR="004C7E06" w:rsidRPr="003570E7" w:rsidRDefault="004C7E06" w:rsidP="001F761E">
      <w:pPr>
        <w:rPr>
          <w:color w:val="640B68" w:themeColor="accent3" w:themeShade="BF"/>
        </w:rPr>
      </w:pPr>
      <w:r w:rsidRPr="003570E7">
        <w:rPr>
          <w:color w:val="640B68" w:themeColor="accent3" w:themeShade="BF"/>
        </w:rPr>
        <w:t>Adekwatność procedur naborów względem celów Programu i zasad horyzontalnych</w:t>
      </w:r>
    </w:p>
    <w:p w14:paraId="4A411EFD" w14:textId="55E5EA7A" w:rsidR="00EF5650" w:rsidRDefault="00EF5650" w:rsidP="00EF5650">
      <w:r w:rsidRPr="00F900E4">
        <w:t>Procedury naborów FEdKP 2021</w:t>
      </w:r>
      <w:r w:rsidR="0085694C">
        <w:t>-</w:t>
      </w:r>
      <w:r w:rsidRPr="00F900E4">
        <w:t xml:space="preserve">2027 są silnie powiązane z celami Programu i </w:t>
      </w:r>
      <w:r>
        <w:t xml:space="preserve">zostały </w:t>
      </w:r>
      <w:r w:rsidRPr="00F900E4">
        <w:t xml:space="preserve">opracowane w oparciu o przepisy krajowe i unijne, co gwarantuje ich zgodność formalno-prawną. Regulaminy wyboru projektów jasno określają m.in. typy projektów, grupy docelowe, typy wnioskodawców, </w:t>
      </w:r>
      <w:r>
        <w:t>sposób</w:t>
      </w:r>
      <w:r w:rsidRPr="00F900E4">
        <w:t xml:space="preserve"> wyboru oraz maksymalny okres realizacji – wszystkie te elementy wynikają bezpośrednio z zapisów</w:t>
      </w:r>
      <w:r>
        <w:t xml:space="preserve"> SZO</w:t>
      </w:r>
      <w:r w:rsidRPr="00F900E4">
        <w:t xml:space="preserve">P. Kryteria </w:t>
      </w:r>
      <w:r>
        <w:t>wyboru projektów</w:t>
      </w:r>
      <w:r w:rsidRPr="00F900E4">
        <w:t xml:space="preserve"> są zaprojektowane tak, aby wybierać projekty najlepiej realizujące założone </w:t>
      </w:r>
      <w:r>
        <w:t>cele i efekty</w:t>
      </w:r>
      <w:r w:rsidRPr="00F900E4">
        <w:t xml:space="preserve">. </w:t>
      </w:r>
      <w:r>
        <w:t>Przeprowadzone badania i analizy</w:t>
      </w:r>
      <w:r w:rsidRPr="00F900E4">
        <w:t xml:space="preserve"> potwierdziły brak rozbieżności między procedurami a celami Programu –</w:t>
      </w:r>
      <w:r>
        <w:t xml:space="preserve"> </w:t>
      </w:r>
      <w:r w:rsidRPr="00F900E4">
        <w:t>procedury skutecznie przekładają strategiczne cele Programu na wymogi operacyjne, zapewniając ich realizację na poziomie projektów.</w:t>
      </w:r>
    </w:p>
    <w:p w14:paraId="3F4EA554" w14:textId="5BA37452" w:rsidR="00EF5650" w:rsidRDefault="00EF5650" w:rsidP="00EF5650">
      <w:r w:rsidRPr="00F9582D">
        <w:t>Procedury naborów w FEdKP 2021</w:t>
      </w:r>
      <w:r w:rsidR="0085694C">
        <w:t>-</w:t>
      </w:r>
      <w:r w:rsidRPr="00F9582D">
        <w:t>2027 w sposób systemowy</w:t>
      </w:r>
      <w:r w:rsidRPr="00BC0F52">
        <w:t xml:space="preserve"> </w:t>
      </w:r>
      <w:r w:rsidRPr="00F9582D">
        <w:t>uwzględniają</w:t>
      </w:r>
      <w:r>
        <w:t xml:space="preserve"> również</w:t>
      </w:r>
      <w:r w:rsidRPr="00F9582D">
        <w:t xml:space="preserve"> zasady horyzontalne UE, takie jak</w:t>
      </w:r>
      <w:r>
        <w:t>:</w:t>
      </w:r>
      <w:r w:rsidRPr="00F9582D">
        <w:t xml:space="preserve"> </w:t>
      </w:r>
      <w:r>
        <w:rPr>
          <w:rFonts w:cstheme="minorHAnsi"/>
        </w:rPr>
        <w:t>z</w:t>
      </w:r>
      <w:r w:rsidRPr="00ED24C2">
        <w:rPr>
          <w:rFonts w:cstheme="minorHAnsi"/>
        </w:rPr>
        <w:t>asada równości kobiet i mężczyzn; zasada równości szans i niedyskryminacji, w tym dostępności dla osób z niepełnosprawnościami; zasada zrównoważonego rozwoju; zasada „nie czyń poważnych szkód” (ang.: DNSH)</w:t>
      </w:r>
      <w:r w:rsidRPr="00F9582D">
        <w:t>. Kryteria wyboru projektów zawierają bezpośrednie odwołania do tych zasad – zarówno w warstwie formalnej (np. wymagania dot</w:t>
      </w:r>
      <w:r>
        <w:t>yczące</w:t>
      </w:r>
      <w:r w:rsidRPr="00F9582D">
        <w:t xml:space="preserve"> zgodności z prawem ochrony środowiska), jak i merytorycznej (preferencje dla projektów włączających grupy defaworyzowane lub generujących pozytywny wpływ środowiskowy). W</w:t>
      </w:r>
      <w:r>
        <w:t xml:space="preserve">e wnioskach </w:t>
      </w:r>
      <w:r w:rsidRPr="00F9582D">
        <w:t xml:space="preserve">przewidziano obowiązek przedstawiania dowodów na spełnianie wymogów dostępności i równości szans, a także oceny wpływu projektów na środowisko. </w:t>
      </w:r>
      <w:r>
        <w:t>Zgodności procedur z zasadami horyzontalnymi sprzyja także jednolite podejście – w zakresie interpretowania i stosowania zapisów wytycznych i innych dokumentów – pracowników wszystkich instytucji (IZ</w:t>
      </w:r>
      <w:r w:rsidR="00D478C7">
        <w:t xml:space="preserve"> i</w:t>
      </w:r>
      <w:r>
        <w:t xml:space="preserve"> IP FEdKP 2021-2027) zaangażowanych we wdrażanie Programu, w tym w przygotowywanie dokumentacji naborowych oraz ocenę wniosków. </w:t>
      </w:r>
    </w:p>
    <w:p w14:paraId="3AC2D816" w14:textId="7FAAA5A2" w:rsidR="004C7E06" w:rsidRPr="003570E7" w:rsidRDefault="004D1F6E" w:rsidP="001F761E">
      <w:pPr>
        <w:rPr>
          <w:color w:val="640B68" w:themeColor="accent3" w:themeShade="BF"/>
        </w:rPr>
      </w:pPr>
      <w:r w:rsidRPr="003570E7">
        <w:rPr>
          <w:color w:val="640B68" w:themeColor="accent3" w:themeShade="BF"/>
        </w:rPr>
        <w:t>Wpływ specyfiki polityki terytorialnej na skuteczność naborów</w:t>
      </w:r>
    </w:p>
    <w:p w14:paraId="7D51232C" w14:textId="2398D4ED" w:rsidR="00E00844" w:rsidRDefault="00E00844" w:rsidP="00E00844">
      <w:r>
        <w:t>P</w:t>
      </w:r>
      <w:r w:rsidRPr="004038E1">
        <w:t>onad połowa z naborów objętych badaniem (27 z 47) była realizowana w ramach instrumentu terytorialnego</w:t>
      </w:r>
      <w:r>
        <w:t xml:space="preserve">, co mogło oznaczać, że </w:t>
      </w:r>
      <w:r w:rsidR="00C30648">
        <w:t>pewne</w:t>
      </w:r>
      <w:r w:rsidR="00087525">
        <w:t xml:space="preserve"> </w:t>
      </w:r>
      <w:r>
        <w:t>uwarunkowania</w:t>
      </w:r>
      <w:r w:rsidR="008C19EF">
        <w:t xml:space="preserve"> dotyczące zasad wdrażania</w:t>
      </w:r>
      <w:r>
        <w:t xml:space="preserve"> polityki terytorialnej wpływały na ich ograniczoną skuteczność. </w:t>
      </w:r>
    </w:p>
    <w:p w14:paraId="2CBF3D5B" w14:textId="64A5A421" w:rsidR="00E00844" w:rsidRDefault="00605069" w:rsidP="00E00844">
      <w:r>
        <w:t>Przeprowadzone a</w:t>
      </w:r>
      <w:r w:rsidR="00E00844">
        <w:t xml:space="preserve">nalizy wykazały, </w:t>
      </w:r>
      <w:r>
        <w:t>że</w:t>
      </w:r>
      <w:r w:rsidR="00E00844">
        <w:t xml:space="preserve"> </w:t>
      </w:r>
      <w:r w:rsidR="005F30B2">
        <w:t xml:space="preserve">brak składania WoD w części naborów </w:t>
      </w:r>
      <w:r w:rsidR="00E00844">
        <w:t xml:space="preserve">mógł </w:t>
      </w:r>
      <w:r w:rsidR="00B76824">
        <w:t>wynikać z</w:t>
      </w:r>
      <w:r w:rsidR="00E00844">
        <w:t xml:space="preserve"> przyjęt</w:t>
      </w:r>
      <w:r w:rsidR="00B76824">
        <w:t>ego sposobu</w:t>
      </w:r>
      <w:r w:rsidR="00E00844">
        <w:t xml:space="preserve"> podział</w:t>
      </w:r>
      <w:r w:rsidR="00B76824">
        <w:t>u</w:t>
      </w:r>
      <w:r w:rsidR="00E00844">
        <w:t xml:space="preserve"> środków</w:t>
      </w:r>
      <w:r w:rsidR="00B76824">
        <w:t xml:space="preserve"> (alokacji) na poszczególne obszary wsparcia</w:t>
      </w:r>
      <w:r w:rsidR="00E00844">
        <w:t xml:space="preserve"> między członków partnerstw – stwierdzono</w:t>
      </w:r>
      <w:r w:rsidR="00815CF3">
        <w:t xml:space="preserve"> bowiem</w:t>
      </w:r>
      <w:r w:rsidR="00E00844">
        <w:t xml:space="preserve">, że w wyniku ustaleń i uzgodnień zdarzały się sytuacje, kiedy </w:t>
      </w:r>
      <w:r w:rsidR="00B76824">
        <w:t xml:space="preserve">to </w:t>
      </w:r>
      <w:r w:rsidR="00521F0A">
        <w:t>jakieś</w:t>
      </w:r>
      <w:r w:rsidR="00B76824">
        <w:t xml:space="preserve"> </w:t>
      </w:r>
      <w:r w:rsidR="00E00844">
        <w:t xml:space="preserve">JST </w:t>
      </w:r>
      <w:r w:rsidR="00521F0A">
        <w:t xml:space="preserve">miały przydzielone </w:t>
      </w:r>
      <w:r w:rsidR="00E00844">
        <w:t>środki na realizację projektów</w:t>
      </w:r>
      <w:r w:rsidR="00752D8A">
        <w:t xml:space="preserve"> również</w:t>
      </w:r>
      <w:r w:rsidR="00E00844">
        <w:t xml:space="preserve"> </w:t>
      </w:r>
      <w:r w:rsidR="00C57931">
        <w:t xml:space="preserve">w obszarach, które nie pokrywały się w pełni z </w:t>
      </w:r>
      <w:r w:rsidR="004A0972">
        <w:t xml:space="preserve">ich </w:t>
      </w:r>
      <w:r w:rsidR="001D208A">
        <w:t xml:space="preserve">najbardziej istotnymi potrzebami </w:t>
      </w:r>
      <w:r w:rsidR="0012314A">
        <w:t xml:space="preserve">(przygotowanie </w:t>
      </w:r>
      <w:r w:rsidR="00E24D9E">
        <w:t>wniosków</w:t>
      </w:r>
      <w:r w:rsidR="0012314A">
        <w:t xml:space="preserve"> dla takich projektów nie było </w:t>
      </w:r>
      <w:r w:rsidR="006B7E31">
        <w:t xml:space="preserve">zatem </w:t>
      </w:r>
      <w:r w:rsidR="0012314A">
        <w:t xml:space="preserve">priorytetem </w:t>
      </w:r>
      <w:r w:rsidR="004A0972">
        <w:t xml:space="preserve">dla tych JST </w:t>
      </w:r>
      <w:r w:rsidR="00E24D9E">
        <w:t>na początku perspektywy finansowej)</w:t>
      </w:r>
      <w:r w:rsidR="00E00844">
        <w:t xml:space="preserve">. Sytuacje takie mogły być korygowane </w:t>
      </w:r>
      <w:r w:rsidR="00894C68">
        <w:t>przez partnerstwa</w:t>
      </w:r>
      <w:r w:rsidR="00E00844">
        <w:t xml:space="preserve"> </w:t>
      </w:r>
      <w:r w:rsidR="00845DB3">
        <w:t xml:space="preserve">po zawarciu porozumień </w:t>
      </w:r>
      <w:r w:rsidR="00845DB3">
        <w:lastRenderedPageBreak/>
        <w:t>terytorialnych/ zatwierdzeniu strategii</w:t>
      </w:r>
      <w:r w:rsidR="00E00844">
        <w:t xml:space="preserve"> – </w:t>
      </w:r>
      <w:r w:rsidR="00845DB3">
        <w:t>przede wszystkim</w:t>
      </w:r>
      <w:r w:rsidR="00E00844">
        <w:t xml:space="preserve"> poprzez</w:t>
      </w:r>
      <w:r w:rsidR="002366DC">
        <w:t xml:space="preserve"> wnioskowanie do IZ o</w:t>
      </w:r>
      <w:r w:rsidR="00E00844">
        <w:t xml:space="preserve"> zmiany na </w:t>
      </w:r>
      <w:r w:rsidR="0057479B">
        <w:t xml:space="preserve">listach </w:t>
      </w:r>
      <w:r w:rsidR="00E00844">
        <w:t>przedsięwzięć wybranych do sfinansowania.</w:t>
      </w:r>
    </w:p>
    <w:p w14:paraId="6A8780BE" w14:textId="255B6B72" w:rsidR="004A0972" w:rsidRDefault="004A0972" w:rsidP="004A0972">
      <w:bookmarkStart w:id="1" w:name="_Hlk206916498"/>
      <w:r>
        <w:t xml:space="preserve">W ramach badania zidentyfikowano obszary wsparcia polityki terytorialnej, które „z zasady” nie cieszyły się dotychczas zbyt dużym zainteresowaniem ze strony partnerstw – mimo, że zidentyfikowały one odpowiednie projekty na etapie prac nad strategiami. Takim obszarem jest przede wszystkim „wsparcie MŚP” – potencjalni wnioskodawcy (JST) rezygnowali z aplikowania po zapoznaniu się ze szczegółowymi wymogami wsparcia, które były dostępne dopiero po zatwierdzeniu porozumień/ strategii terytorialnych. </w:t>
      </w:r>
    </w:p>
    <w:bookmarkEnd w:id="1"/>
    <w:p w14:paraId="6B62E1D9" w14:textId="39D8E704" w:rsidR="004A0972" w:rsidRDefault="004A0972" w:rsidP="004A0972">
      <w:pPr>
        <w:rPr>
          <w:rFonts w:cstheme="minorHAnsi"/>
        </w:rPr>
      </w:pPr>
      <w:r>
        <w:t>Wpływ na niski poziom zainteresowania naborami w ramach polityki terytorialnej ogłaszanymi przede wszystkim w 2023 roku miały przedłużające się procesy mające na celu zawarcie porozumień terytorialnych oraz przygotowanie i zatwierdzenie strategii terytorialnych zawierających kompletne listy zatwierdzonych przedsięwzięć do sfinansowania. Zawieranie porozumień miało umożliwić aplikowanie o środki przed zatwierdzeniem strategii. Zgodnie z przyjętymi założeniami podpisanie porozumienia było niezbędne do tego, by spełnić kryterium wyboru projektów dotyczące z</w:t>
      </w:r>
      <w:r w:rsidRPr="00087525">
        <w:t>godnoś</w:t>
      </w:r>
      <w:r>
        <w:t>ci</w:t>
      </w:r>
      <w:r w:rsidRPr="00087525">
        <w:t xml:space="preserve"> z właściwą strategią IIT dla OPPT </w:t>
      </w:r>
      <w:r>
        <w:t>lub strategią</w:t>
      </w:r>
      <w:r w:rsidRPr="00087525">
        <w:t xml:space="preserve"> ZIT</w:t>
      </w:r>
      <w:r>
        <w:t xml:space="preserve">. W przypadku zgodności ze strategią dopuszczono zaś złożenie stosownego oświadczenia o tym, że projekt zostanie zamieszczony na liście podstawowej projektów w zatwierdzonej później strategii. W praktyce, w drugiej połowie 2023 roku, wystąpiła </w:t>
      </w:r>
      <w:r w:rsidRPr="00BB10F5">
        <w:t xml:space="preserve">sytuacja, </w:t>
      </w:r>
      <w:r>
        <w:t>kiedy to</w:t>
      </w:r>
      <w:r w:rsidRPr="00BB10F5">
        <w:t xml:space="preserve"> porozumienia terytorialne były zawierane dopiero po ogłoszeniu</w:t>
      </w:r>
      <w:r>
        <w:t xml:space="preserve"> części</w:t>
      </w:r>
      <w:r w:rsidRPr="00BB10F5">
        <w:t xml:space="preserve"> </w:t>
      </w:r>
      <w:r>
        <w:t xml:space="preserve">z zaplanowanych </w:t>
      </w:r>
      <w:r w:rsidRPr="00BB10F5">
        <w:t>naborów „problemowych”.</w:t>
      </w:r>
      <w:r>
        <w:t xml:space="preserve"> W efekcie</w:t>
      </w:r>
      <w:r w:rsidRPr="000A7E37">
        <w:rPr>
          <w:rFonts w:cstheme="minorHAnsi"/>
        </w:rPr>
        <w:t xml:space="preserve"> </w:t>
      </w:r>
      <w:r>
        <w:rPr>
          <w:rFonts w:cstheme="minorHAnsi"/>
        </w:rPr>
        <w:t xml:space="preserve">nie wszyscy potencjalni wnioskodawcy byli przygotowani do aplikowania. </w:t>
      </w:r>
      <w:r w:rsidRPr="000A7E37">
        <w:rPr>
          <w:rFonts w:cstheme="minorHAnsi"/>
        </w:rPr>
        <w:t>W sytuacji, gdy nabór rozpoczynał się przed zawarciem porozumienia</w:t>
      </w:r>
      <w:r>
        <w:rPr>
          <w:rFonts w:cstheme="minorHAnsi"/>
        </w:rPr>
        <w:t xml:space="preserve"> lub niedługo po jego zawarciu</w:t>
      </w:r>
      <w:r w:rsidRPr="000A7E37">
        <w:rPr>
          <w:rFonts w:cstheme="minorHAnsi"/>
        </w:rPr>
        <w:t xml:space="preserve">, wnioskodawcy mogli </w:t>
      </w:r>
      <w:r>
        <w:rPr>
          <w:rFonts w:cstheme="minorHAnsi"/>
        </w:rPr>
        <w:t>mieć zbyt mało</w:t>
      </w:r>
      <w:r w:rsidRPr="000A7E37">
        <w:rPr>
          <w:rFonts w:cstheme="minorHAnsi"/>
        </w:rPr>
        <w:t xml:space="preserve"> czasu na dopracowanie</w:t>
      </w:r>
      <w:r>
        <w:rPr>
          <w:rFonts w:cstheme="minorHAnsi"/>
        </w:rPr>
        <w:t xml:space="preserve"> swoich projektów</w:t>
      </w:r>
      <w:r w:rsidRPr="000A7E37">
        <w:rPr>
          <w:rFonts w:cstheme="minorHAnsi"/>
        </w:rPr>
        <w:t xml:space="preserve"> zgodnie z wymogami konkursowymi</w:t>
      </w:r>
      <w:r>
        <w:rPr>
          <w:rFonts w:cstheme="minorHAnsi"/>
        </w:rPr>
        <w:t>, w tym kryteriami wyboru.</w:t>
      </w:r>
    </w:p>
    <w:p w14:paraId="0DAB212C" w14:textId="6E2D0C03" w:rsidR="00E00844" w:rsidRDefault="00E00844" w:rsidP="00E00844">
      <w:pPr>
        <w:rPr>
          <w:rFonts w:cstheme="minorHAnsi"/>
        </w:rPr>
      </w:pPr>
      <w:r>
        <w:rPr>
          <w:rFonts w:cstheme="minorHAnsi"/>
        </w:rPr>
        <w:t xml:space="preserve">Wpływ na tempo przygotowywania i zatwierdzania strategii oraz zawierania porozumień terytorialnych (a co za tym idzie – na skuteczność części naborów) miał proces identyfikowania i zatwierdzania fiszek projektów, które stanowić miały załącznik do </w:t>
      </w:r>
      <w:r w:rsidR="005D7046">
        <w:rPr>
          <w:rFonts w:cstheme="minorHAnsi"/>
        </w:rPr>
        <w:t>porozumień terytorialnych</w:t>
      </w:r>
      <w:r>
        <w:rPr>
          <w:rFonts w:cstheme="minorHAnsi"/>
        </w:rPr>
        <w:t xml:space="preserve">. Proces ten mógłby trwać krócej, gdyby na tym etapie znane były już wszystkie wytyczne krajowe oraz zostały przyjęte (i znane) wszystkie kryteria wyboru projektów w obszarach wsparcia z polityki terytorialnej. W praktyce proces ten był kilkuetapowy i rozłożony w czasie – angażował nie tylko członków partnerstw, ale i pracowników IZ FEdKP 2021-2027, którzy opiniowali, konsultowali, zgłaszali uwagi do fiszek, a na koniec </w:t>
      </w:r>
      <w:r w:rsidR="00363509">
        <w:rPr>
          <w:rFonts w:cstheme="minorHAnsi"/>
        </w:rPr>
        <w:t>akceptowali</w:t>
      </w:r>
      <w:r w:rsidR="0071512C">
        <w:rPr>
          <w:rFonts w:cstheme="minorHAnsi"/>
        </w:rPr>
        <w:t xml:space="preserve"> je </w:t>
      </w:r>
      <w:r w:rsidR="00065FC0">
        <w:rPr>
          <w:rFonts w:cstheme="minorHAnsi"/>
        </w:rPr>
        <w:t>podpisując porozumienia</w:t>
      </w:r>
      <w:r w:rsidR="008A6084">
        <w:rPr>
          <w:rFonts w:cstheme="minorHAnsi"/>
        </w:rPr>
        <w:t xml:space="preserve"> terytorialne</w:t>
      </w:r>
      <w:r>
        <w:rPr>
          <w:rFonts w:cstheme="minorHAnsi"/>
        </w:rPr>
        <w:t xml:space="preserve">. </w:t>
      </w:r>
    </w:p>
    <w:p w14:paraId="79245B44" w14:textId="71A8FB94" w:rsidR="00E00844" w:rsidRDefault="00E00844" w:rsidP="00E00844">
      <w:r>
        <w:rPr>
          <w:rFonts w:cstheme="minorHAnsi"/>
        </w:rPr>
        <w:t xml:space="preserve">Kolejnym powodem niskiej skuteczności naborów z polityki terytorialnej mogło być ogólne postrzeganie przez </w:t>
      </w:r>
      <w:r w:rsidR="00170BEB">
        <w:rPr>
          <w:rFonts w:cstheme="minorHAnsi"/>
        </w:rPr>
        <w:t xml:space="preserve">część potencjalnych </w:t>
      </w:r>
      <w:r>
        <w:rPr>
          <w:rFonts w:cstheme="minorHAnsi"/>
        </w:rPr>
        <w:t xml:space="preserve">wnioskodawców obowiązujących zasad wdrażania polityki w ramach Programu. </w:t>
      </w:r>
      <w:r w:rsidR="00170BEB">
        <w:t>M</w:t>
      </w:r>
      <w:r>
        <w:t xml:space="preserve">ogli </w:t>
      </w:r>
      <w:r w:rsidR="00170BEB">
        <w:t>oni</w:t>
      </w:r>
      <w:r>
        <w:t xml:space="preserve"> traktować nabory </w:t>
      </w:r>
      <w:r w:rsidR="000608C7">
        <w:t>bardziej</w:t>
      </w:r>
      <w:r>
        <w:t xml:space="preserve"> jako swego rodzaju formalność</w:t>
      </w:r>
      <w:r w:rsidR="004A0972">
        <w:t>. Mogli oni przyjąć</w:t>
      </w:r>
      <w:r>
        <w:t xml:space="preserve">, że zawarcie porozumień oraz </w:t>
      </w:r>
      <w:r>
        <w:lastRenderedPageBreak/>
        <w:t>zatwierdzenie strategii wraz z wykazem projektów (i przypisaną wysokością alokacji) zapewnia im już uzyskanie dofinansowania w przyszłości</w:t>
      </w:r>
      <w:r w:rsidR="004A0972">
        <w:t xml:space="preserve"> –</w:t>
      </w:r>
      <w:r>
        <w:t xml:space="preserve"> bez względu na to, w którym naborze wniosek zostanie złożony. </w:t>
      </w:r>
      <w:r w:rsidR="00E43AAB">
        <w:t xml:space="preserve">Należy podkreślić, że wcześniejsza współpraca </w:t>
      </w:r>
      <w:r w:rsidR="004A0972">
        <w:t xml:space="preserve">IZ FEdKP z partnerstwami </w:t>
      </w:r>
      <w:r w:rsidR="00E43AAB">
        <w:t xml:space="preserve">przy opracowaniu dokumentów </w:t>
      </w:r>
      <w:r w:rsidR="004A0972">
        <w:t>miała</w:t>
      </w:r>
      <w:r w:rsidR="00E43AAB">
        <w:t xml:space="preserve"> przyczynić się do złożenia wszystkich wniosków o dofinansowanie projektów w </w:t>
      </w:r>
      <w:r w:rsidR="00196932">
        <w:t xml:space="preserve">pierwotnie </w:t>
      </w:r>
      <w:r w:rsidR="00E43AAB">
        <w:t>zaplanowanych dwóch naborach</w:t>
      </w:r>
      <w:r w:rsidR="008B09F7">
        <w:t xml:space="preserve"> na każdy z obszarów wsparcia</w:t>
      </w:r>
      <w:r w:rsidR="00E43AAB">
        <w:t xml:space="preserve">. </w:t>
      </w:r>
      <w:r w:rsidR="004A0972">
        <w:t>W</w:t>
      </w:r>
      <w:r>
        <w:t xml:space="preserve"> praktyce zdecydowano o ogłoszeniu kolejnych</w:t>
      </w:r>
      <w:r w:rsidR="00FE54B8">
        <w:t xml:space="preserve"> naborów</w:t>
      </w:r>
      <w:r w:rsidR="00E43AAB">
        <w:t xml:space="preserve">, aby umożliwić </w:t>
      </w:r>
      <w:r w:rsidR="008E0E5F">
        <w:t>p</w:t>
      </w:r>
      <w:r w:rsidR="00E43AAB">
        <w:t>artnerstw</w:t>
      </w:r>
      <w:r w:rsidR="006160F6">
        <w:t>om</w:t>
      </w:r>
      <w:r w:rsidR="00E43AAB">
        <w:t xml:space="preserve"> złożenie </w:t>
      </w:r>
      <w:r w:rsidR="004A0972">
        <w:t>wniosków, których prawdopodobnie</w:t>
      </w:r>
      <w:r w:rsidR="00E43AAB">
        <w:t xml:space="preserve"> nie złożyliby </w:t>
      </w:r>
      <w:r w:rsidR="004A0972">
        <w:t>w uprzednio przewidzianych dwóch naborach z uwagi na niski stopień zaawansowania prac nad przygotowaniem projektów.</w:t>
      </w:r>
      <w:r w:rsidR="007B079C">
        <w:t xml:space="preserve"> </w:t>
      </w:r>
      <w:r w:rsidR="004A0972">
        <w:t>Decyzja</w:t>
      </w:r>
      <w:r w:rsidR="00BA568F">
        <w:t xml:space="preserve"> taka</w:t>
      </w:r>
      <w:r>
        <w:t xml:space="preserve"> </w:t>
      </w:r>
      <w:r w:rsidR="0057535E">
        <w:t>spowodowała</w:t>
      </w:r>
      <w:r w:rsidR="004A0972">
        <w:t xml:space="preserve"> jednak</w:t>
      </w:r>
      <w:r>
        <w:t xml:space="preserve">, że </w:t>
      </w:r>
      <w:r w:rsidR="00BA568F">
        <w:t xml:space="preserve">część wnioskodawców </w:t>
      </w:r>
      <w:r w:rsidR="004A0972">
        <w:t xml:space="preserve">– </w:t>
      </w:r>
      <w:r>
        <w:t>mając na uwadze ograniczone zasoby organizacyjne</w:t>
      </w:r>
      <w:r w:rsidR="004A0972">
        <w:t xml:space="preserve"> – w pierwszej kolejności</w:t>
      </w:r>
      <w:r>
        <w:t xml:space="preserve"> przygotowywa</w:t>
      </w:r>
      <w:r w:rsidR="003D3F4F">
        <w:t>ł</w:t>
      </w:r>
      <w:r w:rsidR="00365E86">
        <w:t>a</w:t>
      </w:r>
      <w:r>
        <w:t xml:space="preserve"> wnioski i aplikowa</w:t>
      </w:r>
      <w:r w:rsidR="003D3F4F">
        <w:t>ł</w:t>
      </w:r>
      <w:r w:rsidR="00365E86">
        <w:t>a</w:t>
      </w:r>
      <w:r>
        <w:t xml:space="preserve"> do innych (alternatywnych</w:t>
      </w:r>
      <w:r w:rsidR="004A0972">
        <w:t>/ konkurencyjnych</w:t>
      </w:r>
      <w:r>
        <w:t xml:space="preserve">) </w:t>
      </w:r>
      <w:r w:rsidR="004A0972">
        <w:t>programów (przede wszystkim krajowych)</w:t>
      </w:r>
      <w:r>
        <w:t xml:space="preserve"> lub po prostu więcej czasu </w:t>
      </w:r>
      <w:r w:rsidR="003D3F4F">
        <w:t>przeznaczał</w:t>
      </w:r>
      <w:r w:rsidR="00365E86">
        <w:t>a</w:t>
      </w:r>
      <w:r w:rsidR="003D3F4F">
        <w:t xml:space="preserve"> </w:t>
      </w:r>
      <w:r>
        <w:t>na dopracowanie i skompletowanie dokumentacji technicznej niezbędnej do złożenia wniosków, w tym spełnienia kryterium dotyczącego gotowości technicznej projektu do realizacji.</w:t>
      </w:r>
      <w:r w:rsidR="00DF2C41">
        <w:t xml:space="preserve"> </w:t>
      </w:r>
    </w:p>
    <w:p w14:paraId="5FA36A36" w14:textId="7C231247" w:rsidR="004A0972" w:rsidRDefault="004A0972" w:rsidP="004A0972">
      <w:pPr>
        <w:rPr>
          <w:rFonts w:cstheme="minorHAnsi"/>
        </w:rPr>
      </w:pPr>
      <w:r>
        <w:t xml:space="preserve">W przypadku części projektów nie doszło do złożenia wniosków w pierwszych naborach właśnie z powodu braku zapewnienia odpowiedniego poziomu gotowości realizacyjnej – tylko 24% badanych wnioskodawców polityki terytorialnej przyznało, że w chwili ogłoszenia naborów ich projekty były w pełni gotowe do aplikowania. </w:t>
      </w:r>
      <w:r>
        <w:rPr>
          <w:rFonts w:cstheme="minorHAnsi"/>
        </w:rPr>
        <w:t xml:space="preserve">Gotowość projektów do realizacji oraz stan przygotowań i harmonogram realizacji przedsięwzięć były opisywane we wszystkich fiszkach projektowych. W praktyce, po pierwsze - w fiszce można było zaznaczyć, że projekt jeszcze nie jest gotowy do realizacji i wskazać przewidywany termin gotowości, a po </w:t>
      </w:r>
      <w:r w:rsidRPr="001E32D3">
        <w:rPr>
          <w:rFonts w:cstheme="minorHAnsi"/>
        </w:rPr>
        <w:t>drugie - niedotrzymanie terminów w zakresie uzyskania gotowości realizacyjnej i/lub planowanego złożenia wniosku aplikacyjnego nie wiązało się z żadną konsekwencją/ sankcją – za wyjątkiem tego, że ostatecznie wnioskodawca może nie zdążyć złożyć wniosku w kolejnym i zarazem ostatnim naborze.</w:t>
      </w:r>
      <w:r>
        <w:rPr>
          <w:rFonts w:cstheme="minorHAnsi"/>
        </w:rPr>
        <w:t xml:space="preserve"> </w:t>
      </w:r>
      <w:r>
        <w:t>W efekcie, w odpowiedzi na zgłaszane potrzeby partnerstw, dochodziło także do częstych zmian harmonogramu naborów (tj. dodawania lub przesuwania naborów).</w:t>
      </w:r>
    </w:p>
    <w:p w14:paraId="1B2E75B5" w14:textId="14A662E2" w:rsidR="004A0972" w:rsidRDefault="004A0972" w:rsidP="004A0972">
      <w:r>
        <w:rPr>
          <w:rFonts w:cstheme="minorHAnsi"/>
        </w:rPr>
        <w:t xml:space="preserve">Ostatecznie, na skuteczność naborów polityki terytorialnej z pewnością miały wpływ także uwarunkowania polityczne. </w:t>
      </w:r>
      <w:r w:rsidRPr="0059303C">
        <w:rPr>
          <w:rFonts w:cstheme="minorHAnsi"/>
        </w:rPr>
        <w:t xml:space="preserve">Wiosną 2024 roku odbyły się bowiem w Polsce wybory samorządowe, które mogły skutkować zmianą dotychczasowych władz w poszczególnych samorządach. Nowi decydenci </w:t>
      </w:r>
      <w:r>
        <w:rPr>
          <w:rFonts w:cstheme="minorHAnsi"/>
        </w:rPr>
        <w:t>nierzadko</w:t>
      </w:r>
      <w:r w:rsidRPr="0059303C">
        <w:rPr>
          <w:rFonts w:cstheme="minorHAnsi"/>
        </w:rPr>
        <w:t xml:space="preserve"> kwestionowa</w:t>
      </w:r>
      <w:r>
        <w:rPr>
          <w:rFonts w:cstheme="minorHAnsi"/>
        </w:rPr>
        <w:t>li</w:t>
      </w:r>
      <w:r w:rsidRPr="0059303C">
        <w:rPr>
          <w:rFonts w:cstheme="minorHAnsi"/>
        </w:rPr>
        <w:t xml:space="preserve"> zasadność wyboru takich, a nie innych projektów do realizacji (fiszek projektowych) i </w:t>
      </w:r>
      <w:r>
        <w:rPr>
          <w:rFonts w:cstheme="minorHAnsi"/>
        </w:rPr>
        <w:t>zgłaszali konieczność</w:t>
      </w:r>
      <w:r w:rsidRPr="0059303C">
        <w:rPr>
          <w:rFonts w:cstheme="minorHAnsi"/>
        </w:rPr>
        <w:t xml:space="preserve"> zmian</w:t>
      </w:r>
      <w:r>
        <w:rPr>
          <w:rFonts w:cstheme="minorHAnsi"/>
        </w:rPr>
        <w:t xml:space="preserve"> na</w:t>
      </w:r>
      <w:r w:rsidRPr="0059303C">
        <w:rPr>
          <w:rFonts w:cstheme="minorHAnsi"/>
        </w:rPr>
        <w:t xml:space="preserve"> list</w:t>
      </w:r>
      <w:r>
        <w:rPr>
          <w:rFonts w:cstheme="minorHAnsi"/>
        </w:rPr>
        <w:t>ach</w:t>
      </w:r>
      <w:r w:rsidRPr="0059303C">
        <w:rPr>
          <w:rFonts w:cstheme="minorHAnsi"/>
        </w:rPr>
        <w:t xml:space="preserve"> zidentyfikowanych przedsięwzięć lub wprowadzania istotnych modyfikacji w ich zakresach. Nie bez znaczenia jest także fakt, że </w:t>
      </w:r>
      <w:r>
        <w:rPr>
          <w:rFonts w:cstheme="minorHAnsi"/>
        </w:rPr>
        <w:t>każda</w:t>
      </w:r>
      <w:r w:rsidRPr="0059303C">
        <w:rPr>
          <w:rFonts w:cstheme="minorHAnsi"/>
        </w:rPr>
        <w:t xml:space="preserve"> zmiana władz na pewien czas hamuje procesy decyzyjne – zwłaszcza dotyczące istotnych inwestycji, które wymagają wsparcia ze środków własnych.</w:t>
      </w:r>
    </w:p>
    <w:p w14:paraId="373D1BA0" w14:textId="4E2C2BBA" w:rsidR="004D1F6E" w:rsidRPr="003570E7" w:rsidRDefault="004D1F6E" w:rsidP="00077CA0">
      <w:pPr>
        <w:keepNext/>
        <w:rPr>
          <w:color w:val="640B68" w:themeColor="accent3" w:themeShade="BF"/>
        </w:rPr>
      </w:pPr>
      <w:r w:rsidRPr="003570E7">
        <w:rPr>
          <w:color w:val="640B68" w:themeColor="accent3" w:themeShade="BF"/>
        </w:rPr>
        <w:lastRenderedPageBreak/>
        <w:t xml:space="preserve">Wpływ specyfiki </w:t>
      </w:r>
      <w:r w:rsidRPr="00717D24">
        <w:rPr>
          <w:color w:val="640B68" w:themeColor="accent3" w:themeShade="BF"/>
        </w:rPr>
        <w:t>niekonkurencyjnego</w:t>
      </w:r>
      <w:r w:rsidRPr="003570E7">
        <w:rPr>
          <w:color w:val="640B68" w:themeColor="accent3" w:themeShade="BF"/>
        </w:rPr>
        <w:t xml:space="preserve"> </w:t>
      </w:r>
      <w:r w:rsidR="00F03082">
        <w:rPr>
          <w:color w:val="640B68" w:themeColor="accent3" w:themeShade="BF"/>
        </w:rPr>
        <w:t>sposobu wyboru</w:t>
      </w:r>
      <w:r w:rsidRPr="003570E7">
        <w:rPr>
          <w:color w:val="640B68" w:themeColor="accent3" w:themeShade="BF"/>
        </w:rPr>
        <w:t xml:space="preserve"> </w:t>
      </w:r>
      <w:r w:rsidR="00D76E97">
        <w:rPr>
          <w:color w:val="640B68" w:themeColor="accent3" w:themeShade="BF"/>
        </w:rPr>
        <w:t>projektów</w:t>
      </w:r>
      <w:r w:rsidRPr="003570E7">
        <w:rPr>
          <w:color w:val="640B68" w:themeColor="accent3" w:themeShade="BF"/>
        </w:rPr>
        <w:t xml:space="preserve"> na skuteczność naborów</w:t>
      </w:r>
    </w:p>
    <w:p w14:paraId="5551977A" w14:textId="43694B56" w:rsidR="00B90652" w:rsidRDefault="636E2DD0" w:rsidP="00B90652">
      <w:pPr>
        <w:rPr>
          <w:rFonts w:eastAsia="Tahoma" w:cs="Tahoma"/>
          <w:szCs w:val="24"/>
        </w:rPr>
      </w:pPr>
      <w:r w:rsidRPr="55F8BE54">
        <w:rPr>
          <w:rFonts w:eastAsia="Tahoma" w:cs="Tahoma"/>
          <w:szCs w:val="24"/>
        </w:rPr>
        <w:t>N</w:t>
      </w:r>
      <w:r w:rsidR="4FB3D458" w:rsidRPr="55F8BE54">
        <w:rPr>
          <w:rFonts w:eastAsia="Tahoma" w:cs="Tahoma"/>
          <w:szCs w:val="24"/>
        </w:rPr>
        <w:t xml:space="preserve">iekonkurencyjny sposób wyboru projektów w ramach FEdKP w zdecydowanej większości przypadków funkcjonuje sprawnie i </w:t>
      </w:r>
      <w:r w:rsidR="00B90652">
        <w:rPr>
          <w:rFonts w:eastAsia="Tahoma" w:cs="Tahoma"/>
          <w:szCs w:val="24"/>
        </w:rPr>
        <w:t>jest skuteczny</w:t>
      </w:r>
      <w:r w:rsidR="00B90652" w:rsidRPr="55F8BE54">
        <w:rPr>
          <w:rFonts w:eastAsia="Tahoma" w:cs="Tahoma"/>
          <w:szCs w:val="24"/>
        </w:rPr>
        <w:t>.</w:t>
      </w:r>
      <w:r w:rsidR="4FB3D458" w:rsidRPr="55F8BE54">
        <w:rPr>
          <w:rFonts w:eastAsia="Tahoma" w:cs="Tahoma"/>
          <w:szCs w:val="24"/>
        </w:rPr>
        <w:t xml:space="preserve"> Do końca marca 2025 r. zakończono łącznie 64 nabory tego typu (43 w ramach EFRR oraz 21 w ramach EFS+), a problemy zidentyfikowano jedynie w </w:t>
      </w:r>
      <w:r w:rsidR="00B90652">
        <w:rPr>
          <w:rFonts w:eastAsia="Tahoma" w:cs="Tahoma"/>
          <w:szCs w:val="24"/>
        </w:rPr>
        <w:t>6</w:t>
      </w:r>
      <w:r w:rsidR="00B90652" w:rsidRPr="55F8BE54">
        <w:rPr>
          <w:rFonts w:eastAsia="Tahoma" w:cs="Tahoma"/>
          <w:szCs w:val="24"/>
        </w:rPr>
        <w:t xml:space="preserve"> z nich. </w:t>
      </w:r>
    </w:p>
    <w:p w14:paraId="362CF42B" w14:textId="161482B5" w:rsidR="00B90652" w:rsidRDefault="4FB3D458" w:rsidP="00B90652">
      <w:pPr>
        <w:rPr>
          <w:rFonts w:eastAsia="Tahoma" w:cs="Tahoma"/>
          <w:szCs w:val="24"/>
        </w:rPr>
      </w:pPr>
      <w:r w:rsidRPr="55F8BE54">
        <w:rPr>
          <w:rFonts w:eastAsia="Tahoma" w:cs="Tahoma"/>
          <w:szCs w:val="24"/>
        </w:rPr>
        <w:t xml:space="preserve">Trudności </w:t>
      </w:r>
      <w:r w:rsidR="00B90652">
        <w:rPr>
          <w:rFonts w:eastAsia="Tahoma" w:cs="Tahoma"/>
          <w:szCs w:val="24"/>
        </w:rPr>
        <w:t>w przypadku tych 6 naborów (projektów)</w:t>
      </w:r>
      <w:r w:rsidR="00B90652" w:rsidRPr="55F8BE54">
        <w:rPr>
          <w:rFonts w:eastAsia="Tahoma" w:cs="Tahoma"/>
          <w:szCs w:val="24"/>
        </w:rPr>
        <w:t xml:space="preserve"> miały charakter </w:t>
      </w:r>
      <w:r w:rsidR="00B90652">
        <w:rPr>
          <w:rFonts w:eastAsia="Tahoma" w:cs="Tahoma"/>
          <w:szCs w:val="24"/>
        </w:rPr>
        <w:t>indywidualny (np. konieczność pogłębionej analizy otoczenia prawnego, zmiany organizacyjne po stronie wnioskodawcy, problemy z rozstrzygnięciem postępowań przetargowych, błędy formalne w dokumentacji projektowej) i nie miały związku z procedurami stosowanymi w ramach niekonkurencyjnego sposobu wyboru projektów.</w:t>
      </w:r>
      <w:r w:rsidR="00B90652" w:rsidRPr="55F8BE54">
        <w:rPr>
          <w:rFonts w:eastAsia="Tahoma" w:cs="Tahoma"/>
          <w:szCs w:val="24"/>
        </w:rPr>
        <w:t xml:space="preserve"> </w:t>
      </w:r>
      <w:r w:rsidR="00B90652">
        <w:rPr>
          <w:rFonts w:eastAsia="Tahoma" w:cs="Tahoma"/>
          <w:szCs w:val="24"/>
        </w:rPr>
        <w:t>W przypadku 5 projektów zawarto już umowy o dofinansowanie, a w przypadku 1 przygotowywany był (w chwili realizacji badania) wniosek o dofinansowanie, który miał być złożony w kolejnym naborze.</w:t>
      </w:r>
      <w:r w:rsidRPr="55F8BE54">
        <w:rPr>
          <w:rFonts w:eastAsia="Tahoma" w:cs="Tahoma"/>
          <w:szCs w:val="24"/>
        </w:rPr>
        <w:t xml:space="preserve"> </w:t>
      </w:r>
      <w:r w:rsidR="00B90652">
        <w:rPr>
          <w:rFonts w:eastAsia="Tahoma" w:cs="Tahoma"/>
          <w:szCs w:val="24"/>
        </w:rPr>
        <w:t xml:space="preserve">Mimo to, prowadzone analizy </w:t>
      </w:r>
      <w:r w:rsidR="00B90652" w:rsidRPr="55F8BE54">
        <w:rPr>
          <w:rFonts w:eastAsia="Tahoma" w:cs="Tahoma"/>
          <w:szCs w:val="24"/>
        </w:rPr>
        <w:t>pozwolił</w:t>
      </w:r>
      <w:r w:rsidR="00B90652">
        <w:rPr>
          <w:rFonts w:eastAsia="Tahoma" w:cs="Tahoma"/>
          <w:szCs w:val="24"/>
        </w:rPr>
        <w:t>y</w:t>
      </w:r>
      <w:r w:rsidRPr="55F8BE54">
        <w:rPr>
          <w:rFonts w:eastAsia="Tahoma" w:cs="Tahoma"/>
          <w:szCs w:val="24"/>
        </w:rPr>
        <w:t xml:space="preserve"> zidentyfikować </w:t>
      </w:r>
      <w:r w:rsidR="00B90652" w:rsidRPr="003B67BA">
        <w:rPr>
          <w:rFonts w:eastAsia="Tahoma" w:cs="Tahoma"/>
          <w:szCs w:val="24"/>
        </w:rPr>
        <w:t>kilka kwestii problemowych, które mają wpływ na skuteczność i efektywność niekonkurencyjnego sposobu wyboru projektów</w:t>
      </w:r>
      <w:r w:rsidRPr="55F8BE54">
        <w:rPr>
          <w:rFonts w:eastAsia="Tahoma" w:cs="Tahoma"/>
          <w:szCs w:val="24"/>
        </w:rPr>
        <w:t xml:space="preserve">. </w:t>
      </w:r>
    </w:p>
    <w:p w14:paraId="13DB9D26" w14:textId="502C64B4" w:rsidR="00B90652" w:rsidRDefault="00B90652" w:rsidP="00B90652">
      <w:pPr>
        <w:rPr>
          <w:rFonts w:eastAsia="Tahoma" w:cs="Tahoma"/>
          <w:szCs w:val="24"/>
        </w:rPr>
      </w:pPr>
      <w:r>
        <w:rPr>
          <w:rFonts w:eastAsia="Tahoma" w:cs="Tahoma"/>
          <w:szCs w:val="24"/>
        </w:rPr>
        <w:t xml:space="preserve">Wpływ na sprawność procesu weryfikowania i zatwierdzania fiszek projektowych miał także stopień </w:t>
      </w:r>
      <w:r w:rsidRPr="00F00F14">
        <w:rPr>
          <w:rFonts w:eastAsia="Tahoma" w:cs="Tahoma"/>
          <w:szCs w:val="24"/>
        </w:rPr>
        <w:t>zaangażowania pracowników departamentów merytorycznych w konsultowani</w:t>
      </w:r>
      <w:r>
        <w:rPr>
          <w:rFonts w:eastAsia="Tahoma" w:cs="Tahoma"/>
          <w:szCs w:val="24"/>
        </w:rPr>
        <w:t>e</w:t>
      </w:r>
      <w:r w:rsidRPr="00F00F14">
        <w:rPr>
          <w:rFonts w:eastAsia="Tahoma" w:cs="Tahoma"/>
          <w:szCs w:val="24"/>
        </w:rPr>
        <w:t xml:space="preserve"> fiszek przygotowywanych przez jednostki podległe tym departamentom.</w:t>
      </w:r>
      <w:r>
        <w:rPr>
          <w:rFonts w:eastAsia="Tahoma" w:cs="Tahoma"/>
          <w:szCs w:val="24"/>
        </w:rPr>
        <w:t xml:space="preserve"> W przypadkach, kiedy to zaangażowanie było na odpowiednim poziomie</w:t>
      </w:r>
      <w:r w:rsidR="002507A2">
        <w:rPr>
          <w:rFonts w:eastAsia="Tahoma" w:cs="Tahoma"/>
          <w:szCs w:val="24"/>
        </w:rPr>
        <w:t xml:space="preserve"> (dostosowanym do specyfiki/ zakresu projekt</w:t>
      </w:r>
      <w:r w:rsidR="002E52C0">
        <w:rPr>
          <w:rFonts w:eastAsia="Tahoma" w:cs="Tahoma"/>
          <w:szCs w:val="24"/>
        </w:rPr>
        <w:t>u)</w:t>
      </w:r>
      <w:r>
        <w:t>, proces weryfikacji i zatwierdzania przebiega</w:t>
      </w:r>
      <w:r w:rsidR="00A8190B">
        <w:t>ł</w:t>
      </w:r>
      <w:r>
        <w:t xml:space="preserve"> znacznie sprawniej.</w:t>
      </w:r>
    </w:p>
    <w:p w14:paraId="6B2867C2" w14:textId="77777777" w:rsidR="00B90652" w:rsidRDefault="00B90652" w:rsidP="00B90652">
      <w:r>
        <w:rPr>
          <w:rFonts w:eastAsia="Tahoma" w:cs="Tahoma"/>
          <w:szCs w:val="24"/>
        </w:rPr>
        <w:t xml:space="preserve">Pozytywnie oceniono </w:t>
      </w:r>
      <w:r w:rsidRPr="00AD6B3D">
        <w:rPr>
          <w:rFonts w:eastAsia="Tahoma" w:cs="Tahoma"/>
          <w:szCs w:val="24"/>
        </w:rPr>
        <w:t xml:space="preserve">rozwiązanie, polegające na </w:t>
      </w:r>
      <w:r>
        <w:rPr>
          <w:rFonts w:eastAsia="Tahoma" w:cs="Tahoma"/>
          <w:szCs w:val="24"/>
        </w:rPr>
        <w:t xml:space="preserve">krótkiej/ ogólnej </w:t>
      </w:r>
      <w:r w:rsidRPr="00AD6B3D">
        <w:rPr>
          <w:rFonts w:eastAsia="Tahoma" w:cs="Tahoma"/>
          <w:szCs w:val="24"/>
        </w:rPr>
        <w:t>weryfikacji</w:t>
      </w:r>
      <w:r>
        <w:rPr>
          <w:rFonts w:eastAsia="Tahoma" w:cs="Tahoma"/>
          <w:szCs w:val="24"/>
        </w:rPr>
        <w:t xml:space="preserve"> (przez </w:t>
      </w:r>
      <w:r w:rsidRPr="55F8BE54">
        <w:rPr>
          <w:rFonts w:eastAsia="Tahoma" w:cs="Tahoma"/>
          <w:szCs w:val="24"/>
        </w:rPr>
        <w:t>D</w:t>
      </w:r>
      <w:r>
        <w:t>KPUiI)</w:t>
      </w:r>
      <w:r w:rsidRPr="00AD6B3D">
        <w:rPr>
          <w:rFonts w:eastAsia="Tahoma" w:cs="Tahoma"/>
          <w:szCs w:val="24"/>
        </w:rPr>
        <w:t xml:space="preserve"> przygotowanego wniosku o dofinansowanie projektu przed jego formalnym złożeniem przez wnioskodawcę w systemie informatycznym</w:t>
      </w:r>
      <w:r>
        <w:rPr>
          <w:rFonts w:eastAsia="Tahoma" w:cs="Tahoma"/>
          <w:szCs w:val="24"/>
        </w:rPr>
        <w:t xml:space="preserve">. Zgodnie z procedurami, wnioski takie powinny być przekazane do weryfikacji </w:t>
      </w:r>
      <w:r>
        <w:rPr>
          <w:rFonts w:cstheme="minorBidi"/>
        </w:rPr>
        <w:t xml:space="preserve">najpóźniej na 2 tygodnie przed </w:t>
      </w:r>
      <w:r>
        <w:t>ich</w:t>
      </w:r>
      <w:r>
        <w:rPr>
          <w:rFonts w:cstheme="minorBidi"/>
        </w:rPr>
        <w:t xml:space="preserve"> złożeniem</w:t>
      </w:r>
      <w:r>
        <w:t xml:space="preserve"> w naborze. </w:t>
      </w:r>
      <w:r w:rsidRPr="00BE5F97">
        <w:t xml:space="preserve">W praktyce zdarzały się </w:t>
      </w:r>
      <w:r>
        <w:t xml:space="preserve">jednak </w:t>
      </w:r>
      <w:r w:rsidRPr="00BE5F97">
        <w:t>sytuacje, kiedy wnioski były przekazywane na kilka dni przed zakończeniem naboru</w:t>
      </w:r>
      <w:r>
        <w:t xml:space="preserve"> – wówczas </w:t>
      </w:r>
      <w:r w:rsidRPr="00BE5F97">
        <w:t xml:space="preserve">nie było już czasu na właściwą weryfikację, a tym bardziej na wprowadzenie </w:t>
      </w:r>
      <w:r>
        <w:t xml:space="preserve">istotnych </w:t>
      </w:r>
      <w:r w:rsidRPr="00BE5F97">
        <w:t>zmian we wniosku.</w:t>
      </w:r>
      <w:r>
        <w:t xml:space="preserve"> </w:t>
      </w:r>
    </w:p>
    <w:p w14:paraId="08217D15" w14:textId="77777777" w:rsidR="00B90652" w:rsidRDefault="00B90652" w:rsidP="00B90652">
      <w:r>
        <w:t xml:space="preserve">Wpływ na skuteczność niekonkurencyjnego sposobu wyboru projektów może mieć także obecny </w:t>
      </w:r>
      <w:r w:rsidRPr="00691369">
        <w:t>brak możliwości dwukrotnej poprawy błędów na etapie oceny</w:t>
      </w:r>
      <w:r>
        <w:t xml:space="preserve"> takich wniosków</w:t>
      </w:r>
      <w:r w:rsidRPr="00691369">
        <w:t>.</w:t>
      </w:r>
      <w:r>
        <w:t xml:space="preserve"> Okoliczność ta może bowiem zwiększać ryzyko negatywnej oceny niektórych projektów.</w:t>
      </w:r>
    </w:p>
    <w:p w14:paraId="07C84EFF" w14:textId="08342F09" w:rsidR="00B90652" w:rsidRPr="00077CA0" w:rsidRDefault="00B90652" w:rsidP="00B90652">
      <w:pPr>
        <w:rPr>
          <w:rFonts w:cstheme="minorBidi"/>
        </w:rPr>
      </w:pPr>
      <w:r>
        <w:t xml:space="preserve">Wskazywane wyżej trudności mogą w praktyce mieć większe znaczenie m.in. </w:t>
      </w:r>
      <w:r w:rsidRPr="004B5526">
        <w:t xml:space="preserve">z braku doświadczenia części wnioskodawców w aplikowaniu/ realizacji projektów </w:t>
      </w:r>
      <w:r>
        <w:t>niekonkurencyjnych/ pozakonkursowych</w:t>
      </w:r>
      <w:r w:rsidRPr="004B5526">
        <w:t xml:space="preserve"> (</w:t>
      </w:r>
      <w:r>
        <w:t xml:space="preserve">np. w ramach RPO </w:t>
      </w:r>
      <w:r w:rsidR="004A08C7">
        <w:t>WK-P</w:t>
      </w:r>
      <w:r>
        <w:t xml:space="preserve"> 2014-2020</w:t>
      </w:r>
      <w:r w:rsidRPr="004B5526">
        <w:t>),</w:t>
      </w:r>
      <w:r>
        <w:t xml:space="preserve"> jak też z wskazywanych trudności w dostępie do </w:t>
      </w:r>
      <w:r w:rsidRPr="004C1DF2">
        <w:t xml:space="preserve">szkoleń </w:t>
      </w:r>
      <w:r>
        <w:t xml:space="preserve">(problem dotyczy </w:t>
      </w:r>
      <w:r w:rsidRPr="004C1DF2">
        <w:t>wnioskodawców, którymi są komórki organizacyjne UMWKP nienależące do struktur IZ FEdKP 2021-2027</w:t>
      </w:r>
      <w:r>
        <w:t>)</w:t>
      </w:r>
      <w:r w:rsidRPr="004B5526">
        <w:t>.</w:t>
      </w:r>
      <w:r>
        <w:t xml:space="preserve"> </w:t>
      </w:r>
    </w:p>
    <w:p w14:paraId="6DDA1F95" w14:textId="0AD4068D" w:rsidR="004D1F6E" w:rsidRPr="003570E7" w:rsidRDefault="004D1F6E" w:rsidP="69BF13EE">
      <w:pPr>
        <w:spacing w:before="240" w:after="240"/>
        <w:rPr>
          <w:color w:val="640B68" w:themeColor="accent3" w:themeShade="BF"/>
        </w:rPr>
      </w:pPr>
      <w:r w:rsidRPr="003570E7">
        <w:rPr>
          <w:color w:val="640B68" w:themeColor="accent3" w:themeShade="BF"/>
        </w:rPr>
        <w:lastRenderedPageBreak/>
        <w:t>Inne czynniki wpływające na skuteczność naborów</w:t>
      </w:r>
    </w:p>
    <w:p w14:paraId="19D72B14" w14:textId="77777777" w:rsidR="00F30F37" w:rsidRDefault="00F30F37" w:rsidP="00F30F37">
      <w:r>
        <w:t xml:space="preserve">Na niską </w:t>
      </w:r>
      <w:r w:rsidRPr="00A16EBC">
        <w:t xml:space="preserve">skuteczność naborów </w:t>
      </w:r>
      <w:r>
        <w:t xml:space="preserve">wpływają </w:t>
      </w:r>
      <w:r w:rsidRPr="00A16EBC">
        <w:t>nakładając</w:t>
      </w:r>
      <w:r>
        <w:t>e</w:t>
      </w:r>
      <w:r w:rsidRPr="00A16EBC">
        <w:t xml:space="preserve"> się utrudnie</w:t>
      </w:r>
      <w:r>
        <w:t>nia</w:t>
      </w:r>
      <w:r w:rsidRPr="00A16EBC">
        <w:t xml:space="preserve"> systemow</w:t>
      </w:r>
      <w:r>
        <w:t>e</w:t>
      </w:r>
      <w:r w:rsidRPr="00A16EBC">
        <w:t xml:space="preserve"> oraz okoliczności zewnętrzn</w:t>
      </w:r>
      <w:r>
        <w:t>e</w:t>
      </w:r>
      <w:r w:rsidRPr="00A16EBC">
        <w:t xml:space="preserve">, na które Instytucja Zarządzająca nie ma wpływu. </w:t>
      </w:r>
    </w:p>
    <w:p w14:paraId="6E9C606D" w14:textId="1036EE1A" w:rsidR="00F30F37" w:rsidRDefault="00F30F37" w:rsidP="00F30F37">
      <w:r>
        <w:t xml:space="preserve">Jednym z czynników ograniczających jest niedostateczny potencjał aplikacyjny części wnioskodawców – w szczególności mniejszych gmin. </w:t>
      </w:r>
      <w:r w:rsidRPr="00A16EBC">
        <w:t xml:space="preserve">Po stronie informacji o konkursach widać duży wysiłek PIFE (spotkania, szkolenia, materiały), jednak do najmniejszych gmin – z ograniczonymi zasobami i bez wyspecjalizowanych komórek projektowych – komunikaty docierają niekiedy z opóźnieniem, co skraca realny czas pracy nad dokumentacją. </w:t>
      </w:r>
      <w:r>
        <w:t xml:space="preserve">Przesunięcia terminów naborów </w:t>
      </w:r>
      <w:r w:rsidRPr="00A16EBC">
        <w:t xml:space="preserve">i kumulacja </w:t>
      </w:r>
      <w:r>
        <w:t>naborów kierowanych do tych samych podmiotów</w:t>
      </w:r>
      <w:r w:rsidRPr="00A16EBC">
        <w:t xml:space="preserve">, zwłaszcza w </w:t>
      </w:r>
      <w:r>
        <w:t>polityce terytorialnej</w:t>
      </w:r>
      <w:r w:rsidRPr="00A16EBC">
        <w:t>, obciążają małe zespoły w JST</w:t>
      </w:r>
      <w:r>
        <w:t xml:space="preserve">. </w:t>
      </w:r>
      <w:r w:rsidRPr="00B960E7">
        <w:t xml:space="preserve">Część jednostek samorządu terytorialnego, zwłaszcza mniejszych, dysponuje bardzo ograniczonym potencjałem kadrowym i finansowym, co w połączeniu z rotacją kadr i wysokimi kosztami przygotowania dokumentacji zmniejsza zdolność aplikowania, zmuszając samorządy do wybierania naborów priorytetowych i odkładania udziału w </w:t>
      </w:r>
      <w:r>
        <w:t>innych</w:t>
      </w:r>
      <w:r w:rsidRPr="00B960E7">
        <w:t xml:space="preserve">. </w:t>
      </w:r>
      <w:r>
        <w:t>R</w:t>
      </w:r>
      <w:r w:rsidRPr="00A16EBC">
        <w:t>ównocześnie IZ reaguje operacyjnie (</w:t>
      </w:r>
      <w:r>
        <w:t>wprowadzenie naborów ciągłych</w:t>
      </w:r>
      <w:r w:rsidRPr="00A16EBC">
        <w:t>,</w:t>
      </w:r>
      <w:r>
        <w:t xml:space="preserve"> reagowanie na postulowane wydłużenia naborów, złagodzenie kryterium gotowości technicznej projektów</w:t>
      </w:r>
      <w:r w:rsidRPr="00A16EBC">
        <w:t>)</w:t>
      </w:r>
      <w:r>
        <w:t>, choć działania te nie wpływają na podejście wnioskodawców –</w:t>
      </w:r>
      <w:r w:rsidR="00151CA4">
        <w:t xml:space="preserve"> bo</w:t>
      </w:r>
      <w:r>
        <w:t xml:space="preserve"> i tak wnioski składane są w ostatnim możliwym momencie. </w:t>
      </w:r>
    </w:p>
    <w:p w14:paraId="002C1E5A" w14:textId="77777777" w:rsidR="00F30F37" w:rsidRDefault="00F30F37" w:rsidP="00F30F37">
      <w:r w:rsidRPr="00B960E7">
        <w:t xml:space="preserve">Proces aplikowania jest skomplikowany ze względu na rozbudowane </w:t>
      </w:r>
      <w:r>
        <w:t>dokumentacje naborów. Dodatkowo np. i</w:t>
      </w:r>
      <w:r w:rsidRPr="000400F0">
        <w:t xml:space="preserve">nstrukcje </w:t>
      </w:r>
      <w:r>
        <w:t xml:space="preserve">wypełniania wniosku są z punktu widzenia wnioskodawców zbyt mało praktyczne, gdyż </w:t>
      </w:r>
      <w:r w:rsidRPr="000400F0">
        <w:t>koncentrują się głównie na kwestiach technicznych związanych z obsługą system</w:t>
      </w:r>
      <w:r>
        <w:t>ów informatycznych</w:t>
      </w:r>
      <w:r w:rsidRPr="000400F0">
        <w:t xml:space="preserve">, a w mniejszym stopniu wyjaśniają, jak merytorycznie uzupełniać poszczególne pola czy interpretować specjalistyczną nomenklaturę. </w:t>
      </w:r>
      <w:r>
        <w:t>Dodatkowo administrowany przez MFiPR s</w:t>
      </w:r>
      <w:r w:rsidRPr="00B960E7">
        <w:t xml:space="preserve">ystem informatyczny SOWA utrudnia przygotowanie i ocenę wniosków z powodu niepraktycznego sposobu prezentacji budżetu i konieczności uwzględniania nieadekwatnych </w:t>
      </w:r>
      <w:r>
        <w:t xml:space="preserve">do części projektów </w:t>
      </w:r>
      <w:r w:rsidRPr="00B960E7">
        <w:t xml:space="preserve">wskaźników wspólnych. </w:t>
      </w:r>
    </w:p>
    <w:p w14:paraId="379513C6" w14:textId="77777777" w:rsidR="00F30F37" w:rsidRDefault="00F30F37" w:rsidP="00F30F37">
      <w:r w:rsidRPr="000400F0">
        <w:t xml:space="preserve">Dodatkowym utrudnieniem jest </w:t>
      </w:r>
      <w:r>
        <w:t xml:space="preserve">czasem </w:t>
      </w:r>
      <w:r w:rsidRPr="000400F0">
        <w:t>opóźnione publikowanie pytań i odpowiedzi (FAQ) – często pojawiają się one zbyt późno albo w ogóle, co ogranicza dostęp do praktycznych wyjaśnień i zmniejsza poczucie pewności wnioskodawców podczas pracy nad dokumentacją.</w:t>
      </w:r>
      <w:r>
        <w:t xml:space="preserve"> W tym zakresie konieczna jest weryfikacja „</w:t>
      </w:r>
      <w:r w:rsidRPr="00CB5107">
        <w:t>ścieżk</w:t>
      </w:r>
      <w:r>
        <w:t>i</w:t>
      </w:r>
      <w:r w:rsidRPr="00CB5107">
        <w:t>” opracowywania odpowiedzi w strukturze Instytucji Zarządzającej i zidentyfikowa</w:t>
      </w:r>
      <w:r>
        <w:t>nie</w:t>
      </w:r>
      <w:r w:rsidRPr="00CB5107">
        <w:t xml:space="preserve"> możliw</w:t>
      </w:r>
      <w:r>
        <w:t>ych</w:t>
      </w:r>
      <w:r w:rsidRPr="00CB5107">
        <w:t xml:space="preserve"> usprawnie</w:t>
      </w:r>
      <w:r>
        <w:t>ń</w:t>
      </w:r>
      <w:r w:rsidRPr="00CB5107">
        <w:t xml:space="preserve">, tak aby proces ten </w:t>
      </w:r>
      <w:r w:rsidR="00BD61D2">
        <w:t>był</w:t>
      </w:r>
      <w:r w:rsidRPr="00CB5107">
        <w:t xml:space="preserve"> bardziej efektywny.</w:t>
      </w:r>
      <w:r>
        <w:t xml:space="preserve"> Nadal istnieje także potrzeba organizowania szkoleń w odniesieniu do każdego naboru.</w:t>
      </w:r>
    </w:p>
    <w:p w14:paraId="6D246BCB" w14:textId="77777777" w:rsidR="00F30F37" w:rsidRDefault="00F30F37" w:rsidP="00F30F37">
      <w:r w:rsidRPr="00CC2E07">
        <w:t xml:space="preserve">W obszarze edukacji wsparcie na tworzenie nowych miejsc przedszkolnych, mimo iż wpisujące się w potrzeby regionu oraz priorytety KE, w praktyce spotkało się z ograniczonym zainteresowaniem, ponieważ obecnie większe znaczenie mają potrzeby związane z modernizacją i doposażeniem istniejących placówek, </w:t>
      </w:r>
      <w:r>
        <w:t>które to działania jednak nie mogą być realizowane jako samodzielne projekty</w:t>
      </w:r>
      <w:r w:rsidRPr="00B960E7">
        <w:t>.</w:t>
      </w:r>
    </w:p>
    <w:p w14:paraId="12649C13" w14:textId="22014402" w:rsidR="004938E7" w:rsidRDefault="00F30F37" w:rsidP="00F30F37">
      <w:r>
        <w:lastRenderedPageBreak/>
        <w:t xml:space="preserve">Z kolei w </w:t>
      </w:r>
      <w:r w:rsidRPr="00AC41CC">
        <w:t xml:space="preserve">Działaniu 8.24 </w:t>
      </w:r>
      <w:r>
        <w:t xml:space="preserve">ograniczony popyt na wsparcie wynikał </w:t>
      </w:r>
      <w:r w:rsidRPr="00AC41CC">
        <w:t xml:space="preserve">głównie z rygorystycznych kryteriów finansowych (m.in. niski limit kosztów na utworzenie i funkcjonowanie miejsc usługowych), które utrudniały pełną realizację projektów obejmujących zarówno inwestycje, jak i świadczenie usług. Dodatkowym ograniczeniem </w:t>
      </w:r>
      <w:r w:rsidR="004938E7" w:rsidRPr="004938E7">
        <w:t xml:space="preserve">było zastosowanie bardziej rygorystycznego podejścia do maksymalnej liczby osób w mieszkaniu. W programie, zgodnie z Wytycznymi EFS+, ustanowiono limit 3 osób w mieszkaniu, podczas gdy Rozporządzenie Ministra Rodziny i Polityki Społecznej dotyczące mieszkań treningowych i wspomaganych dopuszczało realizację wsparcia w mieszkaniach maksymalnie 6 osobowych. </w:t>
      </w:r>
    </w:p>
    <w:p w14:paraId="50EC71E7" w14:textId="2958B16B" w:rsidR="009A6B63" w:rsidRPr="00B960E7" w:rsidRDefault="00F30F37" w:rsidP="009A6B63">
      <w:r>
        <w:t>Zewnętrznym</w:t>
      </w:r>
      <w:r w:rsidR="009A6B63">
        <w:t xml:space="preserve"> czynnikiem obniżającym zainteresowanie aplikowaniem </w:t>
      </w:r>
      <w:r w:rsidR="009A6B63" w:rsidRPr="00B960E7">
        <w:t xml:space="preserve">jest </w:t>
      </w:r>
      <w:r>
        <w:t xml:space="preserve">także </w:t>
      </w:r>
      <w:r w:rsidR="009A6B63" w:rsidRPr="00B960E7">
        <w:t xml:space="preserve">konkurencja ze strony programów krajowych, takich jak Polski Ład czy KPO, które oferują prostsze procedury, szybszą ocenę wniosków, brak wymogu wkładu własnego i mniejsze obciążenia formalne. </w:t>
      </w:r>
    </w:p>
    <w:p w14:paraId="4051AF17" w14:textId="37A59C6C" w:rsidR="004D1F6E" w:rsidRPr="002B016C" w:rsidRDefault="005B59F6" w:rsidP="001F761E">
      <w:pPr>
        <w:rPr>
          <w:b/>
          <w:bCs/>
          <w:color w:val="640B68" w:themeColor="accent3" w:themeShade="BF"/>
        </w:rPr>
      </w:pPr>
      <w:r w:rsidRPr="002B016C">
        <w:rPr>
          <w:b/>
          <w:bCs/>
          <w:color w:val="640B68" w:themeColor="accent3" w:themeShade="BF"/>
        </w:rPr>
        <w:t>DZIAŁANIA WPŁYWAJĄCE NA POPRAWĘ ZAINTERESOWANIA APLIKOWANIEM O WSPARCIE</w:t>
      </w:r>
    </w:p>
    <w:p w14:paraId="779A6177" w14:textId="25739E36" w:rsidR="004C7E06" w:rsidRPr="003570E7" w:rsidRDefault="005B59F6" w:rsidP="001F761E">
      <w:pPr>
        <w:rPr>
          <w:color w:val="640B68" w:themeColor="accent3" w:themeShade="BF"/>
        </w:rPr>
      </w:pPr>
      <w:r w:rsidRPr="003570E7">
        <w:rPr>
          <w:color w:val="640B68" w:themeColor="accent3" w:themeShade="BF"/>
        </w:rPr>
        <w:t>Dotychczasowe działania naprawcze</w:t>
      </w:r>
      <w:r w:rsidR="000F28CE" w:rsidRPr="000F28CE">
        <w:rPr>
          <w:color w:val="640B68" w:themeColor="accent3" w:themeShade="BF"/>
        </w:rPr>
        <w:t xml:space="preserve"> </w:t>
      </w:r>
    </w:p>
    <w:p w14:paraId="2C919189" w14:textId="77777777" w:rsidR="00721D66" w:rsidRPr="00B30E7E" w:rsidRDefault="00721D66" w:rsidP="00721D66">
      <w:r w:rsidRPr="00B30E7E">
        <w:t xml:space="preserve">IZ FEdKP 2021-2027 podejmowała działania, których celem miało być zwiększenie zainteresowania aplikowaniem i/lub ułatwienie tego procesu. Część z tych działań zostało wprowadzone od samego początku wdrażania Programu, w tym przede wszystkim: </w:t>
      </w:r>
    </w:p>
    <w:p w14:paraId="6788F881" w14:textId="77777777" w:rsidR="00721D66" w:rsidRPr="00B30E7E" w:rsidRDefault="00721D66" w:rsidP="00721D66">
      <w:pPr>
        <w:pStyle w:val="Akapitzlist"/>
        <w:numPr>
          <w:ilvl w:val="0"/>
          <w:numId w:val="39"/>
        </w:numPr>
        <w:spacing w:before="0" w:after="160" w:line="259" w:lineRule="auto"/>
      </w:pPr>
      <w:r w:rsidRPr="00B30E7E">
        <w:t>elastyczne brzmienie kryterium „Zgodność z właściwą strategią IIT dla OPPT” / „Zgodność z właściwą strategią ZIT” – dopuszczenie do aplikowania projektów partnerstw, których strategie terytorialne nie zostały jeszcze zatwierdzone;</w:t>
      </w:r>
    </w:p>
    <w:p w14:paraId="0CB24E80" w14:textId="516D49D7" w:rsidR="00721D66" w:rsidRPr="00B30E7E" w:rsidRDefault="00721D66" w:rsidP="00721D66">
      <w:pPr>
        <w:pStyle w:val="Akapitzlist"/>
        <w:numPr>
          <w:ilvl w:val="0"/>
          <w:numId w:val="39"/>
        </w:numPr>
        <w:spacing w:before="0" w:after="160" w:line="259" w:lineRule="auto"/>
      </w:pPr>
      <w:r w:rsidRPr="00B30E7E">
        <w:t>możliwość aktualizowania list projektów</w:t>
      </w:r>
      <w:r w:rsidRPr="00077CA0">
        <w:t xml:space="preserve"> w porozumieniach terytorialnych</w:t>
      </w:r>
      <w:r w:rsidRPr="00B30E7E">
        <w:t xml:space="preserve">, w tym fiszek projektowych </w:t>
      </w:r>
      <w:r w:rsidRPr="00077CA0">
        <w:t>stanowiących załącznik do porozumień, a dopiero w dalszej kolejności wymaganie aktualizacji strategii terytorialnych, które to stanowią warunek zawarcia umów o dofinansowanie projekt</w:t>
      </w:r>
      <w:r>
        <w:t>ów;</w:t>
      </w:r>
    </w:p>
    <w:p w14:paraId="2F7A2B9D" w14:textId="42A6929C" w:rsidR="00721D66" w:rsidRPr="00B30E7E" w:rsidRDefault="00721D66" w:rsidP="00721D66">
      <w:pPr>
        <w:pStyle w:val="Akapitzlist"/>
        <w:numPr>
          <w:ilvl w:val="0"/>
          <w:numId w:val="39"/>
        </w:numPr>
        <w:spacing w:before="0" w:after="160" w:line="259" w:lineRule="auto"/>
      </w:pPr>
      <w:r w:rsidRPr="00B30E7E">
        <w:t xml:space="preserve">możliwość </w:t>
      </w:r>
      <w:r w:rsidRPr="00077CA0">
        <w:t>uzyskania przez partnerstwa zgody od IZ na przesunięcie</w:t>
      </w:r>
      <w:r w:rsidRPr="00B30E7E">
        <w:t xml:space="preserve"> środków (alokacji) pomiędzy poszczególnymi celami szczegółowymi w ramach tego samego </w:t>
      </w:r>
      <w:r w:rsidRPr="00077CA0">
        <w:t>Celu Polityki</w:t>
      </w:r>
      <w:r w:rsidR="00565F90" w:rsidRPr="00077CA0">
        <w:t>.</w:t>
      </w:r>
    </w:p>
    <w:p w14:paraId="7CE7F8D4" w14:textId="77777777" w:rsidR="00721D66" w:rsidRPr="00B30E7E" w:rsidRDefault="00721D66" w:rsidP="00721D66">
      <w:r w:rsidRPr="00B30E7E">
        <w:t>Z kolei część działań stanowiło zmiany będące wynikiem identyfikowanych trudności we wdrażaniu. W tym przypadku można wskazać:</w:t>
      </w:r>
    </w:p>
    <w:p w14:paraId="6A41D234" w14:textId="354446BD" w:rsidR="00721D66" w:rsidRPr="00B30E7E" w:rsidRDefault="00721D66" w:rsidP="00721D66">
      <w:pPr>
        <w:pStyle w:val="Akapitzlist"/>
        <w:numPr>
          <w:ilvl w:val="0"/>
          <w:numId w:val="39"/>
        </w:numPr>
        <w:spacing w:before="0" w:after="160" w:line="259" w:lineRule="auto"/>
      </w:pPr>
      <w:r w:rsidRPr="00B30E7E">
        <w:t>spotkania i konsultacje pracowników IZ z przedstawicielami partnerstw – zarówno przed, jak i po uruchomieniu naborów w ramach polityki terytorialnej. Ich celem było wyjaśnianie ewentualnych wątpliwości, identyfikowanie problemów i możliwych usprawnień/ zmian;</w:t>
      </w:r>
    </w:p>
    <w:p w14:paraId="1493AE83" w14:textId="77777777" w:rsidR="00565F90" w:rsidRPr="00B30E7E" w:rsidRDefault="00565F90" w:rsidP="00565F90">
      <w:pPr>
        <w:pStyle w:val="Akapitzlist"/>
        <w:numPr>
          <w:ilvl w:val="0"/>
          <w:numId w:val="39"/>
        </w:numPr>
        <w:spacing w:before="0" w:after="160" w:line="259" w:lineRule="auto"/>
      </w:pPr>
      <w:r w:rsidRPr="00B30E7E">
        <w:t>odstąpienie od zasady „maksymalnie 2 naborów na 1 obszar tematyczny”</w:t>
      </w:r>
      <w:r>
        <w:t xml:space="preserve"> </w:t>
      </w:r>
      <w:r>
        <w:rPr>
          <w:rFonts w:asciiTheme="minorHAnsi" w:hAnsiTheme="minorHAnsi" w:cstheme="minorHAnsi"/>
          <w:szCs w:val="24"/>
        </w:rPr>
        <w:t>(zastąpienie naborów tzw. ciągłych naborami krótkimi/ celowanymi), co miało poprawić efektywność wdrażania</w:t>
      </w:r>
      <w:r w:rsidRPr="00B30E7E">
        <w:t>.</w:t>
      </w:r>
    </w:p>
    <w:p w14:paraId="2A030D27" w14:textId="2AB73F5D" w:rsidR="005B59F6" w:rsidRPr="003570E7" w:rsidRDefault="002B016C" w:rsidP="00793654">
      <w:pPr>
        <w:keepNext/>
        <w:rPr>
          <w:color w:val="640B68" w:themeColor="accent3" w:themeShade="BF"/>
        </w:rPr>
      </w:pPr>
      <w:r w:rsidRPr="003570E7">
        <w:rPr>
          <w:color w:val="640B68" w:themeColor="accent3" w:themeShade="BF"/>
        </w:rPr>
        <w:lastRenderedPageBreak/>
        <w:t>Propozycje działań i zmian na przyszłość</w:t>
      </w:r>
      <w:r w:rsidR="00DD2A67">
        <w:rPr>
          <w:color w:val="640B68" w:themeColor="accent3" w:themeShade="BF"/>
        </w:rPr>
        <w:t xml:space="preserve"> </w:t>
      </w:r>
    </w:p>
    <w:p w14:paraId="0898046E" w14:textId="6293CE85" w:rsidR="00352F0B" w:rsidRDefault="00352F0B" w:rsidP="001F761E">
      <w:r w:rsidRPr="00007B9E">
        <w:rPr>
          <w:b/>
          <w:bCs/>
        </w:rPr>
        <w:t>Polityka terytorialna</w:t>
      </w:r>
    </w:p>
    <w:p w14:paraId="707A3AD2" w14:textId="0D981031" w:rsidR="00007B9E" w:rsidRDefault="00007B9E" w:rsidP="0041085A">
      <w:r>
        <w:t>Proponując zmiany w polityce terytorialnej, które mogłyby zwiększyć skuteczność mieliśmy na uwadze fakt, że zgodnie z założeniami polityki terytorialnej w województwie, wszystkie nabory powinny być zakończone do sierpnia 2025</w:t>
      </w:r>
      <w:r w:rsidR="00DC4648">
        <w:t xml:space="preserve"> </w:t>
      </w:r>
      <w:r>
        <w:t xml:space="preserve">r. Oznaczałoby to, że w tej perspektywie nie będzie już ogłaszanych naborów w ramach polityki terytorialnej – ewentualne decyzje w tym zakresie będą </w:t>
      </w:r>
      <w:r w:rsidR="00AE4ECF">
        <w:t xml:space="preserve">jednak </w:t>
      </w:r>
      <w:r>
        <w:t xml:space="preserve">podejmowane dopiero po </w:t>
      </w:r>
      <w:r w:rsidR="00AE4ECF">
        <w:t>analizie skuteczności</w:t>
      </w:r>
      <w:r>
        <w:t xml:space="preserve"> wszystkich naborów </w:t>
      </w:r>
      <w:r w:rsidR="00AE4ECF">
        <w:t>prowadzonych do sierpnia br</w:t>
      </w:r>
      <w:r>
        <w:t xml:space="preserve">. </w:t>
      </w:r>
    </w:p>
    <w:p w14:paraId="651AA9F4" w14:textId="77777777" w:rsidR="00007B9E" w:rsidRDefault="00007B9E" w:rsidP="0041085A">
      <w:r>
        <w:t>W odniesieniu do kolejnej perspektywy finansowej proponujemy przede wszystkim:</w:t>
      </w:r>
    </w:p>
    <w:p w14:paraId="4AF6D4F3" w14:textId="7A9728E0" w:rsidR="00007B9E" w:rsidRDefault="008876D3" w:rsidP="00007B9E">
      <w:pPr>
        <w:pStyle w:val="Akapitzlist"/>
        <w:numPr>
          <w:ilvl w:val="0"/>
          <w:numId w:val="42"/>
        </w:numPr>
      </w:pPr>
      <w:r>
        <w:t>W</w:t>
      </w:r>
      <w:r w:rsidR="00007B9E" w:rsidRPr="009A5359">
        <w:t>yłączenie</w:t>
      </w:r>
      <w:r w:rsidR="00007B9E">
        <w:t xml:space="preserve"> </w:t>
      </w:r>
      <w:r w:rsidR="00007B9E" w:rsidRPr="009A5359">
        <w:t>wsparcia dotyczącego rozwoju przedsiębiorczości / infrastruktury biznesowej z polityki terytorialnej</w:t>
      </w:r>
      <w:r w:rsidR="00007B9E">
        <w:t>.</w:t>
      </w:r>
    </w:p>
    <w:p w14:paraId="681D60A0" w14:textId="4B0B03F0" w:rsidR="00AE4ECF" w:rsidRDefault="00AE4ECF" w:rsidP="00AE4ECF">
      <w:pPr>
        <w:pStyle w:val="Akapitzlist"/>
        <w:numPr>
          <w:ilvl w:val="0"/>
          <w:numId w:val="42"/>
        </w:numPr>
      </w:pPr>
      <w:r>
        <w:t>Wprowadzenie rozwiązań (np. kryteriów punktowych pozwalających tworzyć listy rankingowe), które wzmocnią „konkurowanie” wnioskodawców w polityce terytorialnej, a tym samym zmotywują ich zarówno do szybszego przygotowywania fiszek projektowych, jak i do sprawnego aplikowania. Sprawne przygotowanie i zatwierdzenie list fiszek projektowych pozwoli także na szybsze zawieranie/ zatwierdzanie stosownych dokumentów/ strategii niezbędnych w procesie aplikowania.</w:t>
      </w:r>
    </w:p>
    <w:p w14:paraId="4A10C38C" w14:textId="2180D0A6" w:rsidR="00AE4ECF" w:rsidRDefault="00AE4ECF" w:rsidP="00AE4ECF">
      <w:pPr>
        <w:pStyle w:val="Akapitzlist"/>
        <w:numPr>
          <w:ilvl w:val="0"/>
          <w:numId w:val="42"/>
        </w:numPr>
      </w:pPr>
      <w:r>
        <w:t>Zwiększenie roli partnerstw (przede wszystkim ich liderów) w procesie weryfikowania i zatwierdzania fiszek projektowych / list przedsięwzięć do realizacji – przy jednoczesnym zmniejszeniu roli IZ FEdKP w tym procesie.</w:t>
      </w:r>
    </w:p>
    <w:p w14:paraId="002AC182" w14:textId="77777777" w:rsidR="00AE4ECF" w:rsidRDefault="00AE4ECF" w:rsidP="00AE4ECF">
      <w:pPr>
        <w:pStyle w:val="Akapitzlist"/>
        <w:numPr>
          <w:ilvl w:val="0"/>
          <w:numId w:val="42"/>
        </w:numPr>
      </w:pPr>
      <w:r>
        <w:t>P</w:t>
      </w:r>
      <w:r w:rsidRPr="002A2490">
        <w:t>rzeprowadz</w:t>
      </w:r>
      <w:r>
        <w:t>enie</w:t>
      </w:r>
      <w:r w:rsidRPr="002A2490">
        <w:t xml:space="preserve"> analiz</w:t>
      </w:r>
      <w:r>
        <w:t>y</w:t>
      </w:r>
      <w:r w:rsidRPr="002A2490">
        <w:t xml:space="preserve"> zasadności uwzględniania wykazu fiszek projektowych jako załącznika do porozumień terytorialnych. Alternatywnym rozwiązaniem mogłoby być zamieszczanie w </w:t>
      </w:r>
      <w:r>
        <w:t xml:space="preserve">takim </w:t>
      </w:r>
      <w:r w:rsidRPr="002A2490">
        <w:t>załączniku wyłącznie listy/ wykazu projektów z ich krótkim opisem oraz informacją o tym</w:t>
      </w:r>
      <w:r>
        <w:t>,</w:t>
      </w:r>
      <w:r w:rsidRPr="002A2490">
        <w:t xml:space="preserve"> jakie wskaźniki będą realizować</w:t>
      </w:r>
      <w:r>
        <w:t>.</w:t>
      </w:r>
    </w:p>
    <w:p w14:paraId="034E3E12" w14:textId="60E281CD" w:rsidR="00AE4ECF" w:rsidRDefault="00AE4ECF" w:rsidP="00AE4ECF">
      <w:pPr>
        <w:pStyle w:val="Akapitzlist"/>
        <w:numPr>
          <w:ilvl w:val="0"/>
          <w:numId w:val="42"/>
        </w:numPr>
      </w:pPr>
      <w:r>
        <w:t>W</w:t>
      </w:r>
      <w:r w:rsidRPr="00B56134">
        <w:t xml:space="preserve">prowadzenie </w:t>
      </w:r>
      <w:r w:rsidRPr="00B02FA8">
        <w:t>obowiąz</w:t>
      </w:r>
      <w:r>
        <w:t>ku</w:t>
      </w:r>
      <w:r w:rsidRPr="00B02FA8">
        <w:t xml:space="preserve"> stosowania przez partnerstwa kryterium „</w:t>
      </w:r>
      <w:r w:rsidRPr="00B56134">
        <w:t xml:space="preserve">gotowości </w:t>
      </w:r>
      <w:r>
        <w:t xml:space="preserve">technicznej/ </w:t>
      </w:r>
      <w:r w:rsidRPr="00B56134">
        <w:t>realizacyjnej</w:t>
      </w:r>
      <w:r>
        <w:t>”</w:t>
      </w:r>
      <w:r w:rsidRPr="00B56134">
        <w:t xml:space="preserve"> </w:t>
      </w:r>
      <w:r w:rsidRPr="00B02FA8">
        <w:t>już na etapie wczesnego identyfikowania projektów</w:t>
      </w:r>
      <w:r w:rsidRPr="00B56134">
        <w:t>.</w:t>
      </w:r>
    </w:p>
    <w:p w14:paraId="2716DF57" w14:textId="7E0E8650" w:rsidR="005B59F6" w:rsidRDefault="00EF0735" w:rsidP="001F761E">
      <w:r>
        <w:rPr>
          <w:b/>
          <w:bCs/>
        </w:rPr>
        <w:t>N</w:t>
      </w:r>
      <w:r w:rsidR="00352F0B" w:rsidRPr="00007B9E">
        <w:rPr>
          <w:b/>
          <w:bCs/>
        </w:rPr>
        <w:t>iekonkurencyjn</w:t>
      </w:r>
      <w:r>
        <w:rPr>
          <w:b/>
          <w:bCs/>
        </w:rPr>
        <w:t>y sposób wyboru projektów</w:t>
      </w:r>
    </w:p>
    <w:p w14:paraId="7C301834" w14:textId="0B82BEAB" w:rsidR="163BA3AB" w:rsidRDefault="000B51AC" w:rsidP="54182A3B">
      <w:pPr>
        <w:spacing w:line="288" w:lineRule="auto"/>
      </w:pPr>
      <w:r>
        <w:t xml:space="preserve">Zidentyfikowane </w:t>
      </w:r>
      <w:r w:rsidR="00602BDC">
        <w:t xml:space="preserve">trudności dotyczące </w:t>
      </w:r>
      <w:r w:rsidR="0004463A" w:rsidRPr="54182A3B">
        <w:t>niekonkurencyjnego</w:t>
      </w:r>
      <w:r w:rsidR="0004463A">
        <w:t xml:space="preserve"> sposobu wyboru projektów </w:t>
      </w:r>
      <w:r w:rsidR="00B32710">
        <w:t>wskazują na zasadność wprowadzenia</w:t>
      </w:r>
      <w:r w:rsidR="00B32710" w:rsidRPr="54182A3B">
        <w:t xml:space="preserve"> zmian</w:t>
      </w:r>
      <w:r w:rsidR="00B32710">
        <w:t>, które powinny dotyczyć</w:t>
      </w:r>
      <w:r w:rsidR="0BDFEF5B">
        <w:t>:</w:t>
      </w:r>
    </w:p>
    <w:p w14:paraId="3DF3CC8E" w14:textId="53FC562E" w:rsidR="00AB2124" w:rsidRPr="00007B9E" w:rsidRDefault="00CA3F9B" w:rsidP="00007B9E">
      <w:pPr>
        <w:pStyle w:val="Akapitzlist"/>
        <w:numPr>
          <w:ilvl w:val="0"/>
          <w:numId w:val="42"/>
        </w:numPr>
      </w:pPr>
      <w:r>
        <w:t xml:space="preserve">Analizy zasadności </w:t>
      </w:r>
      <w:r w:rsidRPr="006F1DA3">
        <w:t>wprowadzeni</w:t>
      </w:r>
      <w:r>
        <w:t>a</w:t>
      </w:r>
      <w:r w:rsidRPr="006F1DA3">
        <w:t xml:space="preserve"> możliwości dwukrotnej poprawy błędów na</w:t>
      </w:r>
      <w:r>
        <w:t xml:space="preserve"> </w:t>
      </w:r>
      <w:r w:rsidRPr="006F1DA3">
        <w:t>etapie oceny projektów niekonkurencyjnych</w:t>
      </w:r>
      <w:r>
        <w:t>.</w:t>
      </w:r>
    </w:p>
    <w:p w14:paraId="4CCC3382" w14:textId="18B8B9F9" w:rsidR="54182A3B" w:rsidRPr="00007B9E" w:rsidRDefault="002C06BB" w:rsidP="009012B4">
      <w:pPr>
        <w:pStyle w:val="Akapitzlist"/>
        <w:numPr>
          <w:ilvl w:val="0"/>
          <w:numId w:val="42"/>
        </w:numPr>
      </w:pPr>
      <w:r>
        <w:t xml:space="preserve">Zapewnienia </w:t>
      </w:r>
      <w:r w:rsidR="002432AE">
        <w:t xml:space="preserve">pracownikom </w:t>
      </w:r>
      <w:r w:rsidR="000947D6" w:rsidRPr="54182A3B">
        <w:t xml:space="preserve">departamentów zaangażowanych w </w:t>
      </w:r>
      <w:r w:rsidR="000947D6">
        <w:t>realizację</w:t>
      </w:r>
      <w:r w:rsidR="000947D6" w:rsidRPr="54182A3B">
        <w:t xml:space="preserve"> projektów</w:t>
      </w:r>
      <w:r w:rsidR="000947D6">
        <w:t xml:space="preserve"> niekonkurencyjnych (</w:t>
      </w:r>
      <w:r w:rsidR="009335FD">
        <w:t xml:space="preserve">wnioskodawcy/ </w:t>
      </w:r>
      <w:r w:rsidR="000947D6">
        <w:t>beneficjenci Programu)</w:t>
      </w:r>
      <w:r w:rsidR="000947D6" w:rsidRPr="54182A3B">
        <w:t>, których stanowiska nie są finansowane z Pomocy Technicznej</w:t>
      </w:r>
      <w:r w:rsidR="002432AE">
        <w:t>, do</w:t>
      </w:r>
      <w:r w:rsidR="00D8555C">
        <w:t>stępu do odpowiednich szkoleń</w:t>
      </w:r>
      <w:r w:rsidR="00FC038B">
        <w:t>.</w:t>
      </w:r>
      <w:r w:rsidR="00C47FCD">
        <w:t xml:space="preserve"> </w:t>
      </w:r>
      <w:r w:rsidR="00D8555C">
        <w:t>Ich z</w:t>
      </w:r>
      <w:r w:rsidR="00C47FCD">
        <w:t xml:space="preserve">akres tematyczny powinien być adekwatny do specyfiki </w:t>
      </w:r>
      <w:r w:rsidR="009A55F6">
        <w:t xml:space="preserve">wykonywanych </w:t>
      </w:r>
      <w:r w:rsidR="00C47FCD">
        <w:t>zadań</w:t>
      </w:r>
      <w:r w:rsidR="009F3DA3">
        <w:t xml:space="preserve"> związanych z przygotowaniem i realizacją projektów</w:t>
      </w:r>
      <w:r w:rsidR="009A55F6">
        <w:t>.</w:t>
      </w:r>
      <w:r w:rsidR="00FC038B">
        <w:t xml:space="preserve"> Szkolenia takie </w:t>
      </w:r>
      <w:r w:rsidR="00905A1F">
        <w:t>mogły</w:t>
      </w:r>
      <w:r w:rsidR="00905A1F" w:rsidRPr="005453D6">
        <w:t>by</w:t>
      </w:r>
      <w:r w:rsidR="00905A1F">
        <w:t xml:space="preserve"> być</w:t>
      </w:r>
      <w:r w:rsidR="00905A1F" w:rsidRPr="005453D6">
        <w:t xml:space="preserve"> </w:t>
      </w:r>
      <w:r w:rsidR="005453D6" w:rsidRPr="005453D6">
        <w:t>organizowane ze środków UMWKP</w:t>
      </w:r>
      <w:r w:rsidR="00905A1F">
        <w:t xml:space="preserve">; </w:t>
      </w:r>
      <w:r w:rsidR="00905A1F">
        <w:lastRenderedPageBreak/>
        <w:t>innym rozwiązaniem byłoby</w:t>
      </w:r>
      <w:r w:rsidR="005453D6" w:rsidRPr="005453D6">
        <w:t xml:space="preserve"> uwzględnienie</w:t>
      </w:r>
      <w:r w:rsidR="00FC038B">
        <w:t xml:space="preserve"> tych</w:t>
      </w:r>
      <w:r w:rsidR="005453D6" w:rsidRPr="005453D6">
        <w:t xml:space="preserve"> </w:t>
      </w:r>
      <w:r w:rsidR="00FC038B">
        <w:t>pracowników</w:t>
      </w:r>
      <w:r w:rsidR="005453D6" w:rsidRPr="005453D6">
        <w:t xml:space="preserve"> wśród odbiorców szkoleń kierowanych d</w:t>
      </w:r>
      <w:r w:rsidR="008876D3">
        <w:t>o</w:t>
      </w:r>
      <w:r w:rsidR="005453D6" w:rsidRPr="005453D6">
        <w:t xml:space="preserve"> beneficjentów</w:t>
      </w:r>
      <w:r w:rsidR="7FB776E1" w:rsidRPr="00007B9E">
        <w:t>.</w:t>
      </w:r>
    </w:p>
    <w:p w14:paraId="20CFC87A" w14:textId="2972A4AB" w:rsidR="00352F0B" w:rsidRPr="00007B9E" w:rsidRDefault="00007B9E" w:rsidP="001F761E">
      <w:pPr>
        <w:rPr>
          <w:b/>
          <w:bCs/>
        </w:rPr>
      </w:pPr>
      <w:r w:rsidRPr="00007B9E">
        <w:rPr>
          <w:b/>
          <w:bCs/>
        </w:rPr>
        <w:t>Pozostałe propozycje zmian i usprawnień</w:t>
      </w:r>
    </w:p>
    <w:p w14:paraId="11CC440A" w14:textId="77777777" w:rsidR="0013102D" w:rsidRDefault="0013102D" w:rsidP="001F761E">
      <w:r w:rsidRPr="00007B9E">
        <w:t>W obszarze systemu wdrażania Programu w celu zwiększenia skuteczności naborów rekomenduje</w:t>
      </w:r>
      <w:r w:rsidRPr="0013102D">
        <w:t xml:space="preserve"> się: </w:t>
      </w:r>
    </w:p>
    <w:p w14:paraId="0D97B7E6" w14:textId="0EC2983B" w:rsidR="0013102D" w:rsidRDefault="0013102D" w:rsidP="00103D76">
      <w:pPr>
        <w:pStyle w:val="Akapitzlist"/>
        <w:numPr>
          <w:ilvl w:val="0"/>
          <w:numId w:val="32"/>
        </w:numPr>
      </w:pPr>
      <w:r w:rsidRPr="0013102D">
        <w:t xml:space="preserve">wprowadzenie </w:t>
      </w:r>
      <w:r w:rsidR="00402C31">
        <w:t>w jeszcze większym stopniu</w:t>
      </w:r>
      <w:r w:rsidR="00402C31" w:rsidRPr="0013102D">
        <w:t xml:space="preserve"> </w:t>
      </w:r>
      <w:r w:rsidRPr="0013102D">
        <w:t xml:space="preserve">proaktywnych i zróżnicowanych kanałów komunikacji z potencjalnymi </w:t>
      </w:r>
      <w:r w:rsidRPr="00577121">
        <w:t>wnioskodawcami</w:t>
      </w:r>
      <w:r w:rsidR="00901CE9">
        <w:t xml:space="preserve"> (</w:t>
      </w:r>
      <w:r w:rsidR="00901CE9" w:rsidRPr="00901CE9">
        <w:t xml:space="preserve">newslettery, powiadomienia SMS, </w:t>
      </w:r>
      <w:r w:rsidR="00901CE9">
        <w:t xml:space="preserve">bezpośredni mailing, </w:t>
      </w:r>
      <w:r w:rsidR="00901CE9" w:rsidRPr="00901CE9">
        <w:t>listy mailingowe tworzone w oparciu o dane z poprzednich naborów</w:t>
      </w:r>
      <w:r w:rsidR="00901CE9">
        <w:t>)</w:t>
      </w:r>
      <w:r w:rsidR="00A67652">
        <w:t>,</w:t>
      </w:r>
      <w:r w:rsidRPr="0013102D">
        <w:t xml:space="preserve"> </w:t>
      </w:r>
    </w:p>
    <w:p w14:paraId="35B7B0F4" w14:textId="29A5935E" w:rsidR="0013102D" w:rsidRDefault="0013102D" w:rsidP="00103D76">
      <w:pPr>
        <w:pStyle w:val="Akapitzlist"/>
        <w:numPr>
          <w:ilvl w:val="0"/>
          <w:numId w:val="32"/>
        </w:numPr>
      </w:pPr>
      <w:r w:rsidRPr="0013102D">
        <w:t xml:space="preserve">czytelne oznaczanie zmian w regulaminach </w:t>
      </w:r>
      <w:r w:rsidRPr="00577121">
        <w:t>naborów</w:t>
      </w:r>
      <w:r w:rsidR="00664AC3">
        <w:t xml:space="preserve"> oraz załącznikach</w:t>
      </w:r>
      <w:r w:rsidR="008876D3">
        <w:t>,</w:t>
      </w:r>
      <w:r w:rsidRPr="0013102D">
        <w:t xml:space="preserve"> </w:t>
      </w:r>
      <w:r w:rsidR="00402C31">
        <w:t>poprzez umieszczanie plików z widocznymi zmianami, a nie jedynie op</w:t>
      </w:r>
      <w:r w:rsidR="00846EED">
        <w:t>isywanie zmian w komunikatach,</w:t>
      </w:r>
    </w:p>
    <w:p w14:paraId="6C4E2E79" w14:textId="5A56B785" w:rsidR="0013102D" w:rsidRDefault="0013102D" w:rsidP="00103D76">
      <w:pPr>
        <w:pStyle w:val="Akapitzlist"/>
        <w:numPr>
          <w:ilvl w:val="0"/>
          <w:numId w:val="32"/>
        </w:numPr>
      </w:pPr>
      <w:r w:rsidRPr="0013102D">
        <w:t xml:space="preserve">usprawnienie procesu </w:t>
      </w:r>
      <w:r w:rsidR="00664AC3">
        <w:t xml:space="preserve">tworzenia odpowiedzi na pytania wnioskodawców oraz </w:t>
      </w:r>
      <w:r w:rsidRPr="0013102D">
        <w:t>publikacji Q&amp;A</w:t>
      </w:r>
      <w:r w:rsidR="00664AC3">
        <w:t>, a także</w:t>
      </w:r>
      <w:r w:rsidRPr="0013102D">
        <w:t xml:space="preserve"> stworzenie repozytorium pytań i </w:t>
      </w:r>
      <w:r w:rsidRPr="00577121">
        <w:t>odpowiedzi</w:t>
      </w:r>
      <w:r w:rsidR="008876D3">
        <w:t>,</w:t>
      </w:r>
    </w:p>
    <w:p w14:paraId="48124D7A" w14:textId="7BB0F6D6" w:rsidR="000E333E" w:rsidRDefault="000232EF" w:rsidP="00103D76">
      <w:pPr>
        <w:pStyle w:val="Akapitzlist"/>
        <w:numPr>
          <w:ilvl w:val="0"/>
          <w:numId w:val="32"/>
        </w:numPr>
      </w:pPr>
      <w:r>
        <w:t>lepsze planowanie</w:t>
      </w:r>
      <w:r w:rsidR="000E333E" w:rsidRPr="000E333E">
        <w:t xml:space="preserve"> nabor</w:t>
      </w:r>
      <w:r>
        <w:t>ów</w:t>
      </w:r>
      <w:r w:rsidR="000E333E" w:rsidRPr="000E333E">
        <w:t xml:space="preserve"> w czasie, unikając ich kumulacji – w małych JST kilka równoległych konkursów przeciąża kadry i zmusza do rezygnacji z części aplikacji</w:t>
      </w:r>
      <w:r>
        <w:t>,</w:t>
      </w:r>
    </w:p>
    <w:p w14:paraId="69DDE0BE" w14:textId="03D8EA84" w:rsidR="001311B9" w:rsidRDefault="001311B9" w:rsidP="00103D76">
      <w:pPr>
        <w:pStyle w:val="Akapitzlist"/>
        <w:numPr>
          <w:ilvl w:val="0"/>
          <w:numId w:val="32"/>
        </w:numPr>
      </w:pPr>
      <w:r w:rsidRPr="001311B9">
        <w:t>uzupełni</w:t>
      </w:r>
      <w:r>
        <w:t xml:space="preserve">enie </w:t>
      </w:r>
      <w:r w:rsidRPr="001311B9">
        <w:t>instrukc</w:t>
      </w:r>
      <w:r>
        <w:t>ji</w:t>
      </w:r>
      <w:r w:rsidRPr="001311B9">
        <w:t xml:space="preserve"> wypełniania wniosku</w:t>
      </w:r>
      <w:r>
        <w:t xml:space="preserve"> EFRR oraz EFS+</w:t>
      </w:r>
      <w:r w:rsidRPr="001311B9">
        <w:t xml:space="preserve"> o elementy merytoryczne</w:t>
      </w:r>
      <w:r>
        <w:t xml:space="preserve"> – postulat na kolejną perspektywę finansową,</w:t>
      </w:r>
      <w:r w:rsidRPr="001311B9" w:rsidDel="004B1997">
        <w:t xml:space="preserve"> </w:t>
      </w:r>
    </w:p>
    <w:p w14:paraId="323F4127" w14:textId="664C098A" w:rsidR="0013102D" w:rsidRDefault="0013102D" w:rsidP="00103D76">
      <w:pPr>
        <w:pStyle w:val="Akapitzlist"/>
        <w:numPr>
          <w:ilvl w:val="0"/>
          <w:numId w:val="32"/>
        </w:numPr>
      </w:pPr>
      <w:r w:rsidRPr="0013102D">
        <w:t xml:space="preserve">rozbudowanie merytorycznej części instrukcji wypełniania wniosku z </w:t>
      </w:r>
      <w:r w:rsidRPr="00577121">
        <w:t>przykładami</w:t>
      </w:r>
      <w:r w:rsidR="008876D3">
        <w:t xml:space="preserve">, </w:t>
      </w:r>
      <w:r w:rsidRPr="0013102D">
        <w:t xml:space="preserve">publikowanie instrukcji w formacie </w:t>
      </w:r>
      <w:r w:rsidRPr="00577121">
        <w:t>edytowalnym</w:t>
      </w:r>
      <w:r w:rsidR="008876D3">
        <w:t>,</w:t>
      </w:r>
    </w:p>
    <w:p w14:paraId="5CE27494" w14:textId="77777777" w:rsidR="001311B9" w:rsidRDefault="001311B9" w:rsidP="001311B9">
      <w:pPr>
        <w:pStyle w:val="Akapitzlist"/>
        <w:numPr>
          <w:ilvl w:val="0"/>
          <w:numId w:val="32"/>
        </w:numPr>
      </w:pPr>
      <w:r w:rsidRPr="0013102D">
        <w:t>przeniesienie niewykorzystanej alokacji z wychowania przedszkolnego na edukację ogólną i zawodową</w:t>
      </w:r>
      <w:r>
        <w:t>,</w:t>
      </w:r>
    </w:p>
    <w:p w14:paraId="42F40F8C" w14:textId="4222D334" w:rsidR="00302545" w:rsidRPr="00007B9E" w:rsidRDefault="0013102D" w:rsidP="001F761E">
      <w:pPr>
        <w:pStyle w:val="Akapitzlist"/>
        <w:numPr>
          <w:ilvl w:val="0"/>
          <w:numId w:val="32"/>
        </w:numPr>
      </w:pPr>
      <w:r w:rsidRPr="0013102D">
        <w:t>zmianę warunków wsparcia w Działaniu 8.24 poprzez podniesienie limitów finansowych.</w:t>
      </w:r>
    </w:p>
    <w:p w14:paraId="51254A9A" w14:textId="77777777" w:rsidR="00007B9E" w:rsidRDefault="00007B9E">
      <w:pPr>
        <w:spacing w:line="264" w:lineRule="auto"/>
        <w:rPr>
          <w:b/>
          <w:bCs/>
        </w:rPr>
      </w:pPr>
      <w:r>
        <w:rPr>
          <w:b/>
          <w:bCs/>
        </w:rPr>
        <w:br w:type="page"/>
      </w:r>
    </w:p>
    <w:p w14:paraId="0AD2AD27" w14:textId="0FC69A97" w:rsidR="00281E9D" w:rsidRPr="00077CA0" w:rsidRDefault="00281E9D" w:rsidP="001F761E">
      <w:pPr>
        <w:rPr>
          <w:b/>
          <w:lang w:val="en-GB"/>
        </w:rPr>
      </w:pPr>
      <w:r w:rsidRPr="00077CA0">
        <w:rPr>
          <w:b/>
          <w:lang w:val="en-GB"/>
        </w:rPr>
        <w:lastRenderedPageBreak/>
        <w:t>Summary</w:t>
      </w:r>
    </w:p>
    <w:p w14:paraId="6AEDCF75" w14:textId="77777777" w:rsidR="002A7511" w:rsidRPr="00850284" w:rsidRDefault="002A7511" w:rsidP="002A7511">
      <w:pPr>
        <w:rPr>
          <w:rFonts w:cs="Tahoma"/>
          <w:lang w:val="en-US"/>
        </w:rPr>
      </w:pPr>
      <w:r w:rsidRPr="00850284">
        <w:rPr>
          <w:rFonts w:eastAsia="Aptos Bold" w:cs="Tahoma"/>
          <w:b/>
          <w:bCs/>
          <w:color w:val="640B68"/>
          <w:lang w:val="en-US"/>
        </w:rPr>
        <w:t>RESEARCH OBJECTIVES AND METHODOLOGY</w:t>
      </w:r>
      <w:r w:rsidRPr="00850284">
        <w:rPr>
          <w:rFonts w:eastAsia="Arimo" w:cs="Tahoma"/>
          <w:color w:val="000000"/>
          <w:lang w:val="en-US"/>
        </w:rPr>
        <w:t xml:space="preserve"> </w:t>
      </w:r>
    </w:p>
    <w:p w14:paraId="403CB81C" w14:textId="77777777" w:rsidR="002A7511" w:rsidRDefault="002A7511" w:rsidP="002A7511">
      <w:pPr>
        <w:rPr>
          <w:rFonts w:eastAsia="Aptos" w:cs="Tahoma"/>
          <w:color w:val="000000"/>
          <w:lang w:val="en-US"/>
        </w:rPr>
      </w:pPr>
      <w:r w:rsidRPr="00850284">
        <w:rPr>
          <w:rFonts w:eastAsia="Aptos" w:cs="Tahoma"/>
          <w:color w:val="000000"/>
          <w:lang w:val="en-US"/>
        </w:rPr>
        <w:t xml:space="preserve">The study was conducted between April and September 2025. It covered the period from the approval of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2027 Program (hereinafter: the Program), i.e. from December 7, 2022, to March 31, 2025 (the deadline for generating data from the Information System for projects under the 2014</w:t>
      </w:r>
      <w:r>
        <w:rPr>
          <w:rFonts w:eastAsia="Aptos" w:cs="Tahoma"/>
          <w:color w:val="000000"/>
          <w:lang w:val="en-US"/>
        </w:rPr>
        <w:t>-</w:t>
      </w:r>
      <w:r w:rsidRPr="00850284">
        <w:rPr>
          <w:rFonts w:eastAsia="Aptos" w:cs="Tahoma"/>
          <w:color w:val="000000"/>
          <w:lang w:val="en-US"/>
        </w:rPr>
        <w:t>2020 financial perspective and the Central Telecommunications System 2021).</w:t>
      </w:r>
    </w:p>
    <w:p w14:paraId="746FE6B5" w14:textId="77777777" w:rsidR="002A7511" w:rsidRPr="00850284" w:rsidRDefault="002A7511" w:rsidP="002A7511">
      <w:pPr>
        <w:rPr>
          <w:rFonts w:cs="Tahoma"/>
          <w:lang w:val="en-US"/>
        </w:rPr>
      </w:pPr>
      <w:r w:rsidRPr="00850284">
        <w:rPr>
          <w:rFonts w:eastAsia="Aptos Bold" w:cs="Tahoma"/>
          <w:b/>
          <w:bCs/>
          <w:color w:val="000000"/>
          <w:lang w:val="en-US"/>
        </w:rPr>
        <w:t xml:space="preserve">The aim of the study </w:t>
      </w:r>
      <w:r w:rsidRPr="00850284">
        <w:rPr>
          <w:rFonts w:eastAsia="Aptos" w:cs="Tahoma"/>
          <w:color w:val="000000"/>
          <w:lang w:val="en-US"/>
        </w:rPr>
        <w:t>was to identify the reasons for the low interest in applying for support under selected calls for proposals under the Program and to propose remedial measures to avoid similar situations in the future.</w:t>
      </w:r>
      <w:r w:rsidRPr="00850284">
        <w:rPr>
          <w:rFonts w:eastAsia="Arimo" w:cs="Tahoma"/>
          <w:color w:val="000000"/>
          <w:lang w:val="en-US"/>
        </w:rPr>
        <w:t xml:space="preserve"> </w:t>
      </w:r>
    </w:p>
    <w:p w14:paraId="03F2941C" w14:textId="77777777" w:rsidR="002A7511" w:rsidRPr="00850284" w:rsidRDefault="002A7511" w:rsidP="002A7511">
      <w:pPr>
        <w:spacing w:line="257" w:lineRule="auto"/>
        <w:rPr>
          <w:rFonts w:cs="Tahoma"/>
          <w:lang w:val="en-US"/>
        </w:rPr>
      </w:pPr>
      <w:r w:rsidRPr="00850284">
        <w:rPr>
          <w:rFonts w:eastAsia="Aptos Bold" w:cs="Tahoma"/>
          <w:b/>
          <w:bCs/>
          <w:color w:val="000000"/>
          <w:lang w:val="en-US"/>
        </w:rPr>
        <w:t>The following research methods were used</w:t>
      </w:r>
      <w:r w:rsidRPr="00850284">
        <w:rPr>
          <w:rFonts w:eastAsia="Aptos" w:cs="Tahoma"/>
          <w:color w:val="000000"/>
          <w:lang w:val="en-US"/>
        </w:rPr>
        <w:t xml:space="preserve"> in the study:</w:t>
      </w:r>
      <w:r w:rsidRPr="00850284">
        <w:rPr>
          <w:rFonts w:eastAsia="Arimo" w:cs="Tahoma"/>
          <w:color w:val="000000"/>
          <w:lang w:val="en-US"/>
        </w:rPr>
        <w:t xml:space="preserve"> </w:t>
      </w:r>
    </w:p>
    <w:p w14:paraId="0C28AE72" w14:textId="77777777" w:rsidR="002A7511" w:rsidRPr="00850284" w:rsidRDefault="002A7511" w:rsidP="002A7511">
      <w:pPr>
        <w:numPr>
          <w:ilvl w:val="0"/>
          <w:numId w:val="68"/>
        </w:numPr>
        <w:spacing w:before="0" w:after="0" w:line="257" w:lineRule="auto"/>
        <w:rPr>
          <w:rFonts w:cs="Tahoma"/>
          <w:lang w:val="en-US"/>
        </w:rPr>
      </w:pPr>
      <w:r w:rsidRPr="00850284">
        <w:rPr>
          <w:rFonts w:eastAsia="Aptos" w:cs="Tahoma"/>
          <w:color w:val="000000"/>
          <w:lang w:val="en-US"/>
        </w:rPr>
        <w:t>Analysis of existing data (program and strategic documents, documents concerning territorial policy, documents concerning the institutional system, procedures and tasks, and documents specifying the conditions for the implementation of support, documentation concerning calls for proposals, data from IT systems (Information System for projects under the 2014</w:t>
      </w:r>
      <w:r>
        <w:rPr>
          <w:rFonts w:eastAsia="Aptos" w:cs="Tahoma"/>
          <w:color w:val="000000"/>
          <w:lang w:val="en-US"/>
        </w:rPr>
        <w:t>-</w:t>
      </w:r>
      <w:r w:rsidRPr="00850284">
        <w:rPr>
          <w:rFonts w:eastAsia="Aptos" w:cs="Tahoma"/>
          <w:color w:val="000000"/>
          <w:lang w:val="en-US"/>
        </w:rPr>
        <w:t>2020 financial perspective and the Central Telecommunications System 2021), results of other evaluation studies were analyzed);</w:t>
      </w:r>
      <w:r w:rsidRPr="00850284">
        <w:rPr>
          <w:rFonts w:eastAsia="Arimo" w:cs="Tahoma"/>
          <w:color w:val="000000"/>
          <w:lang w:val="en-US"/>
        </w:rPr>
        <w:t xml:space="preserve"> </w:t>
      </w:r>
    </w:p>
    <w:p w14:paraId="0FB90EB4" w14:textId="77777777" w:rsidR="002A7511" w:rsidRPr="00850284" w:rsidRDefault="002A7511" w:rsidP="002A7511">
      <w:pPr>
        <w:numPr>
          <w:ilvl w:val="0"/>
          <w:numId w:val="68"/>
        </w:numPr>
        <w:spacing w:before="0" w:after="0" w:line="257" w:lineRule="auto"/>
        <w:rPr>
          <w:rFonts w:cs="Tahoma"/>
        </w:rPr>
      </w:pPr>
      <w:r w:rsidRPr="00850284">
        <w:rPr>
          <w:rFonts w:eastAsia="Aptos" w:cs="Tahoma"/>
          <w:color w:val="000000"/>
        </w:rPr>
        <w:t>17 in-</w:t>
      </w:r>
      <w:proofErr w:type="spellStart"/>
      <w:r w:rsidRPr="00850284">
        <w:rPr>
          <w:rFonts w:eastAsia="Aptos" w:cs="Tahoma"/>
          <w:color w:val="000000"/>
        </w:rPr>
        <w:t>depth</w:t>
      </w:r>
      <w:proofErr w:type="spellEnd"/>
      <w:r w:rsidRPr="00850284">
        <w:rPr>
          <w:rFonts w:eastAsia="Aptos" w:cs="Tahoma"/>
          <w:color w:val="000000"/>
        </w:rPr>
        <w:t xml:space="preserve"> </w:t>
      </w:r>
      <w:proofErr w:type="spellStart"/>
      <w:r w:rsidRPr="00850284">
        <w:rPr>
          <w:rFonts w:eastAsia="Aptos" w:cs="Tahoma"/>
          <w:color w:val="000000"/>
        </w:rPr>
        <w:t>interviews</w:t>
      </w:r>
      <w:proofErr w:type="spellEnd"/>
      <w:r w:rsidRPr="00850284">
        <w:rPr>
          <w:rFonts w:eastAsia="Aptos" w:cs="Tahoma"/>
          <w:color w:val="000000"/>
        </w:rPr>
        <w:t xml:space="preserve">: </w:t>
      </w:r>
      <w:r w:rsidRPr="00850284">
        <w:rPr>
          <w:rFonts w:eastAsia="Arimo" w:cs="Tahoma"/>
          <w:color w:val="000000"/>
        </w:rPr>
        <w:t xml:space="preserve"> </w:t>
      </w:r>
    </w:p>
    <w:p w14:paraId="4975C736"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 xml:space="preserve">10 interviews with representatives of the Marshal's Office of the </w:t>
      </w:r>
      <w:proofErr w:type="spellStart"/>
      <w:r w:rsidRPr="00850284">
        <w:rPr>
          <w:rFonts w:eastAsia="Aptos" w:cs="Tahoma"/>
          <w:color w:val="000000"/>
          <w:lang w:val="en-US"/>
        </w:rPr>
        <w:t>Kuyavian</w:t>
      </w:r>
      <w:proofErr w:type="spellEnd"/>
      <w:r w:rsidRPr="00850284">
        <w:rPr>
          <w:rFonts w:eastAsia="Aptos" w:cs="Tahoma"/>
          <w:color w:val="000000"/>
          <w:lang w:val="en-US"/>
        </w:rPr>
        <w:t xml:space="preserve">-Pomeranian Voivodeship and Intermediary Institutions – Voivodeship </w:t>
      </w:r>
      <w:proofErr w:type="spellStart"/>
      <w:r w:rsidRPr="00850284">
        <w:rPr>
          <w:rFonts w:eastAsia="Aptos" w:cs="Tahoma"/>
          <w:color w:val="000000"/>
          <w:lang w:val="en-US"/>
        </w:rPr>
        <w:t>Labour</w:t>
      </w:r>
      <w:proofErr w:type="spellEnd"/>
      <w:r w:rsidRPr="00850284">
        <w:rPr>
          <w:rFonts w:eastAsia="Aptos" w:cs="Tahoma"/>
          <w:color w:val="000000"/>
          <w:lang w:val="en-US"/>
        </w:rPr>
        <w:t xml:space="preserve"> Office and Integrated Territorial Investments of the Bydgoszcz Functional Area – Territorial Instruments within the Intermediary Institution</w:t>
      </w:r>
      <w:r>
        <w:rPr>
          <w:rFonts w:eastAsia="Aptos" w:cs="Tahoma"/>
          <w:color w:val="000000"/>
          <w:lang w:val="en-US"/>
        </w:rPr>
        <w:t xml:space="preserve"> </w:t>
      </w:r>
      <w:r w:rsidRPr="00850284">
        <w:rPr>
          <w:rFonts w:eastAsia="Aptos" w:cs="Tahoma"/>
          <w:color w:val="000000"/>
          <w:lang w:val="en-US"/>
        </w:rPr>
        <w:t>– involved in the implementation of the Program;</w:t>
      </w:r>
    </w:p>
    <w:p w14:paraId="466848D2"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4 interviews with representatives of local government units creating and/or leading Integrated Territorial Investments / the Area of Conducting Territorial Policy, other than the City of Bydgoszcz;</w:t>
      </w:r>
    </w:p>
    <w:p w14:paraId="29BE70D7" w14:textId="77777777" w:rsidR="002A7511" w:rsidRPr="00850284" w:rsidRDefault="002A7511" w:rsidP="002A7511">
      <w:pPr>
        <w:numPr>
          <w:ilvl w:val="1"/>
          <w:numId w:val="68"/>
        </w:numPr>
        <w:spacing w:before="0" w:after="0" w:line="257" w:lineRule="auto"/>
        <w:rPr>
          <w:rFonts w:cs="Tahoma"/>
          <w:lang w:val="en-US"/>
        </w:rPr>
      </w:pPr>
      <w:r w:rsidRPr="00850284">
        <w:rPr>
          <w:rFonts w:eastAsia="Aptos" w:cs="Tahoma"/>
          <w:color w:val="000000"/>
          <w:lang w:val="en-US"/>
        </w:rPr>
        <w:t>3 interviews with applicants for non-competitive selection procedures;</w:t>
      </w:r>
      <w:r w:rsidRPr="00850284">
        <w:rPr>
          <w:rFonts w:eastAsia="Arimo" w:cs="Tahoma"/>
          <w:color w:val="000000"/>
          <w:lang w:val="en-US"/>
        </w:rPr>
        <w:t xml:space="preserve"> </w:t>
      </w:r>
    </w:p>
    <w:p w14:paraId="09FBA5B3" w14:textId="77777777" w:rsidR="002A7511" w:rsidRPr="00850284" w:rsidRDefault="002A7511" w:rsidP="002A7511">
      <w:pPr>
        <w:numPr>
          <w:ilvl w:val="0"/>
          <w:numId w:val="68"/>
        </w:numPr>
        <w:spacing w:before="0" w:after="0" w:line="257" w:lineRule="auto"/>
        <w:rPr>
          <w:rFonts w:cs="Tahoma"/>
          <w:lang w:val="en-US"/>
        </w:rPr>
      </w:pPr>
      <w:r w:rsidRPr="00850284">
        <w:rPr>
          <w:rFonts w:eastAsia="Aptos" w:cs="Tahoma"/>
          <w:color w:val="000000"/>
          <w:lang w:val="en-US"/>
        </w:rPr>
        <w:t xml:space="preserve">CAWI/CATI quantitative surveys with: </w:t>
      </w:r>
      <w:r w:rsidRPr="00850284">
        <w:rPr>
          <w:rFonts w:eastAsia="Arimo" w:cs="Tahoma"/>
          <w:color w:val="000000"/>
          <w:lang w:val="en-US"/>
        </w:rPr>
        <w:t xml:space="preserve"> </w:t>
      </w:r>
    </w:p>
    <w:p w14:paraId="16108358" w14:textId="77777777" w:rsidR="002A7511" w:rsidRPr="00B92BA2" w:rsidRDefault="002A7511" w:rsidP="002A7511">
      <w:pPr>
        <w:numPr>
          <w:ilvl w:val="1"/>
          <w:numId w:val="68"/>
        </w:numPr>
        <w:spacing w:before="0" w:after="0" w:line="257" w:lineRule="auto"/>
        <w:rPr>
          <w:rFonts w:cs="Tahoma"/>
          <w:lang w:val="en-US"/>
        </w:rPr>
      </w:pPr>
      <w:r w:rsidRPr="00850284">
        <w:rPr>
          <w:rFonts w:eastAsia="Aptos" w:cs="Tahoma"/>
          <w:color w:val="000000"/>
          <w:lang w:val="en-US"/>
        </w:rPr>
        <w:t xml:space="preserve">potential </w:t>
      </w:r>
      <w:r w:rsidRPr="00B92BA2">
        <w:rPr>
          <w:rFonts w:eastAsia="Aptos" w:cs="Tahoma"/>
          <w:color w:val="000000"/>
          <w:lang w:val="en-US"/>
        </w:rPr>
        <w:t xml:space="preserve">applicants who benefited from support under the Regional Operational Program of the </w:t>
      </w:r>
      <w:proofErr w:type="spellStart"/>
      <w:r w:rsidRPr="00B92BA2">
        <w:rPr>
          <w:rFonts w:eastAsia="Aptos" w:cs="Tahoma"/>
          <w:color w:val="000000"/>
          <w:lang w:val="en-US"/>
        </w:rPr>
        <w:t>Kuyavian</w:t>
      </w:r>
      <w:proofErr w:type="spellEnd"/>
      <w:r w:rsidRPr="00B92BA2">
        <w:rPr>
          <w:rFonts w:eastAsia="Aptos" w:cs="Tahoma"/>
          <w:color w:val="000000"/>
          <w:lang w:val="en-US"/>
        </w:rPr>
        <w:t>-Pomeranian Voivodeship 2014</w:t>
      </w:r>
      <w:r>
        <w:rPr>
          <w:rFonts w:eastAsia="Aptos" w:cs="Tahoma"/>
          <w:color w:val="000000"/>
          <w:lang w:val="en-US"/>
        </w:rPr>
        <w:t>-</w:t>
      </w:r>
      <w:r w:rsidRPr="00B92BA2">
        <w:rPr>
          <w:rFonts w:eastAsia="Aptos" w:cs="Tahoma"/>
          <w:color w:val="000000"/>
          <w:lang w:val="en-US"/>
        </w:rPr>
        <w:t>2020 and who might be interested in support under the Program, but did not apply at the time of the survey (208 completed surveys</w:t>
      </w:r>
      <w:r w:rsidRPr="00B92BA2">
        <w:rPr>
          <w:rStyle w:val="Odwoanieprzypisudolnego"/>
          <w:rFonts w:eastAsia="Aptos" w:cs="Tahoma"/>
          <w:color w:val="000000"/>
          <w:lang w:val="en-US"/>
        </w:rPr>
        <w:footnoteReference w:id="4"/>
      </w:r>
      <w:r w:rsidRPr="00B92BA2">
        <w:rPr>
          <w:rFonts w:eastAsia="Aptos" w:cs="Tahoma"/>
          <w:color w:val="000000"/>
          <w:lang w:val="en-US"/>
        </w:rPr>
        <w:t xml:space="preserve">); </w:t>
      </w:r>
      <w:r w:rsidRPr="00B92BA2">
        <w:rPr>
          <w:rFonts w:eastAsia="Arimo" w:cs="Tahoma"/>
          <w:color w:val="000000"/>
          <w:lang w:val="en-US"/>
        </w:rPr>
        <w:t xml:space="preserve"> </w:t>
      </w:r>
    </w:p>
    <w:p w14:paraId="128B8D1B" w14:textId="77777777" w:rsidR="002A7511" w:rsidRPr="00850284" w:rsidRDefault="002A7511" w:rsidP="002A7511">
      <w:pPr>
        <w:numPr>
          <w:ilvl w:val="1"/>
          <w:numId w:val="68"/>
        </w:numPr>
        <w:spacing w:before="0" w:after="0" w:line="257" w:lineRule="auto"/>
        <w:rPr>
          <w:rFonts w:cs="Tahoma"/>
          <w:lang w:val="en-US"/>
        </w:rPr>
      </w:pPr>
      <w:r w:rsidRPr="00B92BA2">
        <w:rPr>
          <w:rFonts w:eastAsia="Aptos" w:cs="Tahoma"/>
          <w:color w:val="000000"/>
          <w:lang w:val="en-US"/>
        </w:rPr>
        <w:t>Program applicants from calls for proposals</w:t>
      </w:r>
      <w:r w:rsidRPr="00850284">
        <w:rPr>
          <w:rFonts w:eastAsia="Aptos" w:cs="Tahoma"/>
          <w:color w:val="000000"/>
          <w:lang w:val="en-US"/>
        </w:rPr>
        <w:t xml:space="preserve"> that were selected for the study as characterized by low interest (104 completed surveys</w:t>
      </w:r>
      <w:r>
        <w:rPr>
          <w:rStyle w:val="Odwoanieprzypisudolnego"/>
          <w:rFonts w:eastAsia="Aptos" w:cs="Tahoma"/>
          <w:color w:val="000000"/>
          <w:lang w:val="en-US"/>
        </w:rPr>
        <w:footnoteReference w:id="5"/>
      </w:r>
      <w:r w:rsidRPr="00850284">
        <w:rPr>
          <w:rFonts w:eastAsia="Aptos" w:cs="Tahoma"/>
          <w:color w:val="000000"/>
          <w:lang w:val="en-US"/>
        </w:rPr>
        <w:t>);</w:t>
      </w:r>
      <w:r w:rsidRPr="00850284">
        <w:rPr>
          <w:rFonts w:eastAsia="Arimo" w:cs="Tahoma"/>
          <w:color w:val="000000"/>
          <w:lang w:val="en-US"/>
        </w:rPr>
        <w:t xml:space="preserve"> </w:t>
      </w:r>
    </w:p>
    <w:p w14:paraId="0EB0F8E3" w14:textId="77777777" w:rsidR="002A7511" w:rsidRDefault="002A7511" w:rsidP="002A7511">
      <w:pPr>
        <w:numPr>
          <w:ilvl w:val="0"/>
          <w:numId w:val="68"/>
        </w:numPr>
        <w:spacing w:before="0" w:after="0" w:line="257" w:lineRule="auto"/>
        <w:rPr>
          <w:rFonts w:cs="Tahoma"/>
          <w:lang w:val="en-US"/>
        </w:rPr>
      </w:pPr>
      <w:r w:rsidRPr="00850284">
        <w:rPr>
          <w:rFonts w:eastAsia="Aptos" w:cs="Tahoma"/>
          <w:color w:val="000000"/>
          <w:lang w:val="en-US"/>
        </w:rPr>
        <w:t>4 group interviews with applicants and potential applicants to the Program.</w:t>
      </w:r>
      <w:r w:rsidRPr="00850284">
        <w:rPr>
          <w:rFonts w:eastAsia="Arimo" w:cs="Tahoma"/>
          <w:color w:val="000000"/>
          <w:lang w:val="en-US"/>
        </w:rPr>
        <w:t xml:space="preserve"> </w:t>
      </w:r>
    </w:p>
    <w:p w14:paraId="3648D928" w14:textId="77777777" w:rsidR="002A7511" w:rsidRPr="00BC32F9" w:rsidRDefault="002A7511" w:rsidP="002A7511">
      <w:pPr>
        <w:spacing w:after="0" w:line="257" w:lineRule="auto"/>
        <w:ind w:left="40"/>
        <w:rPr>
          <w:rFonts w:cs="Tahoma"/>
          <w:lang w:val="en-US"/>
        </w:rPr>
      </w:pPr>
      <w:r w:rsidRPr="00BC32F9">
        <w:rPr>
          <w:rFonts w:eastAsia="Aptos Bold" w:cs="Tahoma"/>
          <w:b/>
          <w:bCs/>
          <w:color w:val="640B68"/>
          <w:lang w:val="en-US"/>
        </w:rPr>
        <w:lastRenderedPageBreak/>
        <w:t>REASONS AFFECTING THE LOW EFFECTIVENESS OF APPLYING FOR SUPPORT</w:t>
      </w:r>
      <w:r w:rsidRPr="00BC32F9">
        <w:rPr>
          <w:rFonts w:eastAsia="Arimo" w:cs="Tahoma"/>
          <w:color w:val="000000"/>
          <w:lang w:val="en-US"/>
        </w:rPr>
        <w:t xml:space="preserve"> </w:t>
      </w:r>
    </w:p>
    <w:p w14:paraId="23BFB251" w14:textId="77777777" w:rsidR="002A7511" w:rsidRPr="00850284" w:rsidRDefault="002A7511" w:rsidP="002A7511">
      <w:pPr>
        <w:rPr>
          <w:rFonts w:cs="Tahoma"/>
          <w:lang w:val="en-US"/>
        </w:rPr>
      </w:pPr>
      <w:r w:rsidRPr="00850284">
        <w:rPr>
          <w:rFonts w:eastAsia="Aptos" w:cs="Tahoma"/>
          <w:color w:val="640B68"/>
          <w:lang w:val="en-US"/>
        </w:rPr>
        <w:t>Characteristics of calls for proposals that were characterized by low application effectiveness</w:t>
      </w:r>
      <w:r w:rsidRPr="00850284">
        <w:rPr>
          <w:rFonts w:eastAsia="Arimo" w:cs="Tahoma"/>
          <w:color w:val="000000"/>
          <w:lang w:val="en-US"/>
        </w:rPr>
        <w:t xml:space="preserve"> </w:t>
      </w:r>
    </w:p>
    <w:p w14:paraId="0C289EA7" w14:textId="77777777" w:rsidR="002A7511" w:rsidRPr="00850284" w:rsidRDefault="002A7511" w:rsidP="002A7511">
      <w:pPr>
        <w:rPr>
          <w:rFonts w:cs="Tahoma"/>
          <w:lang w:val="en-US"/>
        </w:rPr>
      </w:pPr>
      <w:r w:rsidRPr="00850284">
        <w:rPr>
          <w:rFonts w:eastAsia="Aptos" w:cs="Tahoma"/>
          <w:color w:val="000000"/>
          <w:lang w:val="en-US"/>
        </w:rPr>
        <w:t xml:space="preserve">The study covered 47 calls for proposals. The analysis only included calls for proposals in which the value of the applications submitted did not exceed 50% of the available allocation or no applications were submitted, including invalidated calls. The identified group included both competitive (41 calls) and non-competitive (6 calls) project selection procedures. </w:t>
      </w:r>
      <w:r w:rsidRPr="00850284">
        <w:rPr>
          <w:rFonts w:eastAsia="Arimo" w:cs="Tahoma"/>
          <w:color w:val="000000"/>
          <w:lang w:val="en-US"/>
        </w:rPr>
        <w:t xml:space="preserve"> </w:t>
      </w:r>
    </w:p>
    <w:p w14:paraId="0D5B1C40" w14:textId="77777777" w:rsidR="002A7511" w:rsidRPr="00850284" w:rsidRDefault="002A7511" w:rsidP="002A7511">
      <w:pPr>
        <w:rPr>
          <w:rFonts w:cs="Tahoma"/>
          <w:lang w:val="en-US"/>
        </w:rPr>
      </w:pPr>
      <w:r w:rsidRPr="00850284">
        <w:rPr>
          <w:rFonts w:eastAsia="Aptos" w:cs="Tahoma"/>
          <w:color w:val="000000"/>
          <w:lang w:val="en-US"/>
        </w:rPr>
        <w:t xml:space="preserve">The vast majority were calls for proposals financed by the European Regional Development Fund </w:t>
      </w:r>
      <w:r>
        <w:rPr>
          <w:rFonts w:eastAsia="Aptos" w:cs="Tahoma"/>
          <w:color w:val="000000"/>
          <w:lang w:val="en-US"/>
        </w:rPr>
        <w:t xml:space="preserve">- </w:t>
      </w:r>
      <w:r w:rsidRPr="00850284">
        <w:rPr>
          <w:rFonts w:eastAsia="Aptos" w:cs="Tahoma"/>
          <w:color w:val="000000"/>
          <w:lang w:val="en-US"/>
        </w:rPr>
        <w:t xml:space="preserve">42 calls. In their case, infrastructure and environmental projects predominated, requiring a high level of substantive and formal preparation and significant investment. </w:t>
      </w:r>
      <w:r w:rsidRPr="009E7B8A">
        <w:rPr>
          <w:rFonts w:eastAsia="Aptos" w:cs="Tahoma"/>
          <w:color w:val="000000"/>
          <w:lang w:val="en-US"/>
        </w:rPr>
        <w:t>Calls for proposals under the European Social Fund Plus mainly concerned activities</w:t>
      </w:r>
      <w:r>
        <w:rPr>
          <w:rFonts w:eastAsia="Aptos" w:cs="Tahoma"/>
          <w:color w:val="000000"/>
          <w:lang w:val="en-US"/>
        </w:rPr>
        <w:t xml:space="preserve"> </w:t>
      </w:r>
      <w:r w:rsidRPr="00850284">
        <w:rPr>
          <w:rFonts w:eastAsia="Aptos" w:cs="Tahoma"/>
          <w:color w:val="000000"/>
          <w:lang w:val="en-US"/>
        </w:rPr>
        <w:t>in the field of education and social inclusion.</w:t>
      </w:r>
      <w:r>
        <w:rPr>
          <w:rFonts w:eastAsia="Aptos" w:cs="Tahoma"/>
          <w:color w:val="000000"/>
          <w:lang w:val="en-US"/>
        </w:rPr>
        <w:t xml:space="preserve"> </w:t>
      </w:r>
      <w:r w:rsidRPr="00850284">
        <w:rPr>
          <w:rFonts w:eastAsia="Aptos" w:cs="Tahoma"/>
          <w:color w:val="000000"/>
          <w:lang w:val="en-US"/>
        </w:rPr>
        <w:t xml:space="preserve">More than half of the calls for proposals analyzed (27) were implemented as part of territorial policy, </w:t>
      </w:r>
      <w:r w:rsidRPr="00C669D5">
        <w:rPr>
          <w:rFonts w:eastAsia="Aptos" w:cs="Tahoma"/>
          <w:color w:val="000000"/>
          <w:lang w:val="en-US"/>
        </w:rPr>
        <w:t>including Integrated Territorial Investments, the Area of Conducting Territorial Policy, and the Bydgoszcz Functional Area</w:t>
      </w:r>
      <w:r w:rsidRPr="00850284">
        <w:rPr>
          <w:rFonts w:eastAsia="Aptos" w:cs="Tahoma"/>
          <w:color w:val="000000"/>
          <w:lang w:val="en-US"/>
        </w:rPr>
        <w:t>, all of which were selected through a competitive process.</w:t>
      </w:r>
      <w:r w:rsidRPr="00850284">
        <w:rPr>
          <w:rFonts w:eastAsia="Arimo" w:cs="Tahoma"/>
          <w:color w:val="000000"/>
          <w:lang w:val="en-US"/>
        </w:rPr>
        <w:t xml:space="preserve"> </w:t>
      </w:r>
    </w:p>
    <w:p w14:paraId="7B5783D6" w14:textId="77777777" w:rsidR="002A7511" w:rsidRPr="00C669D5" w:rsidRDefault="002A7511" w:rsidP="002A7511">
      <w:pPr>
        <w:rPr>
          <w:rFonts w:cs="Tahoma"/>
          <w:lang w:val="en-US"/>
        </w:rPr>
      </w:pPr>
      <w:r w:rsidRPr="00850284">
        <w:rPr>
          <w:rFonts w:eastAsia="Aptos" w:cs="Tahoma"/>
          <w:color w:val="000000"/>
          <w:lang w:val="en-US"/>
        </w:rPr>
        <w:t>The applicants were mainly local government units, but also public service providers, enterprises, non-governmental organizations, housing cooperatives and social housing associations, churches and religious associations, cultural institutions, educational entities</w:t>
      </w:r>
      <w:r w:rsidRPr="00C669D5">
        <w:rPr>
          <w:rFonts w:eastAsia="Aptos" w:cs="Tahoma"/>
          <w:color w:val="000000"/>
          <w:lang w:val="en-US"/>
        </w:rPr>
        <w:t xml:space="preserve">, and social economy entities. Calls for proposals with a non-competitive selection process were addressed to specific institutions, such as the provincial government or </w:t>
      </w:r>
      <w:proofErr w:type="spellStart"/>
      <w:r w:rsidRPr="00C669D5">
        <w:rPr>
          <w:rFonts w:eastAsia="Aptos" w:cs="Tahoma"/>
          <w:color w:val="000000"/>
          <w:lang w:val="en-US"/>
        </w:rPr>
        <w:t>organisational</w:t>
      </w:r>
      <w:proofErr w:type="spellEnd"/>
      <w:r w:rsidRPr="00C669D5">
        <w:rPr>
          <w:rFonts w:eastAsia="Aptos" w:cs="Tahoma"/>
          <w:color w:val="000000"/>
          <w:lang w:val="en-US"/>
        </w:rPr>
        <w:t xml:space="preserve"> units of the </w:t>
      </w:r>
      <w:proofErr w:type="spellStart"/>
      <w:r w:rsidRPr="00C669D5">
        <w:rPr>
          <w:rFonts w:eastAsia="Aptos" w:cs="Tahoma"/>
          <w:color w:val="000000"/>
          <w:lang w:val="en-US"/>
        </w:rPr>
        <w:t>Kuyavian</w:t>
      </w:r>
      <w:proofErr w:type="spellEnd"/>
      <w:r w:rsidRPr="00C669D5">
        <w:rPr>
          <w:rFonts w:eastAsia="Aptos" w:cs="Tahoma"/>
          <w:color w:val="000000"/>
          <w:lang w:val="en-US"/>
        </w:rPr>
        <w:t>-Pomeranian Voivodeship.</w:t>
      </w:r>
    </w:p>
    <w:p w14:paraId="6769989C" w14:textId="77777777" w:rsidR="002A7511" w:rsidRPr="00850284" w:rsidRDefault="002A7511" w:rsidP="002A7511">
      <w:pPr>
        <w:rPr>
          <w:rFonts w:cs="Tahoma"/>
          <w:lang w:val="en-US"/>
        </w:rPr>
      </w:pPr>
      <w:r w:rsidRPr="00850284">
        <w:rPr>
          <w:rFonts w:eastAsia="Aptos" w:cs="Tahoma"/>
          <w:color w:val="000000"/>
          <w:lang w:val="en-US"/>
        </w:rPr>
        <w:t xml:space="preserve">Low-efficiency calls for proposals concerned a total of 17 different areas of support, including, for example, climate change adaptation (9 calls), urban mobility (7), energy efficiency (6), educational infrastructure, tourism, SME support, and education (3 calls each). </w:t>
      </w:r>
      <w:r w:rsidRPr="00850284">
        <w:rPr>
          <w:rFonts w:eastAsia="Arimo" w:cs="Tahoma"/>
          <w:color w:val="000000"/>
          <w:lang w:val="en-US"/>
        </w:rPr>
        <w:t xml:space="preserve"> </w:t>
      </w:r>
    </w:p>
    <w:p w14:paraId="591079DA" w14:textId="77777777" w:rsidR="002A7511" w:rsidRPr="00850284" w:rsidRDefault="002A7511" w:rsidP="002A7511">
      <w:pPr>
        <w:rPr>
          <w:rFonts w:cs="Tahoma"/>
          <w:lang w:val="en-US"/>
        </w:rPr>
      </w:pPr>
      <w:r w:rsidRPr="00850284">
        <w:rPr>
          <w:rFonts w:eastAsia="Aptos" w:cs="Tahoma"/>
          <w:color w:val="000000"/>
          <w:lang w:val="en-US"/>
        </w:rPr>
        <w:t xml:space="preserve">The scope of the supported projects included both infrastructure investments, such as the modernization of heating systems, the development of public transport systems, expansion of cycling infrastructure, small water retention development measures, measures to improve school accessibility, including investments in school sports facilities, infrastructure for training or assisted living, as well as soft projects, including, for example, the creation of kindergarten places, the development of social services, and the integration of foreigners. </w:t>
      </w:r>
      <w:r w:rsidRPr="00850284">
        <w:rPr>
          <w:rFonts w:eastAsia="Arimo" w:cs="Tahoma"/>
          <w:color w:val="000000"/>
          <w:lang w:val="en-US"/>
        </w:rPr>
        <w:t xml:space="preserve"> </w:t>
      </w:r>
    </w:p>
    <w:p w14:paraId="681F9096" w14:textId="77777777" w:rsidR="002A7511" w:rsidRPr="00850284" w:rsidRDefault="002A7511" w:rsidP="002A7511">
      <w:pPr>
        <w:rPr>
          <w:rFonts w:cs="Tahoma"/>
          <w:lang w:val="en-US"/>
        </w:rPr>
      </w:pPr>
      <w:r w:rsidRPr="00850284">
        <w:rPr>
          <w:rFonts w:eastAsia="Aptos" w:cs="Tahoma"/>
          <w:color w:val="000000"/>
          <w:lang w:val="en-US"/>
        </w:rPr>
        <w:t xml:space="preserve">The financial conditions usually assumed co-financing at a level of 85%, less often 95%, and in individual cases co-financing at a level of 90%, 65% or 50% was provided for. The minimum and maximum values of projects were indicated </w:t>
      </w:r>
      <w:r w:rsidRPr="00850284">
        <w:rPr>
          <w:rFonts w:eastAsia="Aptos" w:cs="Tahoma"/>
          <w:color w:val="000000"/>
          <w:lang w:val="en-US"/>
        </w:rPr>
        <w:lastRenderedPageBreak/>
        <w:t>sporadically, and their amount varied significantly depending on the fund and area of support.</w:t>
      </w:r>
      <w:r w:rsidRPr="00850284">
        <w:rPr>
          <w:rFonts w:eastAsia="Arimo" w:cs="Tahoma"/>
          <w:color w:val="000000"/>
          <w:lang w:val="en-US"/>
        </w:rPr>
        <w:t xml:space="preserve"> </w:t>
      </w:r>
    </w:p>
    <w:p w14:paraId="1DFAB604" w14:textId="77777777" w:rsidR="002A7511" w:rsidRPr="00850284" w:rsidRDefault="002A7511" w:rsidP="002A7511">
      <w:pPr>
        <w:rPr>
          <w:rFonts w:cs="Tahoma"/>
          <w:lang w:val="en-US"/>
        </w:rPr>
      </w:pPr>
      <w:r w:rsidRPr="00850284">
        <w:rPr>
          <w:rFonts w:eastAsia="Aptos" w:cs="Tahoma"/>
          <w:color w:val="640B68"/>
          <w:lang w:val="en-US"/>
        </w:rPr>
        <w:t>Adequacy of selection procedures in relation to the Program's objectives and horizontal principles</w:t>
      </w:r>
      <w:r w:rsidRPr="00850284">
        <w:rPr>
          <w:rFonts w:eastAsia="Arimo" w:cs="Tahoma"/>
          <w:color w:val="000000"/>
          <w:lang w:val="en-US"/>
        </w:rPr>
        <w:t xml:space="preserve"> </w:t>
      </w:r>
    </w:p>
    <w:p w14:paraId="36258408" w14:textId="77777777" w:rsidR="002A7511" w:rsidRPr="00850284" w:rsidRDefault="002A7511" w:rsidP="002A7511">
      <w:pPr>
        <w:rPr>
          <w:rFonts w:cs="Tahoma"/>
          <w:lang w:val="en-US"/>
        </w:rPr>
      </w:pPr>
      <w:r w:rsidRPr="00850284">
        <w:rPr>
          <w:rFonts w:eastAsia="Aptos" w:cs="Tahoma"/>
          <w:color w:val="000000"/>
          <w:lang w:val="en-US"/>
        </w:rPr>
        <w:t xml:space="preserve">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2027 Program selection procedures are strongly linked to the Program's objectives and have been developed on the basis of national and EU regulations, which guarantees their formal and legal compliance. The project selection rules clearly define, among other things, the types of projects, target groups, types of applicants, selection method, and maximum implementation period</w:t>
      </w:r>
      <w:r>
        <w:rPr>
          <w:rFonts w:eastAsia="Aptos" w:cs="Tahoma"/>
          <w:color w:val="000000"/>
          <w:lang w:val="en-US"/>
        </w:rPr>
        <w:t xml:space="preserve"> - </w:t>
      </w:r>
      <w:r w:rsidRPr="009E7B8A">
        <w:rPr>
          <w:rFonts w:eastAsia="Aptos" w:cs="Tahoma"/>
          <w:color w:val="000000"/>
          <w:lang w:val="en-US"/>
        </w:rPr>
        <w:t>all of which are directly derived from the provisions of the Detailed Description of Priorities.</w:t>
      </w:r>
      <w:r>
        <w:rPr>
          <w:rFonts w:eastAsia="Aptos" w:cs="Tahoma"/>
          <w:color w:val="000000"/>
          <w:lang w:val="en-US"/>
        </w:rPr>
        <w:t xml:space="preserve"> </w:t>
      </w:r>
      <w:r w:rsidRPr="00850284">
        <w:rPr>
          <w:rFonts w:eastAsia="Aptos" w:cs="Tahoma"/>
          <w:color w:val="000000"/>
          <w:lang w:val="en-US"/>
        </w:rPr>
        <w:t>The project selection criteria are designed to select projects that best achieve the objectives and outcomes. The research and analyses carried out confirmed that there are no discrepancies between the procedures and the objectives of the Program – the procedures effectively translate the strategic objectives of the Program into operational requirements, ensuring their implementation at the project level.</w:t>
      </w:r>
      <w:r w:rsidRPr="00850284">
        <w:rPr>
          <w:rFonts w:eastAsia="Arimo" w:cs="Tahoma"/>
          <w:color w:val="000000"/>
          <w:lang w:val="en-US"/>
        </w:rPr>
        <w:t xml:space="preserve"> </w:t>
      </w:r>
    </w:p>
    <w:p w14:paraId="5846F2CF" w14:textId="77777777" w:rsidR="002A7511" w:rsidRPr="00850284" w:rsidRDefault="002A7511" w:rsidP="002A7511">
      <w:pPr>
        <w:rPr>
          <w:rFonts w:cs="Tahoma"/>
          <w:lang w:val="en-US"/>
        </w:rPr>
      </w:pPr>
      <w:r w:rsidRPr="00850284">
        <w:rPr>
          <w:rFonts w:eastAsia="Aptos" w:cs="Tahoma"/>
          <w:color w:val="000000"/>
          <w:lang w:val="en-US"/>
        </w:rPr>
        <w:t xml:space="preserve">The selection procedures in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 xml:space="preserve">2027 Program also systematically take into account EU horizontal principles, such as: the principle of equality between women and men; the principle of equal opportunities and non-discrimination, including accessibility for persons with disabilities; the principle of sustainable development; the principle of "do no significant harm" (DNSH). The project selection criteria contain direct references to these principles, both in formal terms (e.g., requirements for compliance with environmental law) and in terms of content (preference for projects that include disadvantaged groups or generate a positive environmental impact). The proposals provide for the obligation to provide evidence of compliance with accessibility and equal opportunity requirements, as well as an assessment of the environmental impact of projects. The compliance of procedures with horizontal principles is also facilitated by a uniform approach – in terms of interpreting and applying the provisions of guidelines and other documents – by the </w:t>
      </w:r>
      <w:r w:rsidRPr="009E7B8A">
        <w:rPr>
          <w:rFonts w:eastAsia="Aptos" w:cs="Tahoma"/>
          <w:color w:val="000000"/>
          <w:lang w:val="en-US"/>
        </w:rPr>
        <w:t>staff of all institutions (Managing Authority and Intermediary Institutions) involved</w:t>
      </w:r>
      <w:r>
        <w:rPr>
          <w:rFonts w:eastAsia="Aptos" w:cs="Tahoma"/>
          <w:color w:val="000000"/>
          <w:lang w:val="en-US"/>
        </w:rPr>
        <w:t xml:space="preserve"> </w:t>
      </w:r>
      <w:r w:rsidRPr="00850284">
        <w:rPr>
          <w:rFonts w:eastAsia="Aptos" w:cs="Tahoma"/>
          <w:color w:val="000000"/>
          <w:lang w:val="en-US"/>
        </w:rPr>
        <w:t>in the implementation of the</w:t>
      </w:r>
      <w:r>
        <w:rPr>
          <w:rFonts w:eastAsia="Aptos" w:cs="Tahoma"/>
          <w:color w:val="000000"/>
          <w:lang w:val="en-US"/>
        </w:rPr>
        <w:t xml:space="preserve"> </w:t>
      </w:r>
      <w:r w:rsidRPr="00850284">
        <w:rPr>
          <w:rFonts w:eastAsia="Aptos" w:cs="Tahoma"/>
          <w:color w:val="000000"/>
          <w:lang w:val="en-US"/>
        </w:rPr>
        <w:t xml:space="preserve">Program, including the preparation of call for proposals documentation and the evaluation of applications. </w:t>
      </w:r>
      <w:r w:rsidRPr="00850284">
        <w:rPr>
          <w:rFonts w:eastAsia="Arimo" w:cs="Tahoma"/>
          <w:color w:val="000000"/>
          <w:lang w:val="en-US"/>
        </w:rPr>
        <w:t xml:space="preserve"> </w:t>
      </w:r>
    </w:p>
    <w:p w14:paraId="34DDC91D" w14:textId="77777777" w:rsidR="002A7511" w:rsidRPr="00850284" w:rsidRDefault="002A7511" w:rsidP="002A7511">
      <w:pPr>
        <w:rPr>
          <w:rFonts w:cs="Tahoma"/>
          <w:lang w:val="en-US"/>
        </w:rPr>
      </w:pPr>
      <w:r w:rsidRPr="00850284">
        <w:rPr>
          <w:rFonts w:eastAsia="Aptos" w:cs="Tahoma"/>
          <w:color w:val="640B68"/>
          <w:lang w:val="en-US"/>
        </w:rPr>
        <w:t>Impact of the specific nature of territorial policy on the effectiveness of calls for proposals</w:t>
      </w:r>
      <w:r w:rsidRPr="00850284">
        <w:rPr>
          <w:rFonts w:eastAsia="Arimo" w:cs="Tahoma"/>
          <w:color w:val="000000"/>
          <w:lang w:val="en-US"/>
        </w:rPr>
        <w:t xml:space="preserve"> </w:t>
      </w:r>
    </w:p>
    <w:p w14:paraId="3B79362D" w14:textId="77777777" w:rsidR="002A7511" w:rsidRPr="00850284" w:rsidRDefault="002A7511" w:rsidP="002A7511">
      <w:pPr>
        <w:rPr>
          <w:rFonts w:cs="Tahoma"/>
          <w:lang w:val="en-US"/>
        </w:rPr>
      </w:pPr>
      <w:r w:rsidRPr="00850284">
        <w:rPr>
          <w:rFonts w:eastAsia="Aptos" w:cs="Tahoma"/>
          <w:color w:val="000000"/>
          <w:lang w:val="en-US"/>
        </w:rPr>
        <w:t xml:space="preserve">More than half of the calls for proposals covered by the study (27 out of 47) were implemented under the territorial instrument, which could mean that certain conditions relating to the implementation of territorial policy had an impact on their limited effectiveness. </w:t>
      </w:r>
      <w:r w:rsidRPr="00850284">
        <w:rPr>
          <w:rFonts w:eastAsia="Arimo" w:cs="Tahoma"/>
          <w:color w:val="000000"/>
          <w:lang w:val="en-US"/>
        </w:rPr>
        <w:t xml:space="preserve"> </w:t>
      </w:r>
    </w:p>
    <w:p w14:paraId="3420319E" w14:textId="09DC9F37" w:rsidR="002A7511" w:rsidRPr="00850284" w:rsidRDefault="002A7511" w:rsidP="002A7511">
      <w:pPr>
        <w:rPr>
          <w:rFonts w:cs="Tahoma"/>
          <w:lang w:val="en-US"/>
        </w:rPr>
      </w:pPr>
      <w:r w:rsidRPr="00850284">
        <w:rPr>
          <w:rFonts w:eastAsia="Aptos" w:cs="Tahoma"/>
          <w:color w:val="000000"/>
          <w:lang w:val="en-US"/>
        </w:rPr>
        <w:lastRenderedPageBreak/>
        <w:t>The analyses carried out showed that the lack of Applications for Co-financing</w:t>
      </w:r>
      <w:r>
        <w:rPr>
          <w:rFonts w:eastAsia="Aptos" w:cs="Tahoma"/>
          <w:color w:val="000000"/>
          <w:lang w:val="en-US"/>
        </w:rPr>
        <w:t xml:space="preserve"> </w:t>
      </w:r>
      <w:r w:rsidRPr="00850284">
        <w:rPr>
          <w:rFonts w:eastAsia="Aptos" w:cs="Tahoma"/>
          <w:color w:val="000000"/>
          <w:lang w:val="en-US"/>
        </w:rPr>
        <w:t>submissions</w:t>
      </w:r>
      <w:r>
        <w:rPr>
          <w:rFonts w:eastAsia="Aptos" w:cs="Tahoma"/>
          <w:color w:val="000000"/>
          <w:lang w:val="en-US"/>
        </w:rPr>
        <w:t xml:space="preserve"> </w:t>
      </w:r>
      <w:r w:rsidRPr="00850284">
        <w:rPr>
          <w:rFonts w:eastAsia="Aptos" w:cs="Tahoma"/>
          <w:color w:val="000000"/>
          <w:lang w:val="en-US"/>
        </w:rPr>
        <w:t xml:space="preserve">in some calls for proposals could have resulted from the adopted method of dividing funds (allocation) among individual areas of support between partnership members – it was found that, as a result of arrangements and agreements, there were situations where some local government units were allocated funds for the implementation of projects also in areas that did not fully correspond to their most important needs (the preparation of applications for such projects was therefore not a priority for these local government units at the beginning of the financial perspective). Such situations could be corrected by the partnerships after the conclusion of territorial agreements/approval of strategies – primarily by requesting the Managing Authority of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sidR="006A2455">
        <w:rPr>
          <w:rFonts w:eastAsia="Aptos" w:cs="Tahoma"/>
          <w:color w:val="000000"/>
          <w:lang w:val="en-US"/>
        </w:rPr>
        <w:t>-</w:t>
      </w:r>
      <w:r w:rsidRPr="00850284">
        <w:rPr>
          <w:rFonts w:eastAsia="Aptos" w:cs="Tahoma"/>
          <w:color w:val="000000"/>
          <w:lang w:val="en-US"/>
        </w:rPr>
        <w:t>2027 to make changes to the lists of projects selected for financing.</w:t>
      </w:r>
      <w:r w:rsidRPr="00850284">
        <w:rPr>
          <w:rFonts w:eastAsia="Arimo" w:cs="Tahoma"/>
          <w:color w:val="000000"/>
          <w:lang w:val="en-US"/>
        </w:rPr>
        <w:t xml:space="preserve"> </w:t>
      </w:r>
    </w:p>
    <w:p w14:paraId="521C48FF" w14:textId="77777777" w:rsidR="002A7511" w:rsidRPr="00850284" w:rsidRDefault="002A7511" w:rsidP="002A7511">
      <w:pPr>
        <w:rPr>
          <w:rFonts w:cs="Tahoma"/>
          <w:lang w:val="en-US"/>
        </w:rPr>
      </w:pPr>
      <w:r w:rsidRPr="00850284">
        <w:rPr>
          <w:rFonts w:eastAsia="Aptos" w:cs="Tahoma"/>
          <w:color w:val="000000"/>
          <w:lang w:val="en-US"/>
        </w:rPr>
        <w:t xml:space="preserve">The study identified areas of territorial policy support which, "as a rule," had not attracted much interest from partnerships so far, even though they had identified relevant projects at the strategy development stage. One such area is primarily "SME support" – potential applicants (local government units) decided not to apply after reviewing the detailed support requirements, which were only available after the approval of territorial agreements/strategies. </w:t>
      </w:r>
      <w:r w:rsidRPr="00850284">
        <w:rPr>
          <w:rFonts w:eastAsia="Arimo" w:cs="Tahoma"/>
          <w:color w:val="000000"/>
          <w:lang w:val="en-US"/>
        </w:rPr>
        <w:t xml:space="preserve"> </w:t>
      </w:r>
    </w:p>
    <w:p w14:paraId="22294D3C" w14:textId="77777777" w:rsidR="002A7511" w:rsidRPr="00850284" w:rsidRDefault="002A7511" w:rsidP="002A7511">
      <w:pPr>
        <w:rPr>
          <w:rFonts w:cs="Tahoma"/>
          <w:lang w:val="en-US"/>
        </w:rPr>
      </w:pPr>
      <w:r w:rsidRPr="00850284">
        <w:rPr>
          <w:rFonts w:eastAsia="Aptos" w:cs="Tahoma"/>
          <w:color w:val="000000"/>
          <w:lang w:val="en-US"/>
        </w:rPr>
        <w:t xml:space="preserve">The low level of interest in calls for proposals under the territorial policy announced primarily in 2023 was influenced by protracted processes aimed at concluding territorial agreements and preparing and approving territorial strategies containing complete lists of approved projects for financing. The conclusion of agreements was intended to enable applications for funding to be submitted before the strategies were approved. According to the adopted assumptions, the signing of an agreement was necessary in order to meet the project selection </w:t>
      </w:r>
      <w:r w:rsidRPr="00C669D5">
        <w:rPr>
          <w:rFonts w:eastAsia="Aptos" w:cs="Tahoma"/>
          <w:color w:val="000000"/>
          <w:lang w:val="en-US"/>
        </w:rPr>
        <w:t>criterion of compliance with the relevant Territorial Instruments strategy for the Area of Conducting Territorial Policy or the Integrated Territorial Investments strategy. In the</w:t>
      </w:r>
      <w:r w:rsidRPr="00850284">
        <w:rPr>
          <w:rFonts w:eastAsia="Aptos" w:cs="Tahoma"/>
          <w:color w:val="000000"/>
          <w:lang w:val="en-US"/>
        </w:rPr>
        <w:t xml:space="preserve"> case of compliance with the strategy, it was permissible to submit an appropriate statement that the project would be included in the basic list of projects in the subsequently approved strategy. In practice, in the second half of 2023, a situation arose where territorial agreements were concluded only after the announcement of some of the planned "problem" calls for proposals. As a result, not all potential applicants were prepared to apply. In a situation where the call for proposals began before the agreement was concluded or shortly after its conclusion, applicants may have had too little time to refine their projects in accordance with the competition requirements, including the selection criteria.</w:t>
      </w:r>
      <w:r w:rsidRPr="00850284">
        <w:rPr>
          <w:rFonts w:eastAsia="Arimo" w:cs="Tahoma"/>
          <w:color w:val="000000"/>
          <w:lang w:val="en-US"/>
        </w:rPr>
        <w:t xml:space="preserve"> </w:t>
      </w:r>
    </w:p>
    <w:p w14:paraId="2584AE2C" w14:textId="77777777" w:rsidR="002A7511" w:rsidRPr="00850284" w:rsidRDefault="002A7511" w:rsidP="002A7511">
      <w:pPr>
        <w:rPr>
          <w:rFonts w:cs="Tahoma"/>
          <w:lang w:val="en-US"/>
        </w:rPr>
      </w:pPr>
      <w:r w:rsidRPr="00850284">
        <w:rPr>
          <w:rFonts w:eastAsia="Aptos" w:cs="Tahoma"/>
          <w:color w:val="000000"/>
          <w:lang w:val="en-US"/>
        </w:rPr>
        <w:t xml:space="preserve">The process of identifying and approving project fiches, which were to be attached to territorial agreements, had an impact on the pace of preparing and approving strategies and concluding territorial agreements (and, consequently, on the effectiveness of some calls for proposals). This process could have been shorter if all </w:t>
      </w:r>
      <w:r w:rsidRPr="00850284">
        <w:rPr>
          <w:rFonts w:eastAsia="Aptos" w:cs="Tahoma"/>
          <w:color w:val="000000"/>
          <w:lang w:val="en-US"/>
        </w:rPr>
        <w:lastRenderedPageBreak/>
        <w:t xml:space="preserve">national guidelines had already been known at that stage and all project selection criteria in the areas of territorial policy support had been adopted (and known). In practice, this process was multi-stage and spread out over time, involving not only partnership members but also </w:t>
      </w:r>
      <w:r w:rsidRPr="009E7B8A">
        <w:rPr>
          <w:rFonts w:eastAsia="Aptos" w:cs="Tahoma"/>
          <w:color w:val="000000"/>
          <w:lang w:val="en-US"/>
        </w:rPr>
        <w:t>employees of the Managing Authority</w:t>
      </w:r>
      <w:r w:rsidRPr="00850284">
        <w:rPr>
          <w:rFonts w:eastAsia="Aptos" w:cs="Tahoma"/>
          <w:color w:val="000000"/>
          <w:lang w:val="en-US"/>
        </w:rPr>
        <w:t xml:space="preserve">, who reviewed, consulted, commented on the fiches, and finally approved them by signing the territorial agreements. </w:t>
      </w:r>
      <w:r w:rsidRPr="00850284">
        <w:rPr>
          <w:rFonts w:eastAsia="Arimo" w:cs="Tahoma"/>
          <w:color w:val="000000"/>
          <w:lang w:val="en-US"/>
        </w:rPr>
        <w:t xml:space="preserve"> </w:t>
      </w:r>
    </w:p>
    <w:p w14:paraId="6E1A8A60" w14:textId="43B8F86D" w:rsidR="002A7511" w:rsidRPr="00850284" w:rsidRDefault="002A7511" w:rsidP="002A7511">
      <w:pPr>
        <w:rPr>
          <w:rFonts w:cs="Tahoma"/>
          <w:lang w:val="en-US"/>
        </w:rPr>
      </w:pPr>
      <w:r w:rsidRPr="00850284">
        <w:rPr>
          <w:rFonts w:eastAsia="Aptos" w:cs="Tahoma"/>
          <w:color w:val="000000"/>
          <w:lang w:val="en-US"/>
        </w:rPr>
        <w:t xml:space="preserve">Another reason for the low effectiveness of calls for proposals under the territorial policy may have been the general perception by some potential applicants of the rules governing the implementation of the policy under the Program. They may have treated the calls for proposals more as a formality. They may have assumed that the conclusion of agreements and the approval of the strategy together with the list of projects (and the allocated amount) would guarantee them funding in the future, regardless of which call for proposals the application was submitted under. It should be emphasized that the earlier cooperation between </w:t>
      </w:r>
      <w:r w:rsidRPr="00CF4D59">
        <w:rPr>
          <w:rFonts w:eastAsia="Aptos" w:cs="Tahoma"/>
          <w:color w:val="000000"/>
          <w:lang w:val="en-US"/>
        </w:rPr>
        <w:t xml:space="preserve">the Managing Authority of the European Funds for </w:t>
      </w:r>
      <w:proofErr w:type="spellStart"/>
      <w:r w:rsidRPr="00CF4D59">
        <w:rPr>
          <w:rFonts w:eastAsia="Aptos" w:cs="Tahoma"/>
          <w:color w:val="000000"/>
          <w:lang w:val="en-US"/>
        </w:rPr>
        <w:t>Kuyavia</w:t>
      </w:r>
      <w:proofErr w:type="spellEnd"/>
      <w:r w:rsidRPr="00CF4D59">
        <w:rPr>
          <w:rFonts w:eastAsia="Aptos" w:cs="Tahoma"/>
          <w:color w:val="000000"/>
          <w:lang w:val="en-US"/>
        </w:rPr>
        <w:t xml:space="preserve"> and Pomerania 2021</w:t>
      </w:r>
      <w:r w:rsidR="00FC500A">
        <w:rPr>
          <w:rFonts w:eastAsia="Aptos" w:cs="Tahoma"/>
          <w:color w:val="000000"/>
          <w:lang w:val="en-US"/>
        </w:rPr>
        <w:t>-</w:t>
      </w:r>
      <w:r w:rsidRPr="00CF4D59">
        <w:rPr>
          <w:rFonts w:eastAsia="Aptos" w:cs="Tahoma"/>
          <w:color w:val="000000"/>
          <w:lang w:val="en-US"/>
        </w:rPr>
        <w:t xml:space="preserve">2027 </w:t>
      </w:r>
      <w:r w:rsidRPr="00850284">
        <w:rPr>
          <w:rFonts w:eastAsia="Aptos" w:cs="Tahoma"/>
          <w:color w:val="000000"/>
          <w:lang w:val="en-US"/>
        </w:rPr>
        <w:t xml:space="preserve">and the partnerships in the preparation of documents was intended to contribute to the submission of all project grant applications in the originally planned two calls for each of the areas of support. In practice, it was decided to announce further calls for proposals to enable partnerships to submit applications that they would probably not have submitted in the two previously planned calls due to the low level of progress in project preparation. However, this decision meant that some applicants, given their limited organizational resources – first prepared applications and applied to other (alternative/competitive) programs (primarily national ones) or simply spent more time refining and completing the technical documentation necessary to submit applications, including meeting the criterion of technical readiness of the project for implementation. </w:t>
      </w:r>
      <w:r w:rsidRPr="00850284">
        <w:rPr>
          <w:rFonts w:eastAsia="Arimo" w:cs="Tahoma"/>
          <w:color w:val="000000"/>
          <w:lang w:val="en-US"/>
        </w:rPr>
        <w:t xml:space="preserve"> </w:t>
      </w:r>
    </w:p>
    <w:p w14:paraId="0B3B6E27" w14:textId="77777777" w:rsidR="002A7511" w:rsidRPr="00850284" w:rsidRDefault="002A7511" w:rsidP="002A7511">
      <w:pPr>
        <w:rPr>
          <w:rFonts w:cs="Tahoma"/>
          <w:lang w:val="en-US"/>
        </w:rPr>
      </w:pPr>
      <w:r w:rsidRPr="00850284">
        <w:rPr>
          <w:rFonts w:eastAsia="Aptos" w:cs="Tahoma"/>
          <w:color w:val="000000"/>
          <w:lang w:val="en-US"/>
        </w:rPr>
        <w:t>In the case of some projects, applications were not submitted in the first calls for proposals precisely because the appropriate level of readiness for implementation was not ensured – only 24% of the surveyed territorial policy applicants admitted that their projects were fully ready to apply at the time of the call for proposals. The readiness of projects for implementation and the status of preparations and implementation schedules were described in all project fiches. In practice, firstly, it was possible to indicate in the fiche that the project was not yet ready for implementation and to indicate the expected date of readiness, and secondly , failure to meet the deadlines for readiness for implementation and/or the planned submission of the application did not entail any consequences/sanctions – except that the applicant might ultimately fail to submit the application in the next and final call for proposals. As a result, in response to the needs reported by the partnerships, there were also frequent changes to the call schedule (i.e., calls were added or postponed).</w:t>
      </w:r>
      <w:r w:rsidRPr="00850284">
        <w:rPr>
          <w:rFonts w:eastAsia="Arimo" w:cs="Tahoma"/>
          <w:color w:val="000000"/>
          <w:lang w:val="en-US"/>
        </w:rPr>
        <w:t xml:space="preserve"> </w:t>
      </w:r>
    </w:p>
    <w:p w14:paraId="01FD8997" w14:textId="77777777" w:rsidR="002A7511" w:rsidRPr="00850284" w:rsidRDefault="002A7511" w:rsidP="002A7511">
      <w:pPr>
        <w:rPr>
          <w:rFonts w:cs="Tahoma"/>
          <w:lang w:val="en-US"/>
        </w:rPr>
      </w:pPr>
      <w:r w:rsidRPr="00850284">
        <w:rPr>
          <w:rFonts w:eastAsia="Aptos" w:cs="Tahoma"/>
          <w:color w:val="000000"/>
          <w:lang w:val="en-US"/>
        </w:rPr>
        <w:lastRenderedPageBreak/>
        <w:t>Ultimately, the effectiveness of territorial policy calls for proposals was certainly also influenced by political circumstances. In the spring of 2024, local elections were held in Poland, which could result in a change of the existing authorities in individual local governments. New decision-makers often questioned the legitimacy of selecting certain projects for implementation (project fiches) and reported the need to change the lists of identified projects or to make significant modifications to their scope. It is also important to note that any change in government temporarily slows down decision-making processes, especially those concerning significant investments that require support from own funds.</w:t>
      </w:r>
      <w:r w:rsidRPr="00850284">
        <w:rPr>
          <w:rFonts w:eastAsia="Arimo" w:cs="Tahoma"/>
          <w:color w:val="000000"/>
          <w:lang w:val="en-US"/>
        </w:rPr>
        <w:t xml:space="preserve"> </w:t>
      </w:r>
    </w:p>
    <w:p w14:paraId="76941AE7" w14:textId="77777777" w:rsidR="002A7511" w:rsidRPr="00850284" w:rsidRDefault="002A7511" w:rsidP="002A7511">
      <w:pPr>
        <w:rPr>
          <w:rFonts w:cs="Tahoma"/>
          <w:lang w:val="en-US"/>
        </w:rPr>
      </w:pPr>
      <w:r w:rsidRPr="00850284">
        <w:rPr>
          <w:rFonts w:eastAsia="Aptos" w:cs="Tahoma"/>
          <w:color w:val="640B68"/>
          <w:lang w:val="en-US"/>
        </w:rPr>
        <w:t>The impact of the specific nature of the non-competitive project selection method on the effectiveness of calls for proposals</w:t>
      </w:r>
      <w:r w:rsidRPr="00850284">
        <w:rPr>
          <w:rFonts w:eastAsia="Arimo" w:cs="Tahoma"/>
          <w:color w:val="000000"/>
          <w:lang w:val="en-US"/>
        </w:rPr>
        <w:t xml:space="preserve"> </w:t>
      </w:r>
    </w:p>
    <w:p w14:paraId="2AD900D7" w14:textId="77777777" w:rsidR="002A7511" w:rsidRPr="00850284" w:rsidRDefault="002A7511" w:rsidP="002A7511">
      <w:pPr>
        <w:rPr>
          <w:rFonts w:cs="Tahoma"/>
          <w:lang w:val="en-US"/>
        </w:rPr>
      </w:pPr>
      <w:r w:rsidRPr="00850284">
        <w:rPr>
          <w:rFonts w:eastAsia="Aptos" w:cs="Tahoma"/>
          <w:color w:val="000000"/>
          <w:lang w:val="en-US"/>
        </w:rPr>
        <w:t xml:space="preserve">The non-competitive method of project selection under the European Funds for </w:t>
      </w:r>
      <w:proofErr w:type="spellStart"/>
      <w:r w:rsidRPr="00850284">
        <w:rPr>
          <w:rFonts w:eastAsia="Aptos" w:cs="Tahoma"/>
          <w:color w:val="000000"/>
          <w:lang w:val="en-US"/>
        </w:rPr>
        <w:t>Kuyavia</w:t>
      </w:r>
      <w:proofErr w:type="spellEnd"/>
      <w:r w:rsidRPr="00850284">
        <w:rPr>
          <w:rFonts w:eastAsia="Aptos" w:cs="Tahoma"/>
          <w:color w:val="000000"/>
          <w:lang w:val="en-US"/>
        </w:rPr>
        <w:t xml:space="preserve"> and Pomerania 2021</w:t>
      </w:r>
      <w:r>
        <w:rPr>
          <w:rFonts w:eastAsia="Aptos" w:cs="Tahoma"/>
          <w:color w:val="000000"/>
          <w:lang w:val="en-US"/>
        </w:rPr>
        <w:t>-</w:t>
      </w:r>
      <w:r w:rsidRPr="00850284">
        <w:rPr>
          <w:rFonts w:eastAsia="Aptos" w:cs="Tahoma"/>
          <w:color w:val="000000"/>
          <w:lang w:val="en-US"/>
        </w:rPr>
        <w:t xml:space="preserve">2027 Program works efficiently and effectively in the vast majority of cases. By the end of March 2025, a total of 64 calls for proposals of this type had been completed (43 under the </w:t>
      </w:r>
      <w:r w:rsidRPr="002000BD">
        <w:rPr>
          <w:rFonts w:eastAsia="Aptos" w:cs="Tahoma"/>
          <w:color w:val="000000"/>
          <w:lang w:val="en-US"/>
        </w:rPr>
        <w:t>European Regional Development Fund</w:t>
      </w:r>
      <w:r w:rsidRPr="00850284">
        <w:rPr>
          <w:rFonts w:eastAsia="Aptos" w:cs="Tahoma"/>
          <w:color w:val="000000"/>
          <w:lang w:val="en-US"/>
        </w:rPr>
        <w:t xml:space="preserve"> and 21 under the </w:t>
      </w:r>
      <w:r w:rsidRPr="002000BD">
        <w:rPr>
          <w:rFonts w:eastAsia="Aptos" w:cs="Tahoma"/>
          <w:color w:val="000000"/>
          <w:lang w:val="en-US"/>
        </w:rPr>
        <w:t>European Social Fund Plus</w:t>
      </w:r>
      <w:r w:rsidRPr="00850284">
        <w:rPr>
          <w:rFonts w:eastAsia="Aptos" w:cs="Tahoma"/>
          <w:color w:val="000000"/>
          <w:lang w:val="en-US"/>
        </w:rPr>
        <w:t xml:space="preserve">), and problems were identified in only 6 of them. </w:t>
      </w:r>
      <w:r w:rsidRPr="00850284">
        <w:rPr>
          <w:rFonts w:eastAsia="Arimo" w:cs="Tahoma"/>
          <w:color w:val="000000"/>
          <w:lang w:val="en-US"/>
        </w:rPr>
        <w:t xml:space="preserve"> </w:t>
      </w:r>
    </w:p>
    <w:p w14:paraId="6201F851" w14:textId="77777777" w:rsidR="002A7511" w:rsidRPr="00850284" w:rsidRDefault="002A7511" w:rsidP="002A7511">
      <w:pPr>
        <w:rPr>
          <w:rFonts w:cs="Tahoma"/>
          <w:lang w:val="en-US"/>
        </w:rPr>
      </w:pPr>
      <w:r w:rsidRPr="00850284">
        <w:rPr>
          <w:rFonts w:eastAsia="Aptos" w:cs="Tahoma"/>
          <w:color w:val="000000"/>
          <w:lang w:val="en-US"/>
        </w:rPr>
        <w:t xml:space="preserve">The difficulties in these six calls for proposals (projects) were individual in nature (e.g., the need for an in-depth analysis of the legal environment, organizational changes on the part of the applicant, problems with the resolution of tender procedures, formal errors in project documentation) and were not related to the procedures used in the non-competitive method of project selection. In the case of five projects, co-financing agreements had already been concluded, and in the case of one project, a co-financing application was being prepared (at the time of the study) to be submitted in the next call for proposals. Nevertheless, the analyses carried out identified several issues that affect the effectiveness and efficiency of the non-competitive method of project selection. </w:t>
      </w:r>
      <w:r w:rsidRPr="00850284">
        <w:rPr>
          <w:rFonts w:eastAsia="Arimo" w:cs="Tahoma"/>
          <w:color w:val="000000"/>
          <w:lang w:val="en-US"/>
        </w:rPr>
        <w:t xml:space="preserve"> </w:t>
      </w:r>
    </w:p>
    <w:p w14:paraId="00A02ED2" w14:textId="77777777" w:rsidR="002A7511" w:rsidRPr="00850284" w:rsidRDefault="002A7511" w:rsidP="002A7511">
      <w:pPr>
        <w:rPr>
          <w:rFonts w:cs="Tahoma"/>
          <w:lang w:val="en-US"/>
        </w:rPr>
      </w:pPr>
      <w:r w:rsidRPr="00850284">
        <w:rPr>
          <w:rFonts w:eastAsia="Aptos" w:cs="Tahoma"/>
          <w:color w:val="000000"/>
          <w:lang w:val="en-US"/>
        </w:rPr>
        <w:t>The efficiency of the project fiche verification and approval process was also influenced by the degree of involvement of the staff of the substantive departments in consulting the fiches prepared by the units subordinate to those departments. In cases where this involvement was at an appropriate level (adapted to the specific nature/scope of the project), the verification and approval process was much more efficient.</w:t>
      </w:r>
      <w:r w:rsidRPr="00850284">
        <w:rPr>
          <w:rFonts w:eastAsia="Arimo" w:cs="Tahoma"/>
          <w:color w:val="000000"/>
          <w:lang w:val="en-US"/>
        </w:rPr>
        <w:t xml:space="preserve"> </w:t>
      </w:r>
    </w:p>
    <w:p w14:paraId="1C30D747" w14:textId="77777777" w:rsidR="002A7511" w:rsidRPr="00850284" w:rsidRDefault="002A7511" w:rsidP="002A7511">
      <w:pPr>
        <w:rPr>
          <w:rFonts w:cs="Tahoma"/>
          <w:lang w:val="en-US"/>
        </w:rPr>
      </w:pPr>
      <w:r w:rsidRPr="00850284">
        <w:rPr>
          <w:rFonts w:eastAsia="Aptos" w:cs="Tahoma"/>
          <w:color w:val="000000"/>
          <w:lang w:val="en-US"/>
        </w:rPr>
        <w:t xml:space="preserve">The solution consisting of </w:t>
      </w:r>
      <w:r w:rsidRPr="009E7B8A">
        <w:rPr>
          <w:rFonts w:eastAsia="Aptos" w:cs="Tahoma"/>
          <w:color w:val="000000"/>
          <w:lang w:val="en-US"/>
        </w:rPr>
        <w:t>a short/general verification (by the Department of Control of EU Projects and Investments) of the prepared project grant application</w:t>
      </w:r>
      <w:r>
        <w:rPr>
          <w:rFonts w:eastAsia="Aptos" w:cs="Tahoma"/>
          <w:color w:val="000000"/>
          <w:lang w:val="en-US"/>
        </w:rPr>
        <w:t xml:space="preserve"> </w:t>
      </w:r>
      <w:r w:rsidRPr="00850284">
        <w:rPr>
          <w:rFonts w:eastAsia="Aptos" w:cs="Tahoma"/>
          <w:color w:val="000000"/>
          <w:lang w:val="en-US"/>
        </w:rPr>
        <w:t xml:space="preserve">before its formal submission by the applicant in the IT system was assessed positively. According to the procedures, such applications should be submitted for verification at least two weeks before their submission in the call for proposals. In practice, however, there were situations when applications were submitted a few days before </w:t>
      </w:r>
      <w:r w:rsidRPr="00850284">
        <w:rPr>
          <w:rFonts w:eastAsia="Aptos" w:cs="Tahoma"/>
          <w:color w:val="000000"/>
          <w:lang w:val="en-US"/>
        </w:rPr>
        <w:lastRenderedPageBreak/>
        <w:t xml:space="preserve">the end of the call for proposals – then there was no time for proper verification, let alone for making significant changes to the application. </w:t>
      </w:r>
      <w:r w:rsidRPr="00850284">
        <w:rPr>
          <w:rFonts w:eastAsia="Arimo" w:cs="Tahoma"/>
          <w:color w:val="000000"/>
          <w:lang w:val="en-US"/>
        </w:rPr>
        <w:t xml:space="preserve"> </w:t>
      </w:r>
    </w:p>
    <w:p w14:paraId="18BF7FFC" w14:textId="77777777" w:rsidR="002A7511" w:rsidRPr="00850284" w:rsidRDefault="002A7511" w:rsidP="002A7511">
      <w:pPr>
        <w:rPr>
          <w:rFonts w:cs="Tahoma"/>
          <w:lang w:val="en-US"/>
        </w:rPr>
      </w:pPr>
      <w:r w:rsidRPr="00850284">
        <w:rPr>
          <w:rFonts w:eastAsia="Aptos" w:cs="Tahoma"/>
          <w:color w:val="000000"/>
          <w:lang w:val="en-US"/>
        </w:rPr>
        <w:t>The current inability to correct errors twice during the evaluation stage of such applications may also affect the effectiveness of the non-competitive project selection method. This circumstance may increase the risk of a negative evaluation of some projects.</w:t>
      </w:r>
      <w:r w:rsidRPr="00850284">
        <w:rPr>
          <w:rFonts w:eastAsia="Arimo" w:cs="Tahoma"/>
          <w:color w:val="000000"/>
          <w:lang w:val="en-US"/>
        </w:rPr>
        <w:t xml:space="preserve"> </w:t>
      </w:r>
    </w:p>
    <w:p w14:paraId="059DA694" w14:textId="77777777" w:rsidR="002A7511" w:rsidRPr="00C05657" w:rsidRDefault="002A7511" w:rsidP="002A7511">
      <w:pPr>
        <w:rPr>
          <w:rFonts w:eastAsia="Aptos" w:cs="Tahoma"/>
          <w:color w:val="000000"/>
          <w:lang w:val="en-US"/>
        </w:rPr>
      </w:pPr>
      <w:r w:rsidRPr="00C05657">
        <w:rPr>
          <w:rFonts w:eastAsia="Aptos" w:cs="Tahoma"/>
          <w:color w:val="000000"/>
          <w:lang w:val="en-US"/>
        </w:rPr>
        <w:t xml:space="preserve">The difficulties indicated above may in practice be more significant, among other things, due to the lack of experience of some applicants in applying for or implementing non-competitive projects (e.g., under the Regional Operational Program of the </w:t>
      </w:r>
      <w:proofErr w:type="spellStart"/>
      <w:r w:rsidRPr="00C05657">
        <w:rPr>
          <w:rFonts w:eastAsia="Aptos" w:cs="Tahoma"/>
          <w:color w:val="000000"/>
          <w:lang w:val="en-US"/>
        </w:rPr>
        <w:t>Kuyavian</w:t>
      </w:r>
      <w:proofErr w:type="spellEnd"/>
      <w:r w:rsidRPr="00C05657">
        <w:rPr>
          <w:rFonts w:eastAsia="Aptos" w:cs="Tahoma"/>
          <w:color w:val="000000"/>
          <w:lang w:val="en-US"/>
        </w:rPr>
        <w:t>-Pomeranian Voivodeship 2014</w:t>
      </w:r>
      <w:r>
        <w:rPr>
          <w:rFonts w:eastAsia="Aptos" w:cs="Tahoma"/>
          <w:color w:val="000000"/>
          <w:lang w:val="en-US"/>
        </w:rPr>
        <w:t>-</w:t>
      </w:r>
      <w:r w:rsidRPr="00C05657">
        <w:rPr>
          <w:rFonts w:eastAsia="Aptos" w:cs="Tahoma"/>
          <w:color w:val="000000"/>
          <w:lang w:val="en-US"/>
        </w:rPr>
        <w:t xml:space="preserve">2020), as well as due to the reported difficulties in accessing training (this problem concerns applicants that are </w:t>
      </w:r>
      <w:proofErr w:type="spellStart"/>
      <w:r w:rsidRPr="00C05657">
        <w:rPr>
          <w:rFonts w:eastAsia="Aptos" w:cs="Tahoma"/>
          <w:color w:val="000000"/>
          <w:lang w:val="en-US"/>
        </w:rPr>
        <w:t>organisational</w:t>
      </w:r>
      <w:proofErr w:type="spellEnd"/>
      <w:r w:rsidRPr="00C05657">
        <w:rPr>
          <w:rFonts w:eastAsia="Aptos" w:cs="Tahoma"/>
          <w:color w:val="000000"/>
          <w:lang w:val="en-US"/>
        </w:rPr>
        <w:t xml:space="preserve"> units of the Marshal’s Office of the </w:t>
      </w:r>
      <w:proofErr w:type="spellStart"/>
      <w:r w:rsidRPr="00C05657">
        <w:rPr>
          <w:rFonts w:eastAsia="Aptos" w:cs="Tahoma"/>
          <w:color w:val="000000"/>
          <w:lang w:val="en-US"/>
        </w:rPr>
        <w:t>Kuyavian</w:t>
      </w:r>
      <w:proofErr w:type="spellEnd"/>
      <w:r w:rsidRPr="00C05657">
        <w:rPr>
          <w:rFonts w:eastAsia="Aptos" w:cs="Tahoma"/>
          <w:color w:val="000000"/>
          <w:lang w:val="en-US"/>
        </w:rPr>
        <w:t>-Pomeranian Voivodeship not belonging to the structures of the Managing Authority of the Program).</w:t>
      </w:r>
    </w:p>
    <w:p w14:paraId="0C0C2431" w14:textId="77777777" w:rsidR="002A7511" w:rsidRPr="00850284" w:rsidRDefault="002A7511" w:rsidP="002A7511">
      <w:pPr>
        <w:rPr>
          <w:rFonts w:cs="Tahoma"/>
          <w:lang w:val="en-US"/>
        </w:rPr>
      </w:pPr>
      <w:r w:rsidRPr="00850284">
        <w:rPr>
          <w:rFonts w:eastAsia="Aptos" w:cs="Tahoma"/>
          <w:color w:val="640B68"/>
          <w:lang w:val="en-US"/>
        </w:rPr>
        <w:t>Other factors affecting the effectiveness of calls for proposals</w:t>
      </w:r>
      <w:r w:rsidRPr="00850284">
        <w:rPr>
          <w:rFonts w:eastAsia="Arimo" w:cs="Tahoma"/>
          <w:color w:val="000000"/>
          <w:lang w:val="en-US"/>
        </w:rPr>
        <w:t xml:space="preserve"> </w:t>
      </w:r>
    </w:p>
    <w:p w14:paraId="48D53245" w14:textId="77777777" w:rsidR="002A7511" w:rsidRPr="00850284" w:rsidRDefault="002A7511" w:rsidP="002A7511">
      <w:pPr>
        <w:rPr>
          <w:rFonts w:cs="Tahoma"/>
          <w:lang w:val="en-US"/>
        </w:rPr>
      </w:pPr>
      <w:r w:rsidRPr="00850284">
        <w:rPr>
          <w:rFonts w:eastAsia="Aptos" w:cs="Tahoma"/>
          <w:color w:val="000000"/>
          <w:lang w:val="en-US"/>
        </w:rPr>
        <w:t xml:space="preserve">The low effectiveness of calls for proposals is influenced by overlapping systemic difficulties and external circumstances over which the Managing Authority has no control. </w:t>
      </w:r>
      <w:r w:rsidRPr="00850284">
        <w:rPr>
          <w:rFonts w:eastAsia="Arimo" w:cs="Tahoma"/>
          <w:color w:val="000000"/>
          <w:lang w:val="en-US"/>
        </w:rPr>
        <w:t xml:space="preserve"> </w:t>
      </w:r>
    </w:p>
    <w:p w14:paraId="35F667AE" w14:textId="77777777" w:rsidR="002A7511" w:rsidRPr="00850284" w:rsidRDefault="002A7511" w:rsidP="002A7511">
      <w:pPr>
        <w:rPr>
          <w:rFonts w:cs="Tahoma"/>
          <w:lang w:val="en-US"/>
        </w:rPr>
      </w:pPr>
      <w:r w:rsidRPr="00850284">
        <w:rPr>
          <w:rFonts w:eastAsia="Aptos" w:cs="Tahoma"/>
          <w:color w:val="000000"/>
          <w:lang w:val="en-US"/>
        </w:rPr>
        <w:t xml:space="preserve">One of the limiting factors is the insufficient application potential of some applicants, in particular smaller municipalities. </w:t>
      </w:r>
      <w:r w:rsidRPr="00BC32F9">
        <w:rPr>
          <w:rFonts w:eastAsia="Aptos" w:cs="Tahoma"/>
          <w:color w:val="000000"/>
          <w:lang w:val="en-US"/>
        </w:rPr>
        <w:t xml:space="preserve">In terms of information about competitions, European Funds Information Points have made a great effort </w:t>
      </w:r>
      <w:r w:rsidRPr="00850284">
        <w:rPr>
          <w:rFonts w:eastAsia="Aptos" w:cs="Tahoma"/>
          <w:color w:val="000000"/>
          <w:lang w:val="en-US"/>
        </w:rPr>
        <w:t xml:space="preserve">(meetings, training, materials), but the smallest municipalities – with limited resources and no specialized project units – sometimes receive messages late, which reduces the actual time available for working on the documentation. Postponements of application deadlines and the accumulation of calls for proposals addressed to the same entities, especially in territorial policy, place a burden on small teams in local government units. Some local government units, especially smaller ones, have very limited human and financial resources, which, combined with staff turnover and the high costs of preparing documentation, reduces their ability to apply, forcing local governments to select priority calls for proposals and postpone participation in others. At the same time, the Managing Authority is responding operationally (introducing continuous calls for proposals, responding to requests for longer calls, relaxing the technical readiness criteria for projects), although these measures do not influence the approach of applicants, as applications are still submitted at the last possible moment. </w:t>
      </w:r>
      <w:r w:rsidRPr="00850284">
        <w:rPr>
          <w:rFonts w:eastAsia="Arimo" w:cs="Tahoma"/>
          <w:color w:val="000000"/>
          <w:lang w:val="en-US"/>
        </w:rPr>
        <w:t xml:space="preserve"> </w:t>
      </w:r>
    </w:p>
    <w:p w14:paraId="48F461DE" w14:textId="77777777" w:rsidR="002A7511" w:rsidRPr="00850284" w:rsidRDefault="002A7511" w:rsidP="002A7511">
      <w:pPr>
        <w:rPr>
          <w:rFonts w:cs="Tahoma"/>
          <w:lang w:val="en-US"/>
        </w:rPr>
      </w:pPr>
      <w:r w:rsidRPr="00850284">
        <w:rPr>
          <w:rFonts w:eastAsia="Aptos" w:cs="Tahoma"/>
          <w:color w:val="000000"/>
          <w:lang w:val="en-US"/>
        </w:rPr>
        <w:t xml:space="preserve">The application process is complicated due to the extensive documentation required for calls for proposals. In addition, for example, the instructions for completing the application are not practical enough from the applicants' point of view, as they focus mainly on technical issues related to the operation of IT systems and, to a lesser extent, explain how to complete individual fields in terms of content or interpret specialized nomenclature. Furthermore, </w:t>
      </w:r>
      <w:r w:rsidRPr="009E7B8A">
        <w:rPr>
          <w:rFonts w:eastAsia="Aptos" w:cs="Tahoma"/>
          <w:color w:val="000000"/>
          <w:lang w:val="en-US"/>
        </w:rPr>
        <w:t xml:space="preserve">the Application Support System – European </w:t>
      </w:r>
      <w:r w:rsidRPr="009E7B8A">
        <w:rPr>
          <w:rFonts w:eastAsia="Aptos" w:cs="Tahoma"/>
          <w:color w:val="000000"/>
          <w:lang w:val="en-US"/>
        </w:rPr>
        <w:lastRenderedPageBreak/>
        <w:t>Social Fund Plus administered by the Ministry of Funds and Regional Policy</w:t>
      </w:r>
      <w:r>
        <w:rPr>
          <w:rFonts w:eastAsia="Aptos" w:cs="Tahoma"/>
          <w:color w:val="000000"/>
          <w:lang w:val="en-US"/>
        </w:rPr>
        <w:t xml:space="preserve"> </w:t>
      </w:r>
      <w:r w:rsidRPr="00850284">
        <w:rPr>
          <w:rFonts w:eastAsia="Aptos" w:cs="Tahoma"/>
          <w:color w:val="000000"/>
          <w:lang w:val="en-US"/>
        </w:rPr>
        <w:t xml:space="preserve">hinders the preparation and evaluation of applications due to the impractical presentation of the budget and the need to take into account common indicators that are inadequate for some projects. </w:t>
      </w:r>
      <w:r w:rsidRPr="00850284">
        <w:rPr>
          <w:rFonts w:eastAsia="Arimo" w:cs="Tahoma"/>
          <w:color w:val="000000"/>
          <w:lang w:val="en-US"/>
        </w:rPr>
        <w:t xml:space="preserve"> </w:t>
      </w:r>
    </w:p>
    <w:p w14:paraId="625B4B73" w14:textId="77777777" w:rsidR="002A7511" w:rsidRPr="00850284" w:rsidRDefault="002A7511" w:rsidP="002A7511">
      <w:pPr>
        <w:rPr>
          <w:rFonts w:cs="Tahoma"/>
          <w:lang w:val="en-US"/>
        </w:rPr>
      </w:pPr>
      <w:r w:rsidRPr="00850284">
        <w:rPr>
          <w:rFonts w:eastAsia="Aptos" w:cs="Tahoma"/>
          <w:color w:val="000000"/>
          <w:lang w:val="en-US"/>
        </w:rPr>
        <w:t>An additional difficulty is the sometimes delayed publication of questions and answers (</w:t>
      </w:r>
      <w:proofErr w:type="spellStart"/>
      <w:r w:rsidRPr="002A7511">
        <w:rPr>
          <w:rFonts w:eastAsia="Aptos" w:cs="Tahoma"/>
          <w:color w:val="000000"/>
          <w:lang w:val="en-GB"/>
        </w:rPr>
        <w:t>Frequentlky</w:t>
      </w:r>
      <w:proofErr w:type="spellEnd"/>
      <w:r w:rsidRPr="002A7511">
        <w:rPr>
          <w:rFonts w:eastAsia="Aptos" w:cs="Tahoma"/>
          <w:color w:val="000000"/>
          <w:lang w:val="en-GB"/>
        </w:rPr>
        <w:t xml:space="preserve"> Asked Questions</w:t>
      </w:r>
      <w:r w:rsidRPr="00850284">
        <w:rPr>
          <w:rFonts w:eastAsia="Aptos" w:cs="Tahoma"/>
          <w:color w:val="000000"/>
          <w:lang w:val="en-US"/>
        </w:rPr>
        <w:t>) – they often appear too late or not at all, which limits access to practical explanations and reduces the confidence of applicants when working on the documentation. In this regard, it is necessary to review the "path" of developing responses within the Managing Authority's structure and identify possible improvements to make the process more effective. There is also a continuing need to organize training for each call for proposals.</w:t>
      </w:r>
      <w:r w:rsidRPr="00850284">
        <w:rPr>
          <w:rFonts w:eastAsia="Arimo" w:cs="Tahoma"/>
          <w:color w:val="000000"/>
          <w:lang w:val="en-US"/>
        </w:rPr>
        <w:t xml:space="preserve"> </w:t>
      </w:r>
    </w:p>
    <w:p w14:paraId="636A77C2" w14:textId="77777777" w:rsidR="002A7511" w:rsidRPr="00850284" w:rsidRDefault="002A7511" w:rsidP="002A7511">
      <w:pPr>
        <w:rPr>
          <w:rFonts w:cs="Tahoma"/>
          <w:lang w:val="en-US"/>
        </w:rPr>
      </w:pPr>
      <w:r w:rsidRPr="00850284">
        <w:rPr>
          <w:rFonts w:eastAsia="Aptos" w:cs="Tahoma"/>
          <w:color w:val="000000"/>
          <w:lang w:val="en-US"/>
        </w:rPr>
        <w:t>In the area of education, support for the creation of new kindergarten places, although in line with the needs of the region and the priorities of the European Commission, has met with limited interest in practice, as the needs related to the modernization and re-equipment of existing facilities are currently more important, but these activities cannot be implemented as independent projects.</w:t>
      </w:r>
      <w:r w:rsidRPr="00850284">
        <w:rPr>
          <w:rFonts w:eastAsia="Arimo" w:cs="Tahoma"/>
          <w:color w:val="000000"/>
          <w:lang w:val="en-US"/>
        </w:rPr>
        <w:t xml:space="preserve"> </w:t>
      </w:r>
    </w:p>
    <w:p w14:paraId="0681266C" w14:textId="77777777" w:rsidR="002A7511" w:rsidRPr="00850284" w:rsidRDefault="002A7511" w:rsidP="002A7511">
      <w:pPr>
        <w:rPr>
          <w:rFonts w:cs="Tahoma"/>
          <w:lang w:val="en-US"/>
        </w:rPr>
      </w:pPr>
      <w:r w:rsidRPr="00850284">
        <w:rPr>
          <w:rFonts w:eastAsia="Aptos" w:cs="Tahoma"/>
          <w:color w:val="000000"/>
          <w:lang w:val="en-US"/>
        </w:rPr>
        <w:t xml:space="preserve">In turn, in Measure 8.24, limited demand for support was mainly due to strict financial criteria (including a low cost limit for the creation and operation of service facilities), which hindered the full implementation of projects involving both investments and the provision of services. An additional limitation was the application of a more stringent approach to the maximum number of people in a flat. In accordance with the </w:t>
      </w:r>
      <w:r w:rsidRPr="00C01399">
        <w:rPr>
          <w:rFonts w:eastAsia="Aptos" w:cs="Tahoma"/>
          <w:color w:val="000000"/>
          <w:lang w:val="en-US"/>
        </w:rPr>
        <w:t xml:space="preserve">European Social Fund Plus </w:t>
      </w:r>
      <w:r w:rsidRPr="00850284">
        <w:rPr>
          <w:rFonts w:eastAsia="Aptos" w:cs="Tahoma"/>
          <w:color w:val="000000"/>
          <w:lang w:val="en-US"/>
        </w:rPr>
        <w:t xml:space="preserve">Guidelines, the </w:t>
      </w:r>
      <w:r>
        <w:rPr>
          <w:rFonts w:eastAsia="Aptos" w:cs="Tahoma"/>
          <w:color w:val="000000"/>
          <w:lang w:val="en-US"/>
        </w:rPr>
        <w:t>P</w:t>
      </w:r>
      <w:r w:rsidRPr="00850284">
        <w:rPr>
          <w:rFonts w:eastAsia="Aptos" w:cs="Tahoma"/>
          <w:color w:val="000000"/>
          <w:lang w:val="en-US"/>
        </w:rPr>
        <w:t xml:space="preserve">rogram set a limit of three people per flat, while the Regulation of the Minister of Family and Social Policy on training and assisted flats allowed for support to be provided in flats for up to six people. </w:t>
      </w:r>
      <w:r w:rsidRPr="00850284">
        <w:rPr>
          <w:rFonts w:eastAsia="Arimo" w:cs="Tahoma"/>
          <w:color w:val="000000"/>
          <w:lang w:val="en-US"/>
        </w:rPr>
        <w:t xml:space="preserve"> </w:t>
      </w:r>
    </w:p>
    <w:p w14:paraId="23ABA1A7" w14:textId="77777777" w:rsidR="002A7511" w:rsidRPr="00850284" w:rsidRDefault="002A7511" w:rsidP="002A7511">
      <w:pPr>
        <w:rPr>
          <w:rFonts w:cs="Tahoma"/>
          <w:lang w:val="en-US"/>
        </w:rPr>
      </w:pPr>
      <w:r w:rsidRPr="00850284">
        <w:rPr>
          <w:rFonts w:eastAsia="Aptos" w:cs="Tahoma"/>
          <w:color w:val="000000"/>
          <w:lang w:val="en-US"/>
        </w:rPr>
        <w:t xml:space="preserve">An external factor reducing interest in applying is also </w:t>
      </w:r>
      <w:r w:rsidRPr="00BC32F9">
        <w:rPr>
          <w:rFonts w:eastAsia="Aptos" w:cs="Tahoma"/>
          <w:color w:val="000000"/>
          <w:lang w:val="en-US"/>
        </w:rPr>
        <w:t xml:space="preserve">competition from national </w:t>
      </w:r>
      <w:proofErr w:type="spellStart"/>
      <w:r w:rsidRPr="00BC32F9">
        <w:rPr>
          <w:rFonts w:eastAsia="Aptos" w:cs="Tahoma"/>
          <w:color w:val="000000"/>
          <w:lang w:val="en-US"/>
        </w:rPr>
        <w:t>program</w:t>
      </w:r>
      <w:r>
        <w:rPr>
          <w:rFonts w:eastAsia="Aptos" w:cs="Tahoma"/>
          <w:color w:val="000000"/>
          <w:lang w:val="en-US"/>
        </w:rPr>
        <w:t>m</w:t>
      </w:r>
      <w:r w:rsidRPr="00BC32F9">
        <w:rPr>
          <w:rFonts w:eastAsia="Aptos" w:cs="Tahoma"/>
          <w:color w:val="000000"/>
          <w:lang w:val="en-US"/>
        </w:rPr>
        <w:t>es</w:t>
      </w:r>
      <w:proofErr w:type="spellEnd"/>
      <w:r w:rsidRPr="00BC32F9">
        <w:rPr>
          <w:rFonts w:eastAsia="Aptos" w:cs="Tahoma"/>
          <w:color w:val="000000"/>
          <w:lang w:val="en-US"/>
        </w:rPr>
        <w:t xml:space="preserve">, such as the </w:t>
      </w:r>
      <w:r w:rsidRPr="000924F6">
        <w:rPr>
          <w:rFonts w:eastAsia="Aptos" w:cs="Tahoma"/>
          <w:color w:val="000000"/>
          <w:lang w:val="en-US"/>
        </w:rPr>
        <w:t>Polish Deal Government Fund</w:t>
      </w:r>
      <w:r>
        <w:rPr>
          <w:rFonts w:eastAsia="Aptos" w:cs="Tahoma"/>
          <w:color w:val="000000"/>
          <w:lang w:val="en-US"/>
        </w:rPr>
        <w:t xml:space="preserve"> -</w:t>
      </w:r>
      <w:r w:rsidRPr="000924F6">
        <w:rPr>
          <w:rFonts w:eastAsia="Aptos" w:cs="Tahoma"/>
          <w:color w:val="000000"/>
          <w:lang w:val="en-US"/>
        </w:rPr>
        <w:t xml:space="preserve"> Strategic Investment </w:t>
      </w:r>
      <w:proofErr w:type="spellStart"/>
      <w:r w:rsidRPr="000924F6">
        <w:rPr>
          <w:rFonts w:eastAsia="Aptos" w:cs="Tahoma"/>
          <w:color w:val="000000"/>
          <w:lang w:val="en-US"/>
        </w:rPr>
        <w:t>Programme</w:t>
      </w:r>
      <w:proofErr w:type="spellEnd"/>
      <w:r w:rsidRPr="000924F6">
        <w:rPr>
          <w:rFonts w:eastAsia="Aptos" w:cs="Tahoma"/>
          <w:color w:val="000000"/>
          <w:lang w:val="en-US"/>
        </w:rPr>
        <w:t xml:space="preserve"> </w:t>
      </w:r>
      <w:r w:rsidRPr="00BC32F9">
        <w:rPr>
          <w:rFonts w:eastAsia="Aptos" w:cs="Tahoma"/>
          <w:color w:val="000000"/>
          <w:lang w:val="en-US"/>
        </w:rPr>
        <w:t>or the National Recovery and Resilience Plan</w:t>
      </w:r>
      <w:r>
        <w:rPr>
          <w:rFonts w:eastAsia="Aptos" w:cs="Tahoma"/>
          <w:color w:val="000000"/>
          <w:lang w:val="en-US"/>
        </w:rPr>
        <w:t xml:space="preserve">, </w:t>
      </w:r>
      <w:r w:rsidRPr="00850284">
        <w:rPr>
          <w:rFonts w:eastAsia="Aptos" w:cs="Tahoma"/>
          <w:color w:val="000000"/>
          <w:lang w:val="en-US"/>
        </w:rPr>
        <w:t xml:space="preserve">which offer simpler procedures, faster application assessment, no own contribution requirement, and less formal burdens. </w:t>
      </w:r>
      <w:r w:rsidRPr="00850284">
        <w:rPr>
          <w:rFonts w:eastAsia="Arimo" w:cs="Tahoma"/>
          <w:color w:val="000000"/>
          <w:lang w:val="en-US"/>
        </w:rPr>
        <w:t xml:space="preserve"> </w:t>
      </w:r>
    </w:p>
    <w:p w14:paraId="0A6541CA" w14:textId="77777777" w:rsidR="002A7511" w:rsidRPr="00850284" w:rsidRDefault="002A7511" w:rsidP="002A7511">
      <w:pPr>
        <w:rPr>
          <w:rFonts w:cs="Tahoma"/>
          <w:lang w:val="en-US"/>
        </w:rPr>
      </w:pPr>
      <w:r w:rsidRPr="00850284">
        <w:rPr>
          <w:rFonts w:eastAsia="Aptos Bold" w:cs="Tahoma"/>
          <w:b/>
          <w:bCs/>
          <w:color w:val="640B68"/>
          <w:lang w:val="en-US"/>
        </w:rPr>
        <w:t>MEASURES TO IMPROVE INTEREST IN APPLYING FOR SUPPORT</w:t>
      </w:r>
      <w:r w:rsidRPr="00850284">
        <w:rPr>
          <w:rFonts w:eastAsia="Arimo" w:cs="Tahoma"/>
          <w:color w:val="000000"/>
          <w:lang w:val="en-US"/>
        </w:rPr>
        <w:t xml:space="preserve"> </w:t>
      </w:r>
    </w:p>
    <w:p w14:paraId="699985BF" w14:textId="77777777" w:rsidR="002A7511" w:rsidRPr="00850284" w:rsidRDefault="002A7511" w:rsidP="002A7511">
      <w:pPr>
        <w:rPr>
          <w:rFonts w:cs="Tahoma"/>
          <w:lang w:val="en-US"/>
        </w:rPr>
      </w:pPr>
      <w:r w:rsidRPr="00850284">
        <w:rPr>
          <w:rFonts w:eastAsia="Aptos" w:cs="Tahoma"/>
          <w:color w:val="640B68"/>
          <w:lang w:val="en-US"/>
        </w:rPr>
        <w:t xml:space="preserve">Corrective measures taken so far </w:t>
      </w:r>
      <w:r w:rsidRPr="00850284">
        <w:rPr>
          <w:rFonts w:eastAsia="Arimo" w:cs="Tahoma"/>
          <w:color w:val="000000"/>
          <w:lang w:val="en-US"/>
        </w:rPr>
        <w:t xml:space="preserve"> </w:t>
      </w:r>
    </w:p>
    <w:p w14:paraId="41ACE666" w14:textId="77777777" w:rsidR="002A7511" w:rsidRPr="00850284" w:rsidRDefault="002A7511" w:rsidP="002A7511">
      <w:pPr>
        <w:rPr>
          <w:rFonts w:cs="Tahoma"/>
          <w:lang w:val="en-US"/>
        </w:rPr>
      </w:pPr>
      <w:r w:rsidRPr="00850284">
        <w:rPr>
          <w:rFonts w:eastAsia="Aptos" w:cs="Tahoma"/>
          <w:color w:val="000000"/>
          <w:lang w:val="en-US"/>
        </w:rPr>
        <w:t xml:space="preserve">The Managing Authority's has taken measures aimed at increasing interest in applying and/or facilitating the application process. Some of these measures were introduced at the very beginning of the Program's implementation, including in particular: </w:t>
      </w:r>
      <w:r w:rsidRPr="00850284">
        <w:rPr>
          <w:rFonts w:eastAsia="Arimo" w:cs="Tahoma"/>
          <w:color w:val="000000"/>
          <w:lang w:val="en-US"/>
        </w:rPr>
        <w:t xml:space="preserve"> </w:t>
      </w:r>
    </w:p>
    <w:p w14:paraId="210FB41E"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 xml:space="preserve">flexible wording of the criterion "Compliance with the relevant </w:t>
      </w:r>
      <w:r w:rsidRPr="00BF796F">
        <w:rPr>
          <w:rFonts w:cs="Tahoma"/>
          <w:lang w:val="en-GB"/>
        </w:rPr>
        <w:t>Integrated Territorial Investments</w:t>
      </w:r>
      <w:r w:rsidRPr="00850284">
        <w:rPr>
          <w:rFonts w:eastAsia="Aptos" w:cs="Tahoma"/>
          <w:color w:val="000000"/>
          <w:lang w:val="en-US"/>
        </w:rPr>
        <w:t xml:space="preserve"> strategy for </w:t>
      </w:r>
      <w:r w:rsidRPr="00297582">
        <w:rPr>
          <w:rFonts w:eastAsia="Aptos" w:cs="Tahoma"/>
          <w:color w:val="000000"/>
          <w:lang w:val="en-US"/>
        </w:rPr>
        <w:t xml:space="preserve">Territorial Policy Area </w:t>
      </w:r>
      <w:r w:rsidRPr="00850284">
        <w:rPr>
          <w:rFonts w:eastAsia="Aptos" w:cs="Tahoma"/>
          <w:color w:val="000000"/>
          <w:lang w:val="en-US"/>
        </w:rPr>
        <w:t xml:space="preserve">" / "Compliance with </w:t>
      </w:r>
      <w:r w:rsidRPr="00850284">
        <w:rPr>
          <w:rFonts w:eastAsia="Aptos" w:cs="Tahoma"/>
          <w:color w:val="000000"/>
          <w:lang w:val="en-US"/>
        </w:rPr>
        <w:lastRenderedPageBreak/>
        <w:t xml:space="preserve">the relevant </w:t>
      </w:r>
      <w:r w:rsidRPr="00297582">
        <w:rPr>
          <w:rFonts w:cs="Tahoma"/>
          <w:lang w:val="en-GB"/>
        </w:rPr>
        <w:t>Integrated Territorial Investments</w:t>
      </w:r>
      <w:r w:rsidRPr="00850284">
        <w:rPr>
          <w:rFonts w:eastAsia="Aptos" w:cs="Tahoma"/>
          <w:color w:val="000000"/>
          <w:lang w:val="en-US"/>
        </w:rPr>
        <w:t xml:space="preserve"> strategy" – allowing partnership projects whose territorial strategies have not yet been approved to apply;</w:t>
      </w:r>
      <w:r w:rsidRPr="00850284">
        <w:rPr>
          <w:rFonts w:eastAsia="Arimo" w:cs="Tahoma"/>
          <w:color w:val="000000"/>
          <w:lang w:val="en-US"/>
        </w:rPr>
        <w:t xml:space="preserve"> </w:t>
      </w:r>
    </w:p>
    <w:p w14:paraId="727DAD4D"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the possibility of updating project lists in territorial agreements, including project fiches attached to the agreements, and only then requiring the updating of territorial strategies, which is a condition for concluding project co-financing agreements;</w:t>
      </w:r>
      <w:r w:rsidRPr="00850284">
        <w:rPr>
          <w:rFonts w:eastAsia="Arimo" w:cs="Tahoma"/>
          <w:color w:val="000000"/>
          <w:lang w:val="en-US"/>
        </w:rPr>
        <w:t xml:space="preserve"> </w:t>
      </w:r>
    </w:p>
    <w:p w14:paraId="5A6E4AF9" w14:textId="77777777" w:rsidR="002A7511" w:rsidRPr="00850284" w:rsidRDefault="002A7511" w:rsidP="002A7511">
      <w:pPr>
        <w:numPr>
          <w:ilvl w:val="0"/>
          <w:numId w:val="69"/>
        </w:numPr>
        <w:spacing w:before="0" w:after="0"/>
        <w:rPr>
          <w:rFonts w:cs="Tahoma"/>
          <w:lang w:val="en-US"/>
        </w:rPr>
      </w:pPr>
      <w:r w:rsidRPr="00850284">
        <w:rPr>
          <w:rFonts w:eastAsia="Aptos" w:cs="Tahoma"/>
          <w:color w:val="000000"/>
          <w:lang w:val="en-US"/>
        </w:rPr>
        <w:t>the possibility for partnerships to obtain approval from the Managing Authority to transfer funds (allocations) between specific objectives within the same Policy Objective.</w:t>
      </w:r>
      <w:r w:rsidRPr="00850284">
        <w:rPr>
          <w:rFonts w:eastAsia="Arimo" w:cs="Tahoma"/>
          <w:color w:val="000000"/>
          <w:lang w:val="en-US"/>
        </w:rPr>
        <w:t xml:space="preserve"> </w:t>
      </w:r>
    </w:p>
    <w:p w14:paraId="543F10CA" w14:textId="77777777" w:rsidR="002A7511" w:rsidRPr="00850284" w:rsidRDefault="002A7511" w:rsidP="002A7511">
      <w:pPr>
        <w:rPr>
          <w:rFonts w:cs="Tahoma"/>
        </w:rPr>
      </w:pPr>
      <w:r w:rsidRPr="00850284">
        <w:rPr>
          <w:rFonts w:eastAsia="Aptos" w:cs="Tahoma"/>
          <w:color w:val="000000"/>
          <w:lang w:val="en-US"/>
        </w:rPr>
        <w:t xml:space="preserve">In turn, some of the measures were changes resulting from identified difficulties in implementation. </w:t>
      </w:r>
      <w:r w:rsidRPr="00850284">
        <w:rPr>
          <w:rFonts w:eastAsia="Aptos" w:cs="Tahoma"/>
          <w:color w:val="000000"/>
        </w:rPr>
        <w:t xml:space="preserve">In </w:t>
      </w:r>
      <w:proofErr w:type="spellStart"/>
      <w:r w:rsidRPr="00850284">
        <w:rPr>
          <w:rFonts w:eastAsia="Aptos" w:cs="Tahoma"/>
          <w:color w:val="000000"/>
        </w:rPr>
        <w:t>this</w:t>
      </w:r>
      <w:proofErr w:type="spellEnd"/>
      <w:r w:rsidRPr="00850284">
        <w:rPr>
          <w:rFonts w:eastAsia="Aptos" w:cs="Tahoma"/>
          <w:color w:val="000000"/>
        </w:rPr>
        <w:t xml:space="preserve"> </w:t>
      </w:r>
      <w:proofErr w:type="spellStart"/>
      <w:r w:rsidRPr="00850284">
        <w:rPr>
          <w:rFonts w:eastAsia="Aptos" w:cs="Tahoma"/>
          <w:color w:val="000000"/>
        </w:rPr>
        <w:t>case</w:t>
      </w:r>
      <w:proofErr w:type="spellEnd"/>
      <w:r w:rsidRPr="00850284">
        <w:rPr>
          <w:rFonts w:eastAsia="Aptos" w:cs="Tahoma"/>
          <w:color w:val="000000"/>
        </w:rPr>
        <w:t xml:space="preserve">, the </w:t>
      </w:r>
      <w:proofErr w:type="spellStart"/>
      <w:r w:rsidRPr="00850284">
        <w:rPr>
          <w:rFonts w:eastAsia="Aptos" w:cs="Tahoma"/>
          <w:color w:val="000000"/>
        </w:rPr>
        <w:t>following</w:t>
      </w:r>
      <w:proofErr w:type="spellEnd"/>
      <w:r w:rsidRPr="00850284">
        <w:rPr>
          <w:rFonts w:eastAsia="Aptos" w:cs="Tahoma"/>
          <w:color w:val="000000"/>
        </w:rPr>
        <w:t xml:space="preserve"> </w:t>
      </w:r>
      <w:proofErr w:type="spellStart"/>
      <w:r w:rsidRPr="00850284">
        <w:rPr>
          <w:rFonts w:eastAsia="Aptos" w:cs="Tahoma"/>
          <w:color w:val="000000"/>
        </w:rPr>
        <w:t>can</w:t>
      </w:r>
      <w:proofErr w:type="spellEnd"/>
      <w:r w:rsidRPr="00850284">
        <w:rPr>
          <w:rFonts w:eastAsia="Aptos" w:cs="Tahoma"/>
          <w:color w:val="000000"/>
        </w:rPr>
        <w:t xml:space="preserve"> be </w:t>
      </w:r>
      <w:proofErr w:type="spellStart"/>
      <w:r w:rsidRPr="00850284">
        <w:rPr>
          <w:rFonts w:eastAsia="Aptos" w:cs="Tahoma"/>
          <w:color w:val="000000"/>
        </w:rPr>
        <w:t>pointed</w:t>
      </w:r>
      <w:proofErr w:type="spellEnd"/>
      <w:r w:rsidRPr="00850284">
        <w:rPr>
          <w:rFonts w:eastAsia="Aptos" w:cs="Tahoma"/>
          <w:color w:val="000000"/>
        </w:rPr>
        <w:t xml:space="preserve"> out:</w:t>
      </w:r>
      <w:r w:rsidRPr="00850284">
        <w:rPr>
          <w:rFonts w:eastAsia="Arimo" w:cs="Tahoma"/>
          <w:color w:val="000000"/>
        </w:rPr>
        <w:t xml:space="preserve"> </w:t>
      </w:r>
    </w:p>
    <w:p w14:paraId="12740986" w14:textId="77777777" w:rsidR="002A7511" w:rsidRPr="00850284" w:rsidRDefault="002A7511" w:rsidP="002A7511">
      <w:pPr>
        <w:numPr>
          <w:ilvl w:val="0"/>
          <w:numId w:val="70"/>
        </w:numPr>
        <w:spacing w:before="0" w:after="0"/>
        <w:rPr>
          <w:rFonts w:cs="Tahoma"/>
          <w:lang w:val="en-US"/>
        </w:rPr>
      </w:pPr>
      <w:r w:rsidRPr="00850284">
        <w:rPr>
          <w:rFonts w:eastAsia="Aptos" w:cs="Tahoma"/>
          <w:color w:val="000000"/>
          <w:lang w:val="en-US"/>
        </w:rPr>
        <w:t>meetings and consultations between Managing Authority staff and partnership representatives, both before and after the launch of calls for proposals under the territorial policy. Their purpose was to clarify any doubts, identify problems and possible improvements/changes;</w:t>
      </w:r>
      <w:r w:rsidRPr="00850284">
        <w:rPr>
          <w:rFonts w:eastAsia="Arimo" w:cs="Tahoma"/>
          <w:color w:val="000000"/>
          <w:lang w:val="en-US"/>
        </w:rPr>
        <w:t xml:space="preserve"> </w:t>
      </w:r>
    </w:p>
    <w:p w14:paraId="089E21FD" w14:textId="77777777" w:rsidR="002A7511" w:rsidRPr="00850284" w:rsidRDefault="002A7511" w:rsidP="002A7511">
      <w:pPr>
        <w:numPr>
          <w:ilvl w:val="0"/>
          <w:numId w:val="70"/>
        </w:numPr>
        <w:spacing w:before="0" w:after="0"/>
        <w:rPr>
          <w:rFonts w:cs="Tahoma"/>
          <w:lang w:val="en-US"/>
        </w:rPr>
      </w:pPr>
      <w:r w:rsidRPr="00850284">
        <w:rPr>
          <w:rFonts w:eastAsia="Aptos" w:cs="Tahoma"/>
          <w:color w:val="000000"/>
          <w:lang w:val="en-US"/>
        </w:rPr>
        <w:t>deviation from the rule of "a maximum of two calls for proposals per thematic area" (replacement of so-called continuous calls for proposals with short/targeted calls), which was intended to improve the effectiveness of implementation.</w:t>
      </w:r>
      <w:r w:rsidRPr="00850284">
        <w:rPr>
          <w:rFonts w:eastAsia="Arimo" w:cs="Tahoma"/>
          <w:color w:val="000000"/>
          <w:lang w:val="en-US"/>
        </w:rPr>
        <w:t xml:space="preserve"> </w:t>
      </w:r>
    </w:p>
    <w:p w14:paraId="358AA540" w14:textId="77777777" w:rsidR="002A7511" w:rsidRPr="00850284" w:rsidRDefault="002A7511" w:rsidP="002A7511">
      <w:pPr>
        <w:rPr>
          <w:rFonts w:cs="Tahoma"/>
          <w:lang w:val="en-US"/>
        </w:rPr>
      </w:pPr>
      <w:r w:rsidRPr="00850284">
        <w:rPr>
          <w:rFonts w:eastAsia="Aptos" w:cs="Tahoma"/>
          <w:color w:val="640B68"/>
          <w:lang w:val="en-US"/>
        </w:rPr>
        <w:t xml:space="preserve">Proposed actions and changes for the future </w:t>
      </w:r>
      <w:r w:rsidRPr="00850284">
        <w:rPr>
          <w:rFonts w:eastAsia="Arimo" w:cs="Tahoma"/>
          <w:color w:val="000000"/>
          <w:lang w:val="en-US"/>
        </w:rPr>
        <w:t xml:space="preserve"> </w:t>
      </w:r>
    </w:p>
    <w:p w14:paraId="22F266E3" w14:textId="77777777" w:rsidR="002A7511" w:rsidRPr="00850284" w:rsidRDefault="002A7511" w:rsidP="002A7511">
      <w:pPr>
        <w:rPr>
          <w:rFonts w:cs="Tahoma"/>
          <w:lang w:val="en-US"/>
        </w:rPr>
      </w:pPr>
      <w:r w:rsidRPr="00850284">
        <w:rPr>
          <w:rFonts w:eastAsia="Aptos Bold" w:cs="Tahoma"/>
          <w:b/>
          <w:bCs/>
          <w:color w:val="000000"/>
          <w:lang w:val="en-US"/>
        </w:rPr>
        <w:t>Territorial policy</w:t>
      </w:r>
      <w:r w:rsidRPr="00850284">
        <w:rPr>
          <w:rFonts w:eastAsia="Arimo" w:cs="Tahoma"/>
          <w:color w:val="000000"/>
          <w:lang w:val="en-US"/>
        </w:rPr>
        <w:t xml:space="preserve"> </w:t>
      </w:r>
    </w:p>
    <w:p w14:paraId="4861D5C0" w14:textId="77777777" w:rsidR="002A7511" w:rsidRPr="00850284" w:rsidRDefault="002A7511" w:rsidP="002A7511">
      <w:pPr>
        <w:rPr>
          <w:rFonts w:cs="Tahoma"/>
          <w:lang w:val="en-US"/>
        </w:rPr>
      </w:pPr>
      <w:r w:rsidRPr="00850284">
        <w:rPr>
          <w:rFonts w:eastAsia="Aptos" w:cs="Tahoma"/>
          <w:color w:val="000000"/>
          <w:lang w:val="en-US"/>
        </w:rPr>
        <w:t xml:space="preserve">When proposing changes to territorial policy that could increase its effectiveness, we took into account the fact that, in accordance with the assumptions of the territorial policy in the province, all calls for proposals should be completed by August 2025. This would mean that no more calls for proposals under territorial policy would be announced in this perspective – however, any decisions in this regard will only be made after analyzing the effectiveness of all calls for proposals conducted until August this year. </w:t>
      </w:r>
      <w:r w:rsidRPr="00850284">
        <w:rPr>
          <w:rFonts w:eastAsia="Arimo" w:cs="Tahoma"/>
          <w:color w:val="000000"/>
          <w:lang w:val="en-US"/>
        </w:rPr>
        <w:t xml:space="preserve"> </w:t>
      </w:r>
    </w:p>
    <w:p w14:paraId="6C5204EF" w14:textId="77777777" w:rsidR="002A7511" w:rsidRPr="00850284" w:rsidRDefault="002A7511" w:rsidP="002A7511">
      <w:pPr>
        <w:rPr>
          <w:rFonts w:cs="Tahoma"/>
          <w:lang w:val="en-US"/>
        </w:rPr>
      </w:pPr>
      <w:r w:rsidRPr="00850284">
        <w:rPr>
          <w:rFonts w:eastAsia="Aptos" w:cs="Tahoma"/>
          <w:color w:val="000000"/>
          <w:lang w:val="en-US"/>
        </w:rPr>
        <w:t>With regard to the next financial perspective, we propose, above all:</w:t>
      </w:r>
      <w:r w:rsidRPr="00850284">
        <w:rPr>
          <w:rFonts w:eastAsia="Arimo" w:cs="Tahoma"/>
          <w:color w:val="000000"/>
          <w:lang w:val="en-US"/>
        </w:rPr>
        <w:t xml:space="preserve"> </w:t>
      </w:r>
    </w:p>
    <w:p w14:paraId="21942B07"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Excluding support for entrepreneurship/business infrastructure development from territorial policy.</w:t>
      </w:r>
      <w:r w:rsidRPr="00850284">
        <w:rPr>
          <w:rFonts w:eastAsia="Arimo" w:cs="Tahoma"/>
          <w:color w:val="000000"/>
          <w:lang w:val="en-US"/>
        </w:rPr>
        <w:t xml:space="preserve"> </w:t>
      </w:r>
    </w:p>
    <w:p w14:paraId="4C437C17"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Introducing solutions (e.g., scoring criteria allowing for the creation of ranking lists) that will strengthen "competition" among applicants in territorial policy, thus motivating them to prepare project fiches more quickly and to apply efficiently. Efficient preparation and approval of project fiche lists will also allow for faster conclusion/approval of relevant documents/strategies necessary in the application process.</w:t>
      </w:r>
      <w:r w:rsidRPr="00850284">
        <w:rPr>
          <w:rFonts w:eastAsia="Arimo" w:cs="Tahoma"/>
          <w:color w:val="000000"/>
          <w:lang w:val="en-US"/>
        </w:rPr>
        <w:t xml:space="preserve"> </w:t>
      </w:r>
    </w:p>
    <w:p w14:paraId="53FC624F"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 xml:space="preserve">Increasing the role of partnerships (primarily their leaders) in the process of verifying and approving project fiches/lists of projects to be implemented, </w:t>
      </w:r>
      <w:r w:rsidRPr="00311FA2">
        <w:rPr>
          <w:rFonts w:eastAsia="Aptos" w:cs="Tahoma"/>
          <w:color w:val="000000"/>
          <w:lang w:val="en-US"/>
        </w:rPr>
        <w:t>while reducing the role of the Managing Authority in this process.</w:t>
      </w:r>
    </w:p>
    <w:p w14:paraId="14545661"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lastRenderedPageBreak/>
        <w:t>Conducting an analysis of the validity of including the list of project fiches as an annex to territorial agreements. An alternative solution could be to include in such an annex only a list/inventory of projects with a brief description and information on what indicators they will implement.</w:t>
      </w:r>
      <w:r w:rsidRPr="00850284">
        <w:rPr>
          <w:rFonts w:eastAsia="Arimo" w:cs="Tahoma"/>
          <w:color w:val="000000"/>
          <w:lang w:val="en-US"/>
        </w:rPr>
        <w:t xml:space="preserve"> </w:t>
      </w:r>
    </w:p>
    <w:p w14:paraId="02828D60" w14:textId="77777777" w:rsidR="002A7511" w:rsidRPr="00850284" w:rsidRDefault="002A7511" w:rsidP="002A7511">
      <w:pPr>
        <w:numPr>
          <w:ilvl w:val="0"/>
          <w:numId w:val="71"/>
        </w:numPr>
        <w:spacing w:before="0" w:after="0"/>
        <w:rPr>
          <w:rFonts w:cs="Tahoma"/>
          <w:lang w:val="en-US"/>
        </w:rPr>
      </w:pPr>
      <w:r w:rsidRPr="00850284">
        <w:rPr>
          <w:rFonts w:eastAsia="Aptos" w:cs="Tahoma"/>
          <w:color w:val="000000"/>
          <w:lang w:val="en-US"/>
        </w:rPr>
        <w:t>Introduction of the obligation for partnerships to apply the criterion of "technical/implementation readiness" already at the early stage of project identification.</w:t>
      </w:r>
      <w:r w:rsidRPr="00850284">
        <w:rPr>
          <w:rFonts w:eastAsia="Arimo" w:cs="Tahoma"/>
          <w:color w:val="000000"/>
          <w:lang w:val="en-US"/>
        </w:rPr>
        <w:t xml:space="preserve"> </w:t>
      </w:r>
    </w:p>
    <w:p w14:paraId="65764FF3" w14:textId="77777777" w:rsidR="002A7511" w:rsidRPr="00850284" w:rsidRDefault="002A7511" w:rsidP="002A7511">
      <w:pPr>
        <w:rPr>
          <w:rFonts w:cs="Tahoma"/>
          <w:lang w:val="en-US"/>
        </w:rPr>
      </w:pPr>
      <w:r w:rsidRPr="00850284">
        <w:rPr>
          <w:rFonts w:eastAsia="Aptos Bold" w:cs="Tahoma"/>
          <w:b/>
          <w:bCs/>
          <w:color w:val="000000"/>
          <w:lang w:val="en-US"/>
        </w:rPr>
        <w:t>Non-competitive method of project selection</w:t>
      </w:r>
      <w:r w:rsidRPr="00850284">
        <w:rPr>
          <w:rFonts w:eastAsia="Arimo" w:cs="Tahoma"/>
          <w:color w:val="000000"/>
          <w:lang w:val="en-US"/>
        </w:rPr>
        <w:t xml:space="preserve"> </w:t>
      </w:r>
    </w:p>
    <w:p w14:paraId="06E60057" w14:textId="77777777" w:rsidR="002A7511" w:rsidRPr="00850284" w:rsidRDefault="002A7511" w:rsidP="002A7511">
      <w:pPr>
        <w:spacing w:line="288" w:lineRule="auto"/>
        <w:rPr>
          <w:rFonts w:cs="Tahoma"/>
          <w:lang w:val="en-US"/>
        </w:rPr>
      </w:pPr>
      <w:r w:rsidRPr="00850284">
        <w:rPr>
          <w:rFonts w:eastAsia="Aptos" w:cs="Tahoma"/>
          <w:color w:val="000000"/>
          <w:lang w:val="en-US"/>
        </w:rPr>
        <w:t>The identified difficulties concerning the non-competitive method of project selection indicate the need for changes, which should concern:</w:t>
      </w:r>
      <w:r w:rsidRPr="00850284">
        <w:rPr>
          <w:rFonts w:eastAsia="Arimo" w:cs="Tahoma"/>
          <w:color w:val="000000"/>
          <w:lang w:val="en-US"/>
        </w:rPr>
        <w:t xml:space="preserve"> </w:t>
      </w:r>
    </w:p>
    <w:p w14:paraId="40A7B2AB" w14:textId="77777777" w:rsidR="002A7511" w:rsidRPr="00850284" w:rsidRDefault="002A7511" w:rsidP="002A7511">
      <w:pPr>
        <w:numPr>
          <w:ilvl w:val="0"/>
          <w:numId w:val="72"/>
        </w:numPr>
        <w:spacing w:before="0" w:after="0"/>
        <w:rPr>
          <w:rFonts w:cs="Tahoma"/>
          <w:lang w:val="en-US"/>
        </w:rPr>
      </w:pPr>
      <w:r w:rsidRPr="00850284">
        <w:rPr>
          <w:rFonts w:eastAsia="Aptos" w:cs="Tahoma"/>
          <w:color w:val="000000"/>
          <w:lang w:val="en-US"/>
        </w:rPr>
        <w:t>Analysis of the validity of introducing the possibility of two corrections of errors at the stage of evaluating non-competitive projects.</w:t>
      </w:r>
      <w:r w:rsidRPr="00850284">
        <w:rPr>
          <w:rFonts w:eastAsia="Arimo" w:cs="Tahoma"/>
          <w:color w:val="000000"/>
          <w:lang w:val="en-US"/>
        </w:rPr>
        <w:t xml:space="preserve"> </w:t>
      </w:r>
    </w:p>
    <w:p w14:paraId="7C7E1246" w14:textId="77777777" w:rsidR="002A7511" w:rsidRPr="00850284" w:rsidRDefault="002A7511" w:rsidP="002A7511">
      <w:pPr>
        <w:numPr>
          <w:ilvl w:val="0"/>
          <w:numId w:val="72"/>
        </w:numPr>
        <w:spacing w:before="0" w:after="0"/>
        <w:rPr>
          <w:rFonts w:cs="Tahoma"/>
          <w:lang w:val="en-US"/>
        </w:rPr>
      </w:pPr>
      <w:r w:rsidRPr="00850284">
        <w:rPr>
          <w:rFonts w:eastAsia="Aptos" w:cs="Tahoma"/>
          <w:color w:val="000000"/>
          <w:lang w:val="en-US"/>
        </w:rPr>
        <w:t xml:space="preserve">Ensuring that employees of departments involved in the implementation of non-competitive projects (applicants/beneficiaries of the Program) whose positions are not financed from Technical Assistance have access to appropriate training. The subject matter of such training should be relevant to the specific nature of the tasks performed in connection with the preparation and implementation of projects. Such training could be organized using </w:t>
      </w:r>
      <w:r w:rsidRPr="008C09B9">
        <w:rPr>
          <w:rFonts w:eastAsia="Aptos" w:cs="Tahoma"/>
          <w:color w:val="000000"/>
          <w:lang w:val="en-US"/>
        </w:rPr>
        <w:t xml:space="preserve">Marshal's Office of the </w:t>
      </w:r>
      <w:proofErr w:type="spellStart"/>
      <w:r w:rsidRPr="008C09B9">
        <w:rPr>
          <w:rFonts w:eastAsia="Aptos" w:cs="Tahoma"/>
          <w:color w:val="000000"/>
          <w:lang w:val="en-US"/>
        </w:rPr>
        <w:t>Kujawsko-Pomorskie</w:t>
      </w:r>
      <w:proofErr w:type="spellEnd"/>
      <w:r w:rsidRPr="008C09B9">
        <w:rPr>
          <w:rFonts w:eastAsia="Aptos" w:cs="Tahoma"/>
          <w:color w:val="000000"/>
          <w:lang w:val="en-US"/>
        </w:rPr>
        <w:t xml:space="preserve"> Province</w:t>
      </w:r>
      <w:r w:rsidRPr="00850284">
        <w:rPr>
          <w:rFonts w:eastAsia="Aptos" w:cs="Tahoma"/>
          <w:color w:val="000000"/>
          <w:lang w:val="en-US"/>
        </w:rPr>
        <w:t xml:space="preserve"> funds; another solution would be to include these employees among the recipients of training aimed at beneficiaries.</w:t>
      </w:r>
      <w:r w:rsidRPr="00850284">
        <w:rPr>
          <w:rFonts w:eastAsia="Arimo" w:cs="Tahoma"/>
          <w:color w:val="000000"/>
          <w:lang w:val="en-US"/>
        </w:rPr>
        <w:t xml:space="preserve"> </w:t>
      </w:r>
    </w:p>
    <w:p w14:paraId="0B900490" w14:textId="77777777" w:rsidR="002A7511" w:rsidRPr="00850284" w:rsidRDefault="002A7511" w:rsidP="002A7511">
      <w:pPr>
        <w:rPr>
          <w:rFonts w:cs="Tahoma"/>
          <w:lang w:val="en-US"/>
        </w:rPr>
      </w:pPr>
      <w:r w:rsidRPr="00850284">
        <w:rPr>
          <w:rFonts w:eastAsia="Aptos Bold" w:cs="Tahoma"/>
          <w:b/>
          <w:bCs/>
          <w:color w:val="000000"/>
          <w:lang w:val="en-US"/>
        </w:rPr>
        <w:t>Other proposals for changes and improvements</w:t>
      </w:r>
      <w:r w:rsidRPr="00850284">
        <w:rPr>
          <w:rFonts w:eastAsia="Arimo" w:cs="Tahoma"/>
          <w:color w:val="000000"/>
          <w:lang w:val="en-US"/>
        </w:rPr>
        <w:t xml:space="preserve"> </w:t>
      </w:r>
    </w:p>
    <w:p w14:paraId="2F0BC8FA" w14:textId="77777777" w:rsidR="002A7511" w:rsidRPr="00850284" w:rsidRDefault="002A7511" w:rsidP="002A7511">
      <w:pPr>
        <w:rPr>
          <w:rFonts w:cs="Tahoma"/>
          <w:lang w:val="en-US"/>
        </w:rPr>
      </w:pPr>
      <w:r w:rsidRPr="00850284">
        <w:rPr>
          <w:rFonts w:eastAsia="Aptos" w:cs="Tahoma"/>
          <w:color w:val="000000"/>
          <w:lang w:val="en-US"/>
        </w:rPr>
        <w:t xml:space="preserve">In the area of the Program implementation system, in order to increase the effectiveness of calls for proposals, it is recommended to: </w:t>
      </w:r>
      <w:r w:rsidRPr="00850284">
        <w:rPr>
          <w:rFonts w:eastAsia="Arimo" w:cs="Tahoma"/>
          <w:color w:val="000000"/>
          <w:lang w:val="en-US"/>
        </w:rPr>
        <w:t xml:space="preserve"> </w:t>
      </w:r>
    </w:p>
    <w:p w14:paraId="7229EF4A"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introducing even more proactive and diversified channels of communication with potential applicants (newsletters, SMS notifications, direct mailing, mailing lists based on data from previous calls for proposals), </w:t>
      </w:r>
      <w:r w:rsidRPr="00850284">
        <w:rPr>
          <w:rFonts w:eastAsia="Arimo" w:cs="Tahoma"/>
          <w:color w:val="000000"/>
          <w:lang w:val="en-US"/>
        </w:rPr>
        <w:t xml:space="preserve"> </w:t>
      </w:r>
    </w:p>
    <w:p w14:paraId="4DCDED3B"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clearly marking changes in the rules of calls for proposals and attachments by posting files with visible changes, rather than just describing the changes in communications,</w:t>
      </w:r>
      <w:r w:rsidRPr="00850284">
        <w:rPr>
          <w:rFonts w:eastAsia="Arimo" w:cs="Tahoma"/>
          <w:color w:val="000000"/>
          <w:lang w:val="en-US"/>
        </w:rPr>
        <w:t xml:space="preserve"> </w:t>
      </w:r>
    </w:p>
    <w:p w14:paraId="7012DA4E"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streamlining the process of responding to applicants' questions and publishing </w:t>
      </w:r>
      <w:r w:rsidRPr="00374B7A">
        <w:rPr>
          <w:rFonts w:eastAsia="Aptos" w:cs="Tahoma"/>
          <w:color w:val="000000"/>
          <w:lang w:val="en-GB"/>
        </w:rPr>
        <w:t>Questions and Answers</w:t>
      </w:r>
      <w:r w:rsidRPr="00850284">
        <w:rPr>
          <w:rFonts w:eastAsia="Aptos" w:cs="Tahoma"/>
          <w:color w:val="000000"/>
          <w:lang w:val="en-US"/>
        </w:rPr>
        <w:t>, as well as creating a repository of questions and answers,</w:t>
      </w:r>
      <w:r w:rsidRPr="00850284">
        <w:rPr>
          <w:rFonts w:eastAsia="Arimo" w:cs="Tahoma"/>
          <w:color w:val="000000"/>
          <w:lang w:val="en-US"/>
        </w:rPr>
        <w:t xml:space="preserve"> </w:t>
      </w:r>
    </w:p>
    <w:p w14:paraId="1E4DD56E"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better planning of calls for proposals in terms of time, avoiding their accumulation – in small local government units, several parallel competitions overload staff and force them to reject some applications,</w:t>
      </w:r>
      <w:r w:rsidRPr="00850284">
        <w:rPr>
          <w:rFonts w:eastAsia="Arimo" w:cs="Tahoma"/>
          <w:color w:val="000000"/>
          <w:lang w:val="en-US"/>
        </w:rPr>
        <w:t xml:space="preserve"> </w:t>
      </w:r>
    </w:p>
    <w:p w14:paraId="2B019070"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 xml:space="preserve">supplementing the instructions for completing the </w:t>
      </w:r>
      <w:r w:rsidRPr="004174D3">
        <w:rPr>
          <w:rFonts w:eastAsia="Aptos" w:cs="Tahoma"/>
          <w:color w:val="000000"/>
          <w:lang w:val="en-US"/>
        </w:rPr>
        <w:t>European Regional Development Fund</w:t>
      </w:r>
      <w:r w:rsidRPr="00850284">
        <w:rPr>
          <w:rFonts w:eastAsia="Aptos" w:cs="Tahoma"/>
          <w:color w:val="000000"/>
          <w:lang w:val="en-US"/>
        </w:rPr>
        <w:t xml:space="preserve"> and </w:t>
      </w:r>
      <w:r w:rsidRPr="004174D3">
        <w:rPr>
          <w:rFonts w:eastAsia="Aptos" w:cs="Tahoma"/>
          <w:color w:val="000000"/>
          <w:lang w:val="en-US"/>
        </w:rPr>
        <w:t xml:space="preserve">European Social Fund Plus </w:t>
      </w:r>
      <w:r w:rsidRPr="00850284">
        <w:rPr>
          <w:rFonts w:eastAsia="Aptos" w:cs="Tahoma"/>
          <w:color w:val="000000"/>
          <w:lang w:val="en-US"/>
        </w:rPr>
        <w:t xml:space="preserve">applications with substantive elements – a proposal for the next financial perspective, </w:t>
      </w:r>
      <w:r w:rsidRPr="00850284">
        <w:rPr>
          <w:rFonts w:eastAsia="Arimo" w:cs="Tahoma"/>
          <w:color w:val="000000"/>
          <w:lang w:val="en-US"/>
        </w:rPr>
        <w:t xml:space="preserve"> </w:t>
      </w:r>
    </w:p>
    <w:p w14:paraId="760EEA5B"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lastRenderedPageBreak/>
        <w:t>expanding the substantive part of the instructions for completing the application with examples, publishing the instructions in an editable format,</w:t>
      </w:r>
      <w:r w:rsidRPr="00850284">
        <w:rPr>
          <w:rFonts w:eastAsia="Arimo" w:cs="Tahoma"/>
          <w:color w:val="000000"/>
          <w:lang w:val="en-US"/>
        </w:rPr>
        <w:t xml:space="preserve"> </w:t>
      </w:r>
    </w:p>
    <w:p w14:paraId="3541A4D0" w14:textId="77777777" w:rsidR="002A7511" w:rsidRPr="00850284" w:rsidRDefault="002A7511" w:rsidP="002A7511">
      <w:pPr>
        <w:numPr>
          <w:ilvl w:val="0"/>
          <w:numId w:val="73"/>
        </w:numPr>
        <w:spacing w:before="0" w:after="0"/>
        <w:rPr>
          <w:rFonts w:cs="Tahoma"/>
          <w:lang w:val="en-US"/>
        </w:rPr>
      </w:pPr>
      <w:r w:rsidRPr="00850284">
        <w:rPr>
          <w:rFonts w:eastAsia="Aptos" w:cs="Tahoma"/>
          <w:color w:val="000000"/>
          <w:lang w:val="en-US"/>
        </w:rPr>
        <w:t>transferring unused allocations from preschool education to general and vocational education,</w:t>
      </w:r>
      <w:r w:rsidRPr="00850284">
        <w:rPr>
          <w:rFonts w:eastAsia="Arimo" w:cs="Tahoma"/>
          <w:color w:val="000000"/>
          <w:lang w:val="en-US"/>
        </w:rPr>
        <w:t xml:space="preserve"> </w:t>
      </w:r>
    </w:p>
    <w:p w14:paraId="0E3FD623" w14:textId="0063CD8E" w:rsidR="00007B9E" w:rsidRPr="002A7511" w:rsidRDefault="002A7511" w:rsidP="002A7511">
      <w:pPr>
        <w:numPr>
          <w:ilvl w:val="0"/>
          <w:numId w:val="73"/>
        </w:numPr>
        <w:spacing w:before="0" w:after="0"/>
        <w:rPr>
          <w:rStyle w:val="normaltextrun"/>
          <w:rFonts w:cs="Tahoma"/>
          <w:lang w:val="en-US"/>
        </w:rPr>
      </w:pPr>
      <w:r w:rsidRPr="00850284">
        <w:rPr>
          <w:rFonts w:eastAsia="Aptos" w:cs="Tahoma"/>
          <w:color w:val="000000"/>
          <w:lang w:val="en-US"/>
        </w:rPr>
        <w:t>changing the conditions for support in Measure 8.24 by raising the financial limits.</w:t>
      </w:r>
      <w:r w:rsidR="00007B9E" w:rsidRPr="002A7511">
        <w:rPr>
          <w:rStyle w:val="normaltextrun"/>
          <w:rFonts w:cstheme="minorHAnsi"/>
          <w:color w:val="0B0E9D" w:themeColor="accent1" w:themeShade="BF"/>
          <w:sz w:val="40"/>
          <w:szCs w:val="40"/>
          <w:lang w:val="en-GB"/>
        </w:rPr>
        <w:br w:type="page"/>
      </w:r>
    </w:p>
    <w:p w14:paraId="44F312BC" w14:textId="1CA20252" w:rsidR="74CC5DE0" w:rsidRPr="00A17ED5" w:rsidRDefault="00A17ED5" w:rsidP="00A17ED5">
      <w:pPr>
        <w:pStyle w:val="Nagwek1"/>
        <w:spacing w:before="360"/>
        <w:rPr>
          <w:rFonts w:asciiTheme="minorHAnsi" w:hAnsiTheme="minorHAnsi" w:cstheme="minorHAnsi"/>
          <w:color w:val="0B0E9D" w:themeColor="accent1" w:themeShade="BF"/>
          <w:sz w:val="40"/>
          <w:szCs w:val="40"/>
        </w:rPr>
      </w:pPr>
      <w:bookmarkStart w:id="2" w:name="_Toc208593135"/>
      <w:r>
        <w:rPr>
          <w:rStyle w:val="normaltextrun"/>
          <w:rFonts w:asciiTheme="minorHAnsi" w:hAnsiTheme="minorHAnsi" w:cstheme="minorHAnsi"/>
          <w:color w:val="0B0E9D" w:themeColor="accent1" w:themeShade="BF"/>
          <w:sz w:val="40"/>
          <w:szCs w:val="40"/>
        </w:rPr>
        <w:lastRenderedPageBreak/>
        <w:t>WPROWADZENIE</w:t>
      </w:r>
      <w:bookmarkEnd w:id="2"/>
      <w:r w:rsidR="74CC5DE0" w:rsidRPr="00A17ED5">
        <w:rPr>
          <w:rFonts w:eastAsia="Calibri" w:cstheme="minorHAnsi"/>
        </w:rPr>
        <w:t xml:space="preserve"> </w:t>
      </w:r>
    </w:p>
    <w:p w14:paraId="14CA96E7" w14:textId="16F78425" w:rsidR="00FA776A" w:rsidRPr="00B81E8F" w:rsidRDefault="00FA776A" w:rsidP="75B6B527">
      <w:pPr>
        <w:rPr>
          <w:rFonts w:cstheme="minorHAnsi"/>
          <w:b/>
          <w:bCs/>
          <w:color w:val="640B68" w:themeColor="accent3" w:themeShade="BF"/>
        </w:rPr>
      </w:pPr>
      <w:r w:rsidRPr="00B81E8F">
        <w:rPr>
          <w:rFonts w:cstheme="minorHAnsi"/>
          <w:b/>
          <w:bCs/>
          <w:color w:val="640B68" w:themeColor="accent3" w:themeShade="BF"/>
        </w:rPr>
        <w:t>Cele badania</w:t>
      </w:r>
    </w:p>
    <w:p w14:paraId="7BF33CFF" w14:textId="41972EB2" w:rsidR="00D60FFF" w:rsidRDefault="00D60FFF" w:rsidP="00D60FFF">
      <w:pPr>
        <w:spacing w:after="160" w:line="257" w:lineRule="auto"/>
        <w:rPr>
          <w:rFonts w:eastAsia="Calibri" w:cstheme="minorHAnsi"/>
        </w:rPr>
      </w:pPr>
      <w:r w:rsidRPr="008570E4">
        <w:rPr>
          <w:rFonts w:eastAsia="Calibri" w:cstheme="minorHAnsi"/>
        </w:rPr>
        <w:t xml:space="preserve">Celem badania </w:t>
      </w:r>
      <w:r>
        <w:rPr>
          <w:rFonts w:eastAsia="Calibri" w:cstheme="minorHAnsi"/>
        </w:rPr>
        <w:t>było</w:t>
      </w:r>
      <w:r w:rsidRPr="008570E4">
        <w:rPr>
          <w:rFonts w:eastAsia="Calibri" w:cstheme="minorHAnsi"/>
        </w:rPr>
        <w:t xml:space="preserve"> zidentyfikowanie przyczyn niskie</w:t>
      </w:r>
      <w:r w:rsidR="0059357F">
        <w:rPr>
          <w:rFonts w:eastAsia="Calibri" w:cstheme="minorHAnsi"/>
        </w:rPr>
        <w:t>go</w:t>
      </w:r>
      <w:r w:rsidRPr="008570E4">
        <w:rPr>
          <w:rFonts w:eastAsia="Calibri" w:cstheme="minorHAnsi"/>
        </w:rPr>
        <w:t xml:space="preserve"> zainteresowani</w:t>
      </w:r>
      <w:r w:rsidR="0059357F">
        <w:rPr>
          <w:rFonts w:eastAsia="Calibri" w:cstheme="minorHAnsi"/>
        </w:rPr>
        <w:t>a</w:t>
      </w:r>
      <w:r w:rsidRPr="008570E4">
        <w:rPr>
          <w:rFonts w:eastAsia="Calibri" w:cstheme="minorHAnsi"/>
        </w:rPr>
        <w:t xml:space="preserve"> aplikowaniem o wsparcie uruchamiane w ramach </w:t>
      </w:r>
      <w:r w:rsidR="0042543E">
        <w:rPr>
          <w:rFonts w:eastAsia="Calibri" w:cstheme="minorHAnsi"/>
        </w:rPr>
        <w:t xml:space="preserve">wybranych </w:t>
      </w:r>
      <w:r w:rsidRPr="008570E4">
        <w:rPr>
          <w:rFonts w:eastAsia="Calibri" w:cstheme="minorHAnsi"/>
        </w:rPr>
        <w:t>naborów FEdKP 2021-2027 oraz zaproponowanie działań zaradczych, które pozwolą uniknąć podobnych sytuacji w przyszłości.</w:t>
      </w:r>
    </w:p>
    <w:p w14:paraId="338B67F7" w14:textId="27FD449B" w:rsidR="00B01EE0" w:rsidRPr="008570E4" w:rsidRDefault="00B01EE0" w:rsidP="00B01EE0">
      <w:pPr>
        <w:keepNext/>
        <w:spacing w:before="0" w:after="160" w:line="257" w:lineRule="auto"/>
        <w:rPr>
          <w:rFonts w:cstheme="minorHAnsi"/>
        </w:rPr>
      </w:pPr>
      <w:r w:rsidRPr="008570E4">
        <w:rPr>
          <w:rFonts w:eastAsia="Calibri" w:cstheme="minorHAnsi"/>
        </w:rPr>
        <w:t>Głównymi kryteriami oceny b</w:t>
      </w:r>
      <w:r>
        <w:rPr>
          <w:rFonts w:eastAsia="Calibri" w:cstheme="minorHAnsi"/>
        </w:rPr>
        <w:t>yły</w:t>
      </w:r>
      <w:r w:rsidRPr="008570E4">
        <w:rPr>
          <w:rFonts w:eastAsia="Calibri" w:cstheme="minorHAnsi"/>
        </w:rPr>
        <w:t>:</w:t>
      </w:r>
    </w:p>
    <w:p w14:paraId="0620353E" w14:textId="5C736E58" w:rsidR="00B01EE0" w:rsidRPr="008570E4" w:rsidRDefault="00B01EE0" w:rsidP="00103D76">
      <w:pPr>
        <w:pStyle w:val="Akapitzlist"/>
        <w:numPr>
          <w:ilvl w:val="0"/>
          <w:numId w:val="18"/>
        </w:numPr>
        <w:spacing w:before="0" w:after="0" w:line="257" w:lineRule="auto"/>
        <w:rPr>
          <w:rFonts w:eastAsia="Calibri" w:cstheme="minorHAnsi"/>
        </w:rPr>
      </w:pPr>
      <w:r w:rsidRPr="008570E4">
        <w:rPr>
          <w:rFonts w:eastAsia="Calibri" w:cstheme="minorHAnsi"/>
          <w:b/>
        </w:rPr>
        <w:t xml:space="preserve">Trafność </w:t>
      </w:r>
      <w:r w:rsidRPr="008570E4">
        <w:rPr>
          <w:rFonts w:eastAsia="Calibri" w:cstheme="minorHAnsi"/>
        </w:rPr>
        <w:t>– pozwalająca ocenić, czy nabory są ogłaszane w odpowiednim czasie w odniesieniu do gotowości wnioskodawców do złożenia wniosku oraz czy wymogi w nich stawiane odpowiadają ich oczekiwaniom</w:t>
      </w:r>
      <w:r w:rsidR="001347F6">
        <w:rPr>
          <w:rFonts w:eastAsia="Calibri" w:cstheme="minorHAnsi"/>
        </w:rPr>
        <w:t>;</w:t>
      </w:r>
    </w:p>
    <w:p w14:paraId="04866989" w14:textId="5FE73E99" w:rsidR="00B01EE0" w:rsidRPr="00E33016" w:rsidRDefault="00B01EE0" w:rsidP="00103D76">
      <w:pPr>
        <w:pStyle w:val="Akapitzlist"/>
        <w:numPr>
          <w:ilvl w:val="0"/>
          <w:numId w:val="18"/>
        </w:numPr>
        <w:spacing w:before="0" w:line="257" w:lineRule="auto"/>
        <w:rPr>
          <w:rFonts w:eastAsia="Calibri" w:cstheme="minorHAnsi"/>
        </w:rPr>
      </w:pPr>
      <w:r w:rsidRPr="008570E4">
        <w:rPr>
          <w:rFonts w:eastAsia="Calibri" w:cstheme="minorHAnsi"/>
          <w:b/>
          <w:bCs/>
        </w:rPr>
        <w:t xml:space="preserve">Skuteczność </w:t>
      </w:r>
      <w:r w:rsidRPr="008570E4">
        <w:rPr>
          <w:rFonts w:eastAsia="Calibri" w:cstheme="minorHAnsi"/>
        </w:rPr>
        <w:t xml:space="preserve">– pozwalająca ocenić, w jakim stopniu rozpoznane przyczyny niskiego zainteresowania naborami oraz zaproponowane do podjęcia działania zaradcze pozwolą na zwiększenie zainteresowania aplikowaniem o wsparcie w ramach </w:t>
      </w:r>
      <w:r w:rsidR="004A08C7">
        <w:rPr>
          <w:rFonts w:eastAsia="Calibri" w:cstheme="minorHAnsi"/>
        </w:rPr>
        <w:t>P</w:t>
      </w:r>
      <w:r w:rsidRPr="008570E4">
        <w:rPr>
          <w:rFonts w:eastAsia="Calibri" w:cstheme="minorHAnsi"/>
        </w:rPr>
        <w:t>rogramu FEdKP 2021-2027</w:t>
      </w:r>
      <w:r w:rsidR="001347F6">
        <w:rPr>
          <w:rFonts w:eastAsia="Calibri" w:cstheme="minorHAnsi"/>
        </w:rPr>
        <w:t>.</w:t>
      </w:r>
      <w:r w:rsidRPr="008570E4">
        <w:rPr>
          <w:rFonts w:cstheme="minorHAnsi"/>
        </w:rPr>
        <w:t xml:space="preserve"> </w:t>
      </w:r>
    </w:p>
    <w:p w14:paraId="0DF4C781" w14:textId="5CAA8559" w:rsidR="00B06E03" w:rsidRPr="00B81E8F" w:rsidRDefault="00A17ED5" w:rsidP="75B6B527">
      <w:pPr>
        <w:rPr>
          <w:rFonts w:cstheme="minorHAnsi"/>
          <w:b/>
          <w:bCs/>
          <w:color w:val="640B68" w:themeColor="accent3" w:themeShade="BF"/>
        </w:rPr>
      </w:pPr>
      <w:r w:rsidRPr="00B81E8F">
        <w:rPr>
          <w:rFonts w:cstheme="minorHAnsi"/>
          <w:b/>
          <w:bCs/>
          <w:color w:val="640B68" w:themeColor="accent3" w:themeShade="BF"/>
        </w:rPr>
        <w:t>Przedmiot</w:t>
      </w:r>
      <w:r w:rsidR="00B06E03" w:rsidRPr="00B81E8F">
        <w:rPr>
          <w:rFonts w:cstheme="minorHAnsi"/>
          <w:b/>
          <w:bCs/>
          <w:color w:val="640B68" w:themeColor="accent3" w:themeShade="BF"/>
        </w:rPr>
        <w:t xml:space="preserve"> badania </w:t>
      </w:r>
    </w:p>
    <w:p w14:paraId="79234147" w14:textId="77777777" w:rsidR="00A60DB8" w:rsidRDefault="00531DB7" w:rsidP="75B6B527">
      <w:pPr>
        <w:rPr>
          <w:rFonts w:eastAsia="Calibri" w:cstheme="minorHAnsi"/>
        </w:rPr>
      </w:pPr>
      <w:r>
        <w:rPr>
          <w:rFonts w:eastAsia="Calibri" w:cstheme="minorHAnsi"/>
        </w:rPr>
        <w:t>Analizy dotyczyły</w:t>
      </w:r>
      <w:r w:rsidR="00121C96">
        <w:rPr>
          <w:rFonts w:eastAsia="Calibri" w:cstheme="minorHAnsi"/>
        </w:rPr>
        <w:t xml:space="preserve"> dwóch głównych obszarów</w:t>
      </w:r>
      <w:r w:rsidR="00A60DB8">
        <w:rPr>
          <w:rFonts w:eastAsia="Calibri" w:cstheme="minorHAnsi"/>
        </w:rPr>
        <w:t>:</w:t>
      </w:r>
    </w:p>
    <w:p w14:paraId="5A759462" w14:textId="7FD901B9" w:rsidR="00B06E03" w:rsidRPr="00DC146E" w:rsidRDefault="00DC146E" w:rsidP="00103D76">
      <w:pPr>
        <w:pStyle w:val="Akapitzlist"/>
        <w:numPr>
          <w:ilvl w:val="0"/>
          <w:numId w:val="19"/>
        </w:numPr>
        <w:rPr>
          <w:rFonts w:eastAsia="Calibri" w:cstheme="minorHAnsi"/>
        </w:rPr>
      </w:pPr>
      <w:r w:rsidRPr="008570E4">
        <w:rPr>
          <w:rFonts w:cstheme="minorHAnsi"/>
          <w:b/>
          <w:bCs/>
        </w:rPr>
        <w:t>o</w:t>
      </w:r>
      <w:r w:rsidRPr="008570E4">
        <w:rPr>
          <w:rFonts w:eastAsia="Calibri" w:cstheme="minorHAnsi"/>
          <w:b/>
          <w:bCs/>
        </w:rPr>
        <w:t>kreślenie przyczyn wpływających na stopień zainteresowania naborami</w:t>
      </w:r>
      <w:r w:rsidR="0042797D">
        <w:rPr>
          <w:rFonts w:eastAsia="Calibri" w:cstheme="minorHAnsi"/>
          <w:b/>
          <w:bCs/>
        </w:rPr>
        <w:t>,</w:t>
      </w:r>
    </w:p>
    <w:p w14:paraId="2F7F3D30" w14:textId="45596EEA" w:rsidR="00DC146E" w:rsidRPr="00861699" w:rsidRDefault="007C69D9" w:rsidP="00103D76">
      <w:pPr>
        <w:pStyle w:val="Akapitzlist"/>
        <w:numPr>
          <w:ilvl w:val="0"/>
          <w:numId w:val="19"/>
        </w:numPr>
        <w:rPr>
          <w:rFonts w:eastAsia="Calibri" w:cstheme="minorHAnsi"/>
        </w:rPr>
      </w:pPr>
      <w:r>
        <w:rPr>
          <w:rFonts w:eastAsia="Calibri" w:cstheme="minorHAnsi"/>
        </w:rPr>
        <w:t xml:space="preserve">identyfikacja </w:t>
      </w:r>
      <w:r w:rsidR="0042797D" w:rsidRPr="008570E4">
        <w:rPr>
          <w:rFonts w:cstheme="minorHAnsi"/>
        </w:rPr>
        <w:t>potrzebnych</w:t>
      </w:r>
      <w:r w:rsidR="0042797D" w:rsidRPr="008570E4">
        <w:rPr>
          <w:rFonts w:eastAsia="Calibri" w:cstheme="minorHAnsi"/>
          <w:b/>
          <w:bCs/>
        </w:rPr>
        <w:t xml:space="preserve"> działań zaradczych, które wpłyną na poprawę zainteresowania aplikowaniem o wsparcie, uruchamiane w ramach naborów </w:t>
      </w:r>
      <w:r w:rsidR="004A08C7">
        <w:rPr>
          <w:rFonts w:eastAsia="Calibri" w:cstheme="minorHAnsi"/>
          <w:b/>
          <w:bCs/>
        </w:rPr>
        <w:t>P</w:t>
      </w:r>
      <w:r w:rsidR="0042797D" w:rsidRPr="008570E4">
        <w:rPr>
          <w:rFonts w:eastAsia="Calibri" w:cstheme="minorHAnsi"/>
          <w:b/>
          <w:bCs/>
        </w:rPr>
        <w:t>rogramu FEdKP 2021-2027</w:t>
      </w:r>
      <w:r w:rsidR="0042797D">
        <w:rPr>
          <w:rFonts w:eastAsia="Calibri" w:cstheme="minorHAnsi"/>
          <w:b/>
          <w:bCs/>
        </w:rPr>
        <w:t>.</w:t>
      </w:r>
    </w:p>
    <w:p w14:paraId="5CB255B7" w14:textId="69197635" w:rsidR="00861699" w:rsidRPr="00861699" w:rsidRDefault="00861699" w:rsidP="00861699">
      <w:pPr>
        <w:rPr>
          <w:rFonts w:eastAsia="Calibri" w:cstheme="minorHAnsi"/>
        </w:rPr>
      </w:pPr>
      <w:r>
        <w:rPr>
          <w:rFonts w:eastAsia="Calibri" w:cstheme="minorHAnsi"/>
        </w:rPr>
        <w:t>Analizą objęto 47 naborów</w:t>
      </w:r>
      <w:r w:rsidR="0064024E">
        <w:rPr>
          <w:rFonts w:eastAsia="Calibri" w:cstheme="minorHAnsi"/>
        </w:rPr>
        <w:t xml:space="preserve"> – szczegółową charakterystykę tych naborów przedstawiono w rozdziale 4.1 raportu</w:t>
      </w:r>
      <w:r w:rsidR="00E11184">
        <w:rPr>
          <w:rFonts w:eastAsia="Calibri" w:cstheme="minorHAnsi"/>
        </w:rPr>
        <w:t>.</w:t>
      </w:r>
    </w:p>
    <w:p w14:paraId="43DC5E42" w14:textId="554BDE54" w:rsidR="00B06E03" w:rsidRPr="00B81E8F" w:rsidRDefault="00FA776A" w:rsidP="75B6B527">
      <w:pPr>
        <w:rPr>
          <w:rFonts w:cstheme="minorHAnsi"/>
          <w:b/>
          <w:bCs/>
          <w:color w:val="640B68" w:themeColor="accent3" w:themeShade="BF"/>
        </w:rPr>
      </w:pPr>
      <w:r w:rsidRPr="00B81E8F">
        <w:rPr>
          <w:rFonts w:cstheme="minorHAnsi"/>
          <w:b/>
          <w:bCs/>
          <w:color w:val="640B68" w:themeColor="accent3" w:themeShade="BF"/>
        </w:rPr>
        <w:t>Okoliczności towarzyszące badaniu</w:t>
      </w:r>
      <w:r w:rsidR="00B06E03" w:rsidRPr="00B81E8F">
        <w:rPr>
          <w:rFonts w:cstheme="minorHAnsi"/>
          <w:b/>
          <w:bCs/>
          <w:color w:val="640B68" w:themeColor="accent3" w:themeShade="BF"/>
        </w:rPr>
        <w:t xml:space="preserve"> </w:t>
      </w:r>
    </w:p>
    <w:p w14:paraId="4B208A82" w14:textId="1300E01A" w:rsidR="00B06E03" w:rsidRPr="008570E4" w:rsidRDefault="00F05D31" w:rsidP="75B6B527">
      <w:pPr>
        <w:rPr>
          <w:rFonts w:eastAsia="Calibri" w:cstheme="minorHAnsi"/>
        </w:rPr>
      </w:pPr>
      <w:r w:rsidRPr="00F05D31">
        <w:t xml:space="preserve">Badanie realizowane było w okresie </w:t>
      </w:r>
      <w:r w:rsidR="00916FF9">
        <w:t>kwiecień-wrzesień</w:t>
      </w:r>
      <w:r w:rsidRPr="00F05D31">
        <w:t xml:space="preserve"> 2025 roku.</w:t>
      </w:r>
      <w:r w:rsidR="006E1AFD">
        <w:t xml:space="preserve"> </w:t>
      </w:r>
      <w:r w:rsidR="00501536" w:rsidRPr="00B06E03">
        <w:rPr>
          <w:rFonts w:eastAsia="Calibri" w:cstheme="minorHAnsi"/>
        </w:rPr>
        <w:t>Badanie obejm</w:t>
      </w:r>
      <w:r w:rsidR="00501536">
        <w:rPr>
          <w:rFonts w:eastAsia="Calibri" w:cstheme="minorHAnsi"/>
        </w:rPr>
        <w:t>owało</w:t>
      </w:r>
      <w:r w:rsidR="00501536" w:rsidRPr="00B06E03">
        <w:rPr>
          <w:rFonts w:eastAsia="Calibri" w:cstheme="minorHAnsi"/>
        </w:rPr>
        <w:t xml:space="preserve"> okres od zatwierdzenia </w:t>
      </w:r>
      <w:r w:rsidR="00A40A6D">
        <w:rPr>
          <w:rFonts w:eastAsia="Calibri" w:cstheme="minorHAnsi"/>
        </w:rPr>
        <w:t>P</w:t>
      </w:r>
      <w:r w:rsidR="00501536" w:rsidRPr="00B06E03">
        <w:rPr>
          <w:rFonts w:eastAsia="Calibri" w:cstheme="minorHAnsi"/>
        </w:rPr>
        <w:t xml:space="preserve">rogramu FEdKP 2021-2027, tj. od 7.12.2022 roku </w:t>
      </w:r>
      <w:r w:rsidR="00501536" w:rsidRPr="00C94347">
        <w:rPr>
          <w:rFonts w:eastAsia="Calibri" w:cstheme="minorHAnsi"/>
        </w:rPr>
        <w:t xml:space="preserve">do </w:t>
      </w:r>
      <w:r w:rsidR="00501536" w:rsidRPr="00EB4713">
        <w:t>31.0</w:t>
      </w:r>
      <w:r w:rsidR="00501536">
        <w:t>3</w:t>
      </w:r>
      <w:r w:rsidR="00501536" w:rsidRPr="00EB4713">
        <w:t>.202</w:t>
      </w:r>
      <w:r w:rsidR="00501536">
        <w:t>5</w:t>
      </w:r>
      <w:r w:rsidR="00501536" w:rsidRPr="00EB4713">
        <w:t xml:space="preserve"> r. </w:t>
      </w:r>
      <w:r w:rsidR="00501536">
        <w:t xml:space="preserve">(data graniczna wygenerowania danych </w:t>
      </w:r>
      <w:r w:rsidR="00501536" w:rsidRPr="00EB4713">
        <w:t xml:space="preserve">z </w:t>
      </w:r>
      <w:r w:rsidR="00501536">
        <w:t xml:space="preserve">SL2014 oraz </w:t>
      </w:r>
      <w:r w:rsidR="00501536" w:rsidRPr="00EB4713">
        <w:t>CST2021</w:t>
      </w:r>
      <w:r w:rsidR="00501536">
        <w:t>).</w:t>
      </w:r>
      <w:r w:rsidR="00501536" w:rsidRPr="00EB4713">
        <w:t xml:space="preserve"> </w:t>
      </w:r>
    </w:p>
    <w:p w14:paraId="58502FE4" w14:textId="46E9A4CE" w:rsidR="00ED41EA" w:rsidRDefault="00ED41EA" w:rsidP="000B731F">
      <w:pPr>
        <w:pStyle w:val="Nagwek1"/>
        <w:spacing w:before="360"/>
        <w:rPr>
          <w:rStyle w:val="normaltextrun"/>
          <w:rFonts w:asciiTheme="minorHAnsi" w:hAnsiTheme="minorHAnsi" w:cstheme="minorHAnsi"/>
          <w:color w:val="0B0E9D" w:themeColor="accent1" w:themeShade="BF"/>
          <w:sz w:val="40"/>
          <w:szCs w:val="40"/>
        </w:rPr>
      </w:pPr>
      <w:bookmarkStart w:id="3" w:name="_Toc208593136"/>
      <w:r w:rsidRPr="00ED41EA">
        <w:rPr>
          <w:rStyle w:val="normaltextrun"/>
          <w:rFonts w:asciiTheme="minorHAnsi" w:hAnsiTheme="minorHAnsi" w:cstheme="minorHAnsi"/>
          <w:color w:val="0B0E9D" w:themeColor="accent1" w:themeShade="BF"/>
          <w:sz w:val="40"/>
          <w:szCs w:val="40"/>
        </w:rPr>
        <w:t>SYNTETYCZNY OPIS ZASTOSOWANEJ METODOLOGII</w:t>
      </w:r>
      <w:bookmarkEnd w:id="3"/>
      <w:r w:rsidR="00CF08C6">
        <w:rPr>
          <w:rStyle w:val="normaltextrun"/>
          <w:rFonts w:asciiTheme="minorHAnsi" w:hAnsiTheme="minorHAnsi" w:cstheme="minorHAnsi"/>
          <w:color w:val="0B0E9D" w:themeColor="accent1" w:themeShade="BF"/>
          <w:sz w:val="40"/>
          <w:szCs w:val="40"/>
        </w:rPr>
        <w:t xml:space="preserve"> </w:t>
      </w:r>
    </w:p>
    <w:p w14:paraId="0B16A5D5" w14:textId="44AA924F" w:rsidR="00DD6033" w:rsidRDefault="00DD6033" w:rsidP="00ED41EA">
      <w:r>
        <w:t>W trakcie realizacji badania zastosowano następujące metody badawcze:</w:t>
      </w:r>
    </w:p>
    <w:p w14:paraId="24835103" w14:textId="4E4B9153" w:rsidR="004C0D3F" w:rsidRPr="00A41189" w:rsidRDefault="00DD6033" w:rsidP="00A41189">
      <w:pPr>
        <w:spacing w:before="240"/>
        <w:rPr>
          <w:rFonts w:cstheme="minorHAnsi"/>
          <w:b/>
          <w:color w:val="640B68" w:themeColor="accent3" w:themeShade="BF"/>
        </w:rPr>
      </w:pPr>
      <w:r w:rsidRPr="00A41189">
        <w:rPr>
          <w:rFonts w:cstheme="minorHAnsi"/>
          <w:b/>
          <w:color w:val="640B68" w:themeColor="accent3" w:themeShade="BF"/>
        </w:rPr>
        <w:t>Analiza danych zastanych</w:t>
      </w:r>
    </w:p>
    <w:p w14:paraId="01F68DAD" w14:textId="23A1F7CD" w:rsidR="00EA5E05" w:rsidRDefault="00914E34" w:rsidP="006218B6">
      <w:r>
        <w:t xml:space="preserve">Analizie poddano dokumenty programowe i strategiczne, </w:t>
      </w:r>
      <w:r w:rsidR="00FB684A">
        <w:t>d</w:t>
      </w:r>
      <w:r w:rsidR="00FB684A" w:rsidRPr="00FB684A">
        <w:t>okumenty dotyczące polityki terytorialnej</w:t>
      </w:r>
      <w:r w:rsidR="00FB684A">
        <w:t>,</w:t>
      </w:r>
      <w:r w:rsidR="00045CC2">
        <w:t xml:space="preserve"> d</w:t>
      </w:r>
      <w:r w:rsidR="00045CC2" w:rsidRPr="00045CC2">
        <w:t xml:space="preserve">okumenty dotyczące systemu instytucjonalnego, procedur i </w:t>
      </w:r>
      <w:r w:rsidR="00045CC2" w:rsidRPr="00045CC2">
        <w:lastRenderedPageBreak/>
        <w:t>zadań</w:t>
      </w:r>
      <w:r w:rsidR="00BD783F">
        <w:t xml:space="preserve"> (m.in.</w:t>
      </w:r>
      <w:r w:rsidR="00262BC1">
        <w:t xml:space="preserve"> </w:t>
      </w:r>
      <w:r w:rsidR="006218B6">
        <w:t xml:space="preserve">instrukcje wykonawcze IZ, IP WUP i IP ZIT BydOF; Porozumienie w sprawie powierzenia instytucji pośredniczącej zadań związanych z realizacją Funduszy Europejskich dla Kujaw i Pomorza </w:t>
      </w:r>
      <w:r w:rsidR="00130223">
        <w:t>zawarte między zarządem WK-P</w:t>
      </w:r>
      <w:r w:rsidR="006218B6">
        <w:t xml:space="preserve"> a Miastem Bydgoszcz; Porozumienie w sprawie powierzenia instytucji pośredniczącej zadań związanych z realizacją Funduszy Europejskich dla Kujaw i Pomorza 2021-2027 zawarte między zarządem WK-P a Wojewódzkim Urzędem Pracy w Toruniu)</w:t>
      </w:r>
      <w:r w:rsidR="00C317A9">
        <w:t>, d</w:t>
      </w:r>
      <w:r w:rsidR="00C317A9" w:rsidRPr="00C317A9">
        <w:t>okumenty określające warunki realizacji wsparcia</w:t>
      </w:r>
      <w:r w:rsidR="003C2512">
        <w:t xml:space="preserve"> (</w:t>
      </w:r>
      <w:r w:rsidR="006257AA">
        <w:t xml:space="preserve">m.in. </w:t>
      </w:r>
      <w:r w:rsidR="003C2512">
        <w:t>Ustawa</w:t>
      </w:r>
      <w:r w:rsidR="00DA0FFD">
        <w:t xml:space="preserve"> i Wytyczne)</w:t>
      </w:r>
      <w:r w:rsidR="00AD2A44">
        <w:t>, d</w:t>
      </w:r>
      <w:r w:rsidR="00AD2A44" w:rsidRPr="00AD2A44">
        <w:t>okumentacj</w:t>
      </w:r>
      <w:r w:rsidR="00CF54A2">
        <w:t>ę</w:t>
      </w:r>
      <w:r w:rsidR="00AD2A44" w:rsidRPr="00AD2A44">
        <w:t xml:space="preserve"> dotycząc</w:t>
      </w:r>
      <w:r w:rsidR="00CF54A2">
        <w:t>ą</w:t>
      </w:r>
      <w:r w:rsidR="00AD2A44" w:rsidRPr="00AD2A44">
        <w:t xml:space="preserve"> naborów</w:t>
      </w:r>
      <w:r w:rsidR="00631DB9">
        <w:t xml:space="preserve"> (</w:t>
      </w:r>
      <w:r w:rsidR="008E3D5C">
        <w:t>regulaminy i załączniki</w:t>
      </w:r>
      <w:r w:rsidR="00914947">
        <w:t xml:space="preserve">, </w:t>
      </w:r>
      <w:r w:rsidR="00EB4A48" w:rsidRPr="008570E4">
        <w:rPr>
          <w:rFonts w:cstheme="minorHAnsi"/>
        </w:rPr>
        <w:t>poradniki, podręczniki, instrukcje/ instruktaże, wyjaśnienia, wzory dokumentów, inne dokumenty specyficzna dla Działań</w:t>
      </w:r>
      <w:r w:rsidR="00EB4A48">
        <w:rPr>
          <w:rFonts w:cstheme="minorHAnsi"/>
        </w:rPr>
        <w:t>)</w:t>
      </w:r>
      <w:r w:rsidR="00206A0B">
        <w:t>, d</w:t>
      </w:r>
      <w:r w:rsidR="00206A0B" w:rsidRPr="00206A0B">
        <w:t>ane z systemów informatycznych</w:t>
      </w:r>
      <w:r w:rsidR="00256111">
        <w:t xml:space="preserve"> (</w:t>
      </w:r>
      <w:r w:rsidR="00256111" w:rsidRPr="008570E4">
        <w:rPr>
          <w:rFonts w:cstheme="minorHAnsi"/>
        </w:rPr>
        <w:t>SL2014, SOWA EFS oraz CST2021</w:t>
      </w:r>
      <w:r w:rsidR="00256111">
        <w:rPr>
          <w:rFonts w:cstheme="minorHAnsi"/>
        </w:rPr>
        <w:t>), wyniki innych badań ewaluacyjnych</w:t>
      </w:r>
      <w:r w:rsidR="00631DB9">
        <w:rPr>
          <w:rFonts w:cstheme="minorHAnsi"/>
        </w:rPr>
        <w:t>.</w:t>
      </w:r>
      <w:r w:rsidR="000157D8">
        <w:rPr>
          <w:rFonts w:cstheme="minorHAnsi"/>
        </w:rPr>
        <w:t xml:space="preserve"> </w:t>
      </w:r>
    </w:p>
    <w:p w14:paraId="06178BE1" w14:textId="52735D8E" w:rsidR="000157D8" w:rsidRDefault="000B0AB5" w:rsidP="006218B6">
      <w:r>
        <w:rPr>
          <w:rFonts w:cstheme="minorHAnsi"/>
        </w:rPr>
        <w:t>A</w:t>
      </w:r>
      <w:r w:rsidRPr="008570E4">
        <w:rPr>
          <w:rFonts w:cstheme="minorHAnsi"/>
        </w:rPr>
        <w:t>naliza danych zastanych pozwoli</w:t>
      </w:r>
      <w:r>
        <w:rPr>
          <w:rFonts w:cstheme="minorHAnsi"/>
        </w:rPr>
        <w:t>ła</w:t>
      </w:r>
      <w:r w:rsidRPr="008570E4">
        <w:rPr>
          <w:rFonts w:cstheme="minorHAnsi"/>
        </w:rPr>
        <w:t xml:space="preserve"> na uzupełnienie odpowiedzi na wszystkie pytania badawcze, w tym na identyfikację naborów wymagających szczególnej uwagi, ocenę skuteczności strategii terytorialnych oraz </w:t>
      </w:r>
      <w:r>
        <w:rPr>
          <w:rFonts w:cstheme="minorHAnsi"/>
        </w:rPr>
        <w:t>zidentyfikowanie</w:t>
      </w:r>
      <w:r w:rsidRPr="008570E4">
        <w:rPr>
          <w:rFonts w:cstheme="minorHAnsi"/>
        </w:rPr>
        <w:t xml:space="preserve"> czynników zewnętrznych</w:t>
      </w:r>
      <w:r>
        <w:rPr>
          <w:rFonts w:cstheme="minorHAnsi"/>
        </w:rPr>
        <w:t xml:space="preserve"> mogących mieć wpływ</w:t>
      </w:r>
      <w:r w:rsidRPr="008570E4">
        <w:rPr>
          <w:rFonts w:cstheme="minorHAnsi"/>
        </w:rPr>
        <w:t xml:space="preserve"> na niskie zainteresowanie aplikowaniem. Dane te zosta</w:t>
      </w:r>
      <w:r w:rsidR="003072AA">
        <w:rPr>
          <w:rFonts w:cstheme="minorHAnsi"/>
        </w:rPr>
        <w:t>ły</w:t>
      </w:r>
      <w:r w:rsidRPr="008570E4">
        <w:rPr>
          <w:rFonts w:cstheme="minorHAnsi"/>
        </w:rPr>
        <w:t xml:space="preserve"> również zestawione z wynikami badań jakościowych i ilościowych</w:t>
      </w:r>
      <w:r w:rsidR="003072AA">
        <w:rPr>
          <w:rFonts w:cstheme="minorHAnsi"/>
        </w:rPr>
        <w:t>.</w:t>
      </w:r>
    </w:p>
    <w:p w14:paraId="3FD3EAF4" w14:textId="77777777" w:rsidR="004E1B95" w:rsidRPr="00A41189" w:rsidRDefault="000951FF" w:rsidP="00A41189">
      <w:pPr>
        <w:spacing w:before="240"/>
        <w:rPr>
          <w:rFonts w:cstheme="minorHAnsi"/>
          <w:b/>
          <w:color w:val="640B68" w:themeColor="accent3" w:themeShade="BF"/>
        </w:rPr>
      </w:pPr>
      <w:r w:rsidRPr="00A41189">
        <w:rPr>
          <w:rFonts w:cstheme="minorHAnsi"/>
          <w:b/>
          <w:color w:val="640B68" w:themeColor="accent3" w:themeShade="BF"/>
        </w:rPr>
        <w:t xml:space="preserve">Bezpośrednie/ telefoniczne/ zdalne wywiady pogłębione </w:t>
      </w:r>
    </w:p>
    <w:p w14:paraId="6C26E302" w14:textId="62D61E95" w:rsidR="000951FF" w:rsidRDefault="004E1B95" w:rsidP="004E1B95">
      <w:r>
        <w:t>Zrealizowano</w:t>
      </w:r>
      <w:r w:rsidR="001E75F5">
        <w:t xml:space="preserve"> 17 wywiadów pogłębionych </w:t>
      </w:r>
      <w:r w:rsidR="00052B7C">
        <w:t>z:</w:t>
      </w:r>
    </w:p>
    <w:p w14:paraId="402841F3" w14:textId="68D90DB8" w:rsidR="00590C9D" w:rsidRPr="008570E4" w:rsidRDefault="00590C9D" w:rsidP="00103D76">
      <w:pPr>
        <w:pStyle w:val="Akapitzlist"/>
        <w:numPr>
          <w:ilvl w:val="0"/>
          <w:numId w:val="20"/>
        </w:numPr>
        <w:spacing w:line="264" w:lineRule="auto"/>
        <w:contextualSpacing w:val="0"/>
        <w:textAlignment w:val="baseline"/>
        <w:rPr>
          <w:rFonts w:eastAsia="Calibri" w:cstheme="minorHAnsi"/>
        </w:rPr>
      </w:pPr>
      <w:r w:rsidRPr="008570E4">
        <w:rPr>
          <w:rFonts w:eastAsia="Calibri" w:cstheme="minorHAnsi"/>
          <w:b/>
          <w:bCs/>
        </w:rPr>
        <w:t>przedstawicielami</w:t>
      </w:r>
      <w:r w:rsidRPr="008570E4">
        <w:rPr>
          <w:rFonts w:eastAsia="Calibri" w:cstheme="minorHAnsi"/>
        </w:rPr>
        <w:t xml:space="preserve"> </w:t>
      </w:r>
      <w:r w:rsidR="00A258B0" w:rsidRPr="00A258B0">
        <w:rPr>
          <w:rFonts w:eastAsia="Calibri" w:cstheme="minorHAnsi"/>
          <w:b/>
          <w:bCs/>
        </w:rPr>
        <w:t>Urzędu Marszałkowskiego Województwa Kujawsko-Pomorskiego zaangażowanymi w realizację FEdKP 2021-2027</w:t>
      </w:r>
      <w:r w:rsidRPr="008570E4">
        <w:rPr>
          <w:rFonts w:eastAsia="Calibri" w:cstheme="minorHAnsi"/>
        </w:rPr>
        <w:t xml:space="preserve"> (8 wywiadów)</w:t>
      </w:r>
      <w:r>
        <w:rPr>
          <w:rFonts w:eastAsia="Calibri" w:cstheme="minorHAnsi"/>
        </w:rPr>
        <w:t xml:space="preserve"> w:</w:t>
      </w:r>
      <w:r w:rsidRPr="008570E4">
        <w:rPr>
          <w:rFonts w:eastAsia="Calibri" w:cstheme="minorHAnsi"/>
        </w:rPr>
        <w:t xml:space="preserve"> </w:t>
      </w:r>
    </w:p>
    <w:p w14:paraId="6376E037"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Departamencie Zarządzania Funduszami Europejskimi dla Kujaw i Pomorza (Wydziałach</w:t>
      </w:r>
      <w:r w:rsidR="00D17657">
        <w:rPr>
          <w:rFonts w:eastAsia="Calibri" w:cstheme="minorHAnsi"/>
        </w:rPr>
        <w:t>:</w:t>
      </w:r>
      <w:r w:rsidRPr="008570E4">
        <w:rPr>
          <w:rFonts w:eastAsia="Calibri" w:cstheme="minorHAnsi"/>
        </w:rPr>
        <w:t xml:space="preserve"> Programowania, </w:t>
      </w:r>
      <w:r w:rsidR="00D17657" w:rsidRPr="00D17657">
        <w:rPr>
          <w:rFonts w:eastAsia="Calibri" w:cstheme="minorHAnsi"/>
        </w:rPr>
        <w:t>Przedsiębiorczości i Instrumentów Finansowych</w:t>
      </w:r>
      <w:r w:rsidR="00D17657">
        <w:rPr>
          <w:rFonts w:eastAsia="Calibri" w:cstheme="minorHAnsi"/>
        </w:rPr>
        <w:t>,</w:t>
      </w:r>
      <w:r w:rsidRPr="008570E4">
        <w:rPr>
          <w:rFonts w:eastAsia="Calibri" w:cstheme="minorHAnsi"/>
        </w:rPr>
        <w:t xml:space="preserve"> Zarządzania Programami Regionalnymi i Wydziale Punktów Informacyjnych Funduszy Europejskich), </w:t>
      </w:r>
    </w:p>
    <w:p w14:paraId="62848F1F"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 xml:space="preserve">Departamencie Wdrażania Funduszy Europejskich dla Kujaw i Pomorza oraz </w:t>
      </w:r>
    </w:p>
    <w:p w14:paraId="12737CBE" w14:textId="77777777" w:rsidR="00590C9D" w:rsidRPr="008570E4" w:rsidRDefault="00590C9D" w:rsidP="00103D76">
      <w:pPr>
        <w:pStyle w:val="Akapitzlist"/>
        <w:numPr>
          <w:ilvl w:val="1"/>
          <w:numId w:val="20"/>
        </w:numPr>
        <w:spacing w:line="264" w:lineRule="auto"/>
        <w:contextualSpacing w:val="0"/>
        <w:rPr>
          <w:rFonts w:eastAsia="Calibri" w:cstheme="minorHAnsi"/>
        </w:rPr>
      </w:pPr>
      <w:r w:rsidRPr="008570E4">
        <w:rPr>
          <w:rFonts w:eastAsia="Calibri" w:cstheme="minorHAnsi"/>
        </w:rPr>
        <w:t>Departamencie Koordynacji Projektów Unijnych i Inwestycji.</w:t>
      </w:r>
    </w:p>
    <w:p w14:paraId="603A6BF8" w14:textId="1BDAC52C" w:rsidR="000D3786" w:rsidRPr="008570E4" w:rsidRDefault="000D3786" w:rsidP="00103D76">
      <w:pPr>
        <w:pStyle w:val="Akapitzlist"/>
        <w:numPr>
          <w:ilvl w:val="0"/>
          <w:numId w:val="20"/>
        </w:numPr>
        <w:spacing w:line="264" w:lineRule="auto"/>
        <w:contextualSpacing w:val="0"/>
        <w:textAlignment w:val="baseline"/>
        <w:rPr>
          <w:rFonts w:eastAsia="Calibri" w:cstheme="minorHAnsi"/>
        </w:rPr>
      </w:pPr>
      <w:r w:rsidRPr="008570E4">
        <w:rPr>
          <w:rFonts w:eastAsia="Calibri" w:cstheme="minorHAnsi"/>
          <w:b/>
          <w:bCs/>
        </w:rPr>
        <w:t xml:space="preserve">przedstawicielami Instytucji Pośredniczących w </w:t>
      </w:r>
      <w:r w:rsidR="00A40A6D">
        <w:rPr>
          <w:rFonts w:eastAsia="Calibri" w:cstheme="minorHAnsi"/>
          <w:b/>
          <w:bCs/>
        </w:rPr>
        <w:t>P</w:t>
      </w:r>
      <w:r w:rsidRPr="008570E4">
        <w:rPr>
          <w:rFonts w:eastAsia="Calibri" w:cstheme="minorHAnsi"/>
          <w:b/>
          <w:bCs/>
        </w:rPr>
        <w:t>rogramie</w:t>
      </w:r>
      <w:r w:rsidRPr="008570E4">
        <w:rPr>
          <w:rFonts w:eastAsia="Calibri" w:cstheme="minorHAnsi"/>
        </w:rPr>
        <w:t xml:space="preserve"> </w:t>
      </w:r>
      <w:r w:rsidR="00A40A6D" w:rsidRPr="008570E4">
        <w:rPr>
          <w:rFonts w:eastAsia="Calibri" w:cstheme="minorHAnsi"/>
          <w:b/>
          <w:bCs/>
        </w:rPr>
        <w:t>FEdKP</w:t>
      </w:r>
      <w:r w:rsidR="00A40A6D" w:rsidRPr="008570E4" w:rsidDel="00A40A6D">
        <w:rPr>
          <w:rFonts w:eastAsia="Calibri" w:cstheme="minorHAnsi"/>
          <w:b/>
          <w:bCs/>
        </w:rPr>
        <w:t xml:space="preserve"> </w:t>
      </w:r>
      <w:r w:rsidRPr="008570E4">
        <w:rPr>
          <w:rFonts w:eastAsia="Calibri" w:cstheme="minorHAnsi"/>
          <w:b/>
          <w:bCs/>
        </w:rPr>
        <w:t xml:space="preserve">2021-2027 </w:t>
      </w:r>
      <w:r w:rsidRPr="008570E4">
        <w:rPr>
          <w:rFonts w:eastAsia="Calibri" w:cstheme="minorHAnsi"/>
        </w:rPr>
        <w:t xml:space="preserve">(2 wywiady): </w:t>
      </w:r>
    </w:p>
    <w:p w14:paraId="3C4D0493" w14:textId="77777777" w:rsidR="000D3786" w:rsidRPr="008570E4" w:rsidRDefault="000D3786" w:rsidP="00103D76">
      <w:pPr>
        <w:pStyle w:val="Akapitzlist"/>
        <w:numPr>
          <w:ilvl w:val="1"/>
          <w:numId w:val="20"/>
        </w:numPr>
        <w:spacing w:line="264" w:lineRule="auto"/>
        <w:contextualSpacing w:val="0"/>
        <w:textAlignment w:val="baseline"/>
        <w:rPr>
          <w:rFonts w:eastAsia="Calibri" w:cstheme="minorHAnsi"/>
        </w:rPr>
      </w:pPr>
      <w:r w:rsidRPr="008570E4">
        <w:rPr>
          <w:rFonts w:eastAsia="Calibri" w:cstheme="minorHAnsi"/>
          <w:b/>
          <w:bCs/>
        </w:rPr>
        <w:t>przedstawicielem</w:t>
      </w:r>
      <w:r w:rsidRPr="008570E4">
        <w:rPr>
          <w:rFonts w:eastAsia="Calibri" w:cstheme="minorHAnsi"/>
          <w:b/>
        </w:rPr>
        <w:t xml:space="preserve"> Wydziału Wdrażania Funduszy Europejskich Wojewódzkiego Urzędu Pracy w Toruniu</w:t>
      </w:r>
      <w:r w:rsidRPr="008570E4">
        <w:rPr>
          <w:rFonts w:eastAsia="Calibri" w:cstheme="minorHAnsi"/>
        </w:rPr>
        <w:t xml:space="preserve"> pełniącym funkcję kierowniczą w działaniach związanych z FEdKP 2021-2027 (1 wywiad)</w:t>
      </w:r>
    </w:p>
    <w:p w14:paraId="71B5626D" w14:textId="705CE9E3" w:rsidR="000D3786" w:rsidRPr="008570E4" w:rsidRDefault="00C869EE" w:rsidP="00103D76">
      <w:pPr>
        <w:pStyle w:val="Akapitzlist"/>
        <w:numPr>
          <w:ilvl w:val="1"/>
          <w:numId w:val="20"/>
        </w:numPr>
        <w:spacing w:line="264" w:lineRule="auto"/>
        <w:contextualSpacing w:val="0"/>
        <w:textAlignment w:val="baseline"/>
        <w:rPr>
          <w:rFonts w:eastAsia="Calibri" w:cstheme="minorHAnsi"/>
        </w:rPr>
      </w:pPr>
      <w:r>
        <w:rPr>
          <w:rFonts w:eastAsia="Calibri" w:cstheme="minorHAnsi"/>
        </w:rPr>
        <w:t>p</w:t>
      </w:r>
      <w:r w:rsidRPr="008570E4">
        <w:rPr>
          <w:rFonts w:eastAsia="Calibri" w:cstheme="minorHAnsi"/>
        </w:rPr>
        <w:t xml:space="preserve">rzedstawicielem </w:t>
      </w:r>
      <w:r w:rsidR="000D3786" w:rsidRPr="008570E4">
        <w:rPr>
          <w:rFonts w:eastAsia="Calibri" w:cstheme="minorHAnsi"/>
          <w:b/>
        </w:rPr>
        <w:t xml:space="preserve">Miasta Bydgoszcz reprezentującego Związek Zintegrowanych Inwestycji Terytorialnych Bydgoskiego Obszaru Funkcjonalnego </w:t>
      </w:r>
      <w:r w:rsidR="000D3786" w:rsidRPr="0054718D">
        <w:t>pełniącym</w:t>
      </w:r>
      <w:r w:rsidR="000D3786" w:rsidRPr="008570E4">
        <w:rPr>
          <w:rFonts w:eastAsia="Calibri" w:cstheme="minorHAnsi"/>
        </w:rPr>
        <w:t xml:space="preserve"> funkcję kierowniczą w działaniach związanych z FEdKP 2021-2027 (1 wywiad). </w:t>
      </w:r>
    </w:p>
    <w:p w14:paraId="41F92918" w14:textId="5E172BC8" w:rsidR="005F3156" w:rsidRPr="002639C8" w:rsidRDefault="007E0160" w:rsidP="00103D76">
      <w:pPr>
        <w:pStyle w:val="Akapitzlist"/>
        <w:numPr>
          <w:ilvl w:val="0"/>
          <w:numId w:val="20"/>
        </w:numPr>
      </w:pPr>
      <w:r w:rsidRPr="00D84769">
        <w:rPr>
          <w:rFonts w:eastAsia="Calibri" w:cstheme="minorHAnsi"/>
          <w:b/>
          <w:bCs/>
        </w:rPr>
        <w:lastRenderedPageBreak/>
        <w:t xml:space="preserve">przedstawicielami </w:t>
      </w:r>
      <w:r w:rsidR="00D84769" w:rsidRPr="00D84769">
        <w:rPr>
          <w:rFonts w:eastAsia="Calibri" w:cstheme="minorHAnsi"/>
          <w:b/>
          <w:bCs/>
        </w:rPr>
        <w:t>JST</w:t>
      </w:r>
      <w:r w:rsidR="00D84769" w:rsidRPr="00D84769">
        <w:rPr>
          <w:rFonts w:eastAsia="Calibri" w:cstheme="minorHAnsi"/>
        </w:rPr>
        <w:t xml:space="preserve"> tworzących i/lub będących liderem ZIT/OPPT (innych niż miasto Bydgoszcz) </w:t>
      </w:r>
      <w:r w:rsidR="00BF6FEA" w:rsidRPr="00406930">
        <w:rPr>
          <w:rFonts w:eastAsia="Calibri" w:cstheme="minorHAnsi"/>
        </w:rPr>
        <w:t>(4 wywiady)</w:t>
      </w:r>
      <w:r w:rsidR="005B22AF">
        <w:rPr>
          <w:rFonts w:eastAsia="Calibri" w:cstheme="minorHAnsi"/>
        </w:rPr>
        <w:t>;</w:t>
      </w:r>
    </w:p>
    <w:p w14:paraId="6630FC37" w14:textId="12C9D4C4" w:rsidR="002639C8" w:rsidRPr="00EE5CC5" w:rsidRDefault="005B22AF" w:rsidP="00103D76">
      <w:pPr>
        <w:pStyle w:val="Akapitzlist"/>
        <w:numPr>
          <w:ilvl w:val="0"/>
          <w:numId w:val="20"/>
        </w:numPr>
      </w:pPr>
      <w:r>
        <w:rPr>
          <w:rFonts w:eastAsia="Calibri" w:cstheme="minorHAnsi"/>
          <w:b/>
          <w:bCs/>
        </w:rPr>
        <w:t>w</w:t>
      </w:r>
      <w:r w:rsidR="002639C8" w:rsidRPr="008570E4">
        <w:rPr>
          <w:rFonts w:eastAsia="Calibri" w:cstheme="minorHAnsi"/>
          <w:b/>
          <w:bCs/>
        </w:rPr>
        <w:t>nioskodawc</w:t>
      </w:r>
      <w:r w:rsidR="002639C8">
        <w:rPr>
          <w:rFonts w:eastAsia="Calibri" w:cstheme="minorHAnsi"/>
          <w:b/>
          <w:bCs/>
        </w:rPr>
        <w:t>ami naborów niekonkurencyjnych</w:t>
      </w:r>
      <w:r w:rsidR="002639C8" w:rsidRPr="008570E4">
        <w:rPr>
          <w:rFonts w:eastAsia="Calibri" w:cstheme="minorHAnsi"/>
          <w:b/>
          <w:bCs/>
        </w:rPr>
        <w:t xml:space="preserve"> </w:t>
      </w:r>
      <w:r w:rsidR="002639C8" w:rsidRPr="00D84769">
        <w:rPr>
          <w:rFonts w:eastAsia="Calibri" w:cstheme="minorHAnsi"/>
        </w:rPr>
        <w:t>uprawnionymi do złożenia wniosku o dofinansowanie projektu</w:t>
      </w:r>
      <w:r w:rsidR="002639C8">
        <w:rPr>
          <w:rFonts w:eastAsia="Calibri" w:cstheme="minorHAnsi"/>
          <w:b/>
          <w:bCs/>
        </w:rPr>
        <w:t xml:space="preserve"> </w:t>
      </w:r>
      <w:r w:rsidR="002639C8">
        <w:rPr>
          <w:rFonts w:eastAsia="Calibri" w:cstheme="minorHAnsi"/>
        </w:rPr>
        <w:t>(3 wywiady).</w:t>
      </w:r>
    </w:p>
    <w:p w14:paraId="309B4A16" w14:textId="2B86CBE5" w:rsidR="00EE5CC5" w:rsidRPr="000951FF" w:rsidRDefault="00EE5CC5" w:rsidP="00EE5CC5">
      <w:r>
        <w:t>Wywiady z przedstawicielami IZ i IP</w:t>
      </w:r>
      <w:r w:rsidR="00A5769E">
        <w:t xml:space="preserve"> umożliwiły zgłębienie procedur</w:t>
      </w:r>
      <w:r w:rsidR="00675981">
        <w:t xml:space="preserve"> i logiki wdrażania Programu, specyfiki</w:t>
      </w:r>
      <w:r w:rsidR="006C7534">
        <w:t xml:space="preserve"> i wyzwań</w:t>
      </w:r>
      <w:r w:rsidR="003E7095">
        <w:t>, które towarzyszyły analizowanym naborom</w:t>
      </w:r>
      <w:r w:rsidR="0027708C">
        <w:t xml:space="preserve">, </w:t>
      </w:r>
      <w:r w:rsidR="00AA7B87">
        <w:t>zrozumieniu przyczyn podejmowania decyzji</w:t>
      </w:r>
      <w:r w:rsidR="004C09EC">
        <w:t xml:space="preserve"> i</w:t>
      </w:r>
      <w:r w:rsidR="00675981">
        <w:t xml:space="preserve"> </w:t>
      </w:r>
      <w:r w:rsidR="00DA63E1" w:rsidRPr="00DA63E1">
        <w:t>wewnętrznych mechanizmów funkcjonowania FEdKP 2021</w:t>
      </w:r>
      <w:r w:rsidR="0042533A">
        <w:t>-</w:t>
      </w:r>
      <w:r w:rsidR="00DA63E1" w:rsidRPr="00DA63E1">
        <w:t>2027</w:t>
      </w:r>
      <w:r w:rsidR="0042533A">
        <w:t>.</w:t>
      </w:r>
      <w:r w:rsidR="008E642A">
        <w:t xml:space="preserve"> </w:t>
      </w:r>
      <w:r w:rsidR="008E3D7B">
        <w:t>Wywiady z JST</w:t>
      </w:r>
      <w:r w:rsidR="00123D65">
        <w:t xml:space="preserve"> tworzącymi ZIT/OPPT </w:t>
      </w:r>
      <w:r w:rsidR="006B3875">
        <w:t>dostarczyły pers</w:t>
      </w:r>
      <w:r w:rsidR="00DE7EA9">
        <w:t xml:space="preserve">pektywy lokalnej. </w:t>
      </w:r>
      <w:r w:rsidR="008E642A">
        <w:t>W</w:t>
      </w:r>
      <w:r w:rsidR="00D610BF">
        <w:t xml:space="preserve">ywiady z </w:t>
      </w:r>
      <w:r w:rsidR="00125191">
        <w:t>wnioskodawcami</w:t>
      </w:r>
      <w:r w:rsidR="00E5576B">
        <w:t xml:space="preserve"> uprawnionymi do składania</w:t>
      </w:r>
      <w:r w:rsidR="006D63DC">
        <w:t xml:space="preserve"> wniosków </w:t>
      </w:r>
      <w:r w:rsidR="00876E7D">
        <w:t>w ramach</w:t>
      </w:r>
      <w:r w:rsidR="006D63DC">
        <w:t xml:space="preserve"> niekonkurencyjn</w:t>
      </w:r>
      <w:r w:rsidR="00876E7D">
        <w:t>ego sposobu wyboru</w:t>
      </w:r>
      <w:r w:rsidR="006D63DC">
        <w:t xml:space="preserve"> pozwoliły lepiej zrozumieć</w:t>
      </w:r>
      <w:r w:rsidR="001410DD">
        <w:t xml:space="preserve"> ten </w:t>
      </w:r>
      <w:r w:rsidR="00A67652">
        <w:t xml:space="preserve">sposób </w:t>
      </w:r>
      <w:r w:rsidR="001410DD">
        <w:t>wyboru</w:t>
      </w:r>
      <w:r w:rsidR="00CA0F0F">
        <w:t xml:space="preserve"> projektów.</w:t>
      </w:r>
    </w:p>
    <w:p w14:paraId="4C8DD7F6" w14:textId="79D828E2" w:rsidR="004E1B95" w:rsidRPr="00A41189" w:rsidRDefault="007F397E" w:rsidP="00A41189">
      <w:pPr>
        <w:spacing w:before="240"/>
        <w:rPr>
          <w:rFonts w:cstheme="minorHAnsi"/>
          <w:b/>
          <w:color w:val="640B68" w:themeColor="accent3" w:themeShade="BF"/>
        </w:rPr>
      </w:pPr>
      <w:r w:rsidRPr="00A41189">
        <w:rPr>
          <w:rFonts w:cstheme="minorHAnsi"/>
          <w:b/>
          <w:color w:val="640B68" w:themeColor="accent3" w:themeShade="BF"/>
        </w:rPr>
        <w:t xml:space="preserve">Badanie ilościowe CAWI/CATI </w:t>
      </w:r>
    </w:p>
    <w:p w14:paraId="60466957" w14:textId="3F523BA2" w:rsidR="003C0A07" w:rsidRPr="008570E4" w:rsidRDefault="003C0A07" w:rsidP="003C0A07">
      <w:pPr>
        <w:rPr>
          <w:rFonts w:cstheme="minorHAnsi"/>
        </w:rPr>
      </w:pPr>
      <w:r>
        <w:rPr>
          <w:rFonts w:cstheme="minorHAnsi"/>
        </w:rPr>
        <w:t>P</w:t>
      </w:r>
      <w:r w:rsidRPr="008570E4">
        <w:rPr>
          <w:rFonts w:cstheme="minorHAnsi"/>
        </w:rPr>
        <w:t>rzeprowadzone zosta</w:t>
      </w:r>
      <w:r>
        <w:rPr>
          <w:rFonts w:cstheme="minorHAnsi"/>
        </w:rPr>
        <w:t>ły</w:t>
      </w:r>
      <w:r w:rsidRPr="008570E4">
        <w:rPr>
          <w:rFonts w:cstheme="minorHAnsi"/>
        </w:rPr>
        <w:t xml:space="preserve"> </w:t>
      </w:r>
      <w:r w:rsidRPr="008570E4">
        <w:rPr>
          <w:rFonts w:cstheme="minorHAnsi"/>
          <w:b/>
        </w:rPr>
        <w:t>dwa badania ilościowe</w:t>
      </w:r>
      <w:r w:rsidRPr="008570E4">
        <w:rPr>
          <w:rFonts w:cstheme="minorHAnsi"/>
        </w:rPr>
        <w:t xml:space="preserve"> z:</w:t>
      </w:r>
    </w:p>
    <w:p w14:paraId="08441D47" w14:textId="18921DB0" w:rsidR="003C0A07" w:rsidRPr="008570E4" w:rsidRDefault="003C0A07" w:rsidP="00103D76">
      <w:pPr>
        <w:pStyle w:val="Akapitzlist"/>
        <w:numPr>
          <w:ilvl w:val="0"/>
          <w:numId w:val="22"/>
        </w:numPr>
        <w:spacing w:line="264" w:lineRule="auto"/>
        <w:rPr>
          <w:rFonts w:cstheme="minorHAnsi"/>
          <w:color w:val="000000"/>
        </w:rPr>
      </w:pPr>
      <w:r w:rsidRPr="008570E4">
        <w:rPr>
          <w:rFonts w:cstheme="minorHAnsi"/>
          <w:b/>
          <w:color w:val="000000"/>
        </w:rPr>
        <w:t>potencjalnymi wnioskodawcami</w:t>
      </w:r>
      <w:r w:rsidRPr="008570E4">
        <w:rPr>
          <w:rFonts w:cstheme="minorHAnsi"/>
          <w:color w:val="000000"/>
        </w:rPr>
        <w:t xml:space="preserve">, którzy </w:t>
      </w:r>
      <w:r w:rsidR="00A41189">
        <w:rPr>
          <w:rFonts w:cstheme="minorHAnsi"/>
          <w:color w:val="000000"/>
        </w:rPr>
        <w:t xml:space="preserve">skorzystali ze wsparcia w ramach RPO WK-P 2014-2020, i </w:t>
      </w:r>
      <w:r w:rsidRPr="008570E4">
        <w:rPr>
          <w:rFonts w:cstheme="minorHAnsi"/>
          <w:color w:val="000000"/>
        </w:rPr>
        <w:t>którzy mogliby być zainteresowani wsparciem w ramach FEdKP 2021-2027, ale w momencie realizacji badania nie aplikowali;</w:t>
      </w:r>
    </w:p>
    <w:p w14:paraId="3823EB22" w14:textId="0BBB2AC5" w:rsidR="003C0A07" w:rsidRPr="008570E4" w:rsidRDefault="003C0A07" w:rsidP="00103D76">
      <w:pPr>
        <w:pStyle w:val="Akapitzlist"/>
        <w:numPr>
          <w:ilvl w:val="0"/>
          <w:numId w:val="22"/>
        </w:numPr>
        <w:spacing w:line="264" w:lineRule="auto"/>
        <w:rPr>
          <w:rFonts w:cstheme="minorHAnsi"/>
          <w:color w:val="000000"/>
        </w:rPr>
      </w:pPr>
      <w:r w:rsidRPr="008570E4">
        <w:rPr>
          <w:rFonts w:cstheme="minorHAnsi"/>
          <w:b/>
          <w:color w:val="000000"/>
        </w:rPr>
        <w:t>wnioskodawcami</w:t>
      </w:r>
      <w:r w:rsidRPr="008570E4">
        <w:rPr>
          <w:rFonts w:cstheme="minorHAnsi"/>
          <w:color w:val="000000"/>
        </w:rPr>
        <w:t xml:space="preserve"> FEdKP 2021-2027</w:t>
      </w:r>
      <w:r w:rsidR="00A41189">
        <w:rPr>
          <w:rFonts w:cstheme="minorHAnsi"/>
          <w:color w:val="000000"/>
        </w:rPr>
        <w:t xml:space="preserve"> z naborów, które zakwalifikowano do badania jako </w:t>
      </w:r>
      <w:r w:rsidR="00A41189" w:rsidRPr="008570E4">
        <w:rPr>
          <w:rFonts w:cstheme="minorHAnsi"/>
        </w:rPr>
        <w:t>charakteryz</w:t>
      </w:r>
      <w:r w:rsidR="00A41189">
        <w:rPr>
          <w:rFonts w:cstheme="minorHAnsi"/>
        </w:rPr>
        <w:t>ujące</w:t>
      </w:r>
      <w:r w:rsidR="00A41189" w:rsidRPr="008570E4">
        <w:rPr>
          <w:rFonts w:cstheme="minorHAnsi"/>
        </w:rPr>
        <w:t xml:space="preserve"> się niskim zainteresowaniem</w:t>
      </w:r>
      <w:r w:rsidRPr="008570E4">
        <w:rPr>
          <w:rFonts w:cstheme="minorHAnsi"/>
          <w:color w:val="000000"/>
        </w:rPr>
        <w:t>.</w:t>
      </w:r>
    </w:p>
    <w:p w14:paraId="7090B7E6" w14:textId="66219349" w:rsidR="009F40D7" w:rsidRPr="00012DB9" w:rsidRDefault="00BF1EB4" w:rsidP="009F40D7">
      <w:r>
        <w:t>Poniżej przedstawiono zakładane oraz zrealizowane liczebności</w:t>
      </w:r>
      <w:r w:rsidR="00790A78">
        <w:t xml:space="preserve"> wywiadów ilościowych.</w:t>
      </w:r>
    </w:p>
    <w:p w14:paraId="5F09CD99" w14:textId="52A7022F" w:rsidR="00012DB9" w:rsidRPr="00AF3808" w:rsidRDefault="00012DB9" w:rsidP="00AF3808">
      <w:pPr>
        <w:pStyle w:val="Legenda"/>
      </w:pPr>
      <w:r w:rsidRPr="00AF3808">
        <w:t xml:space="preserve">Tabela </w:t>
      </w:r>
      <w:fldSimple w:instr=" SEQ Tabela \* ARABIC ">
        <w:r w:rsidR="00541DFA">
          <w:rPr>
            <w:noProof/>
          </w:rPr>
          <w:t>1</w:t>
        </w:r>
      </w:fldSimple>
      <w:r w:rsidRPr="00AF3808">
        <w:t xml:space="preserve">. </w:t>
      </w:r>
      <w:r w:rsidR="00790A78" w:rsidRPr="00AF3808">
        <w:t>B</w:t>
      </w:r>
      <w:r w:rsidRPr="00AF3808">
        <w:t>adani</w:t>
      </w:r>
      <w:r w:rsidR="00790A78" w:rsidRPr="00AF3808">
        <w:t>e</w:t>
      </w:r>
      <w:r w:rsidRPr="00AF3808">
        <w:t xml:space="preserve"> ilościowe z wnioskodawcami </w:t>
      </w:r>
      <w:r w:rsidR="00790A78" w:rsidRPr="00AF3808">
        <w:t xml:space="preserve">– </w:t>
      </w:r>
      <w:r w:rsidR="009F40D7" w:rsidRPr="00AF3808">
        <w:t xml:space="preserve">liczba </w:t>
      </w:r>
      <w:r w:rsidR="00790A78" w:rsidRPr="00AF3808">
        <w:t>zakładan</w:t>
      </w:r>
      <w:r w:rsidR="009F40D7" w:rsidRPr="00AF3808">
        <w:t>ych</w:t>
      </w:r>
      <w:r w:rsidR="00790A78" w:rsidRPr="00AF3808">
        <w:t xml:space="preserve"> i zrealizowan</w:t>
      </w:r>
      <w:r w:rsidR="009F40D7" w:rsidRPr="00AF3808">
        <w:t>ych</w:t>
      </w:r>
      <w:r w:rsidR="00790A78" w:rsidRPr="00AF3808">
        <w:t xml:space="preserve"> ankiet</w:t>
      </w:r>
    </w:p>
    <w:tbl>
      <w:tblPr>
        <w:tblW w:w="5000" w:type="pct"/>
        <w:tblLayout w:type="fixed"/>
        <w:tblCellMar>
          <w:left w:w="70" w:type="dxa"/>
          <w:right w:w="70" w:type="dxa"/>
        </w:tblCellMar>
        <w:tblLook w:val="04A0" w:firstRow="1" w:lastRow="0" w:firstColumn="1" w:lastColumn="0" w:noHBand="0" w:noVBand="1"/>
        <w:tblCaption w:val="Badanie ilościowe z wnioskodawcami – liczba zakładanych i zrealizowanych ankiet"/>
        <w:tblDescription w:val="Tabela przedstawia wyniki badania ilościowego z wnioskodawcami w podziale na priorytety i fundusze, z uwzględnieniem liczby unikatowych wnioskodawców, zakładanej minimalnej liczebności ankiet oraz faktycznej liczby ankiet zrealizowanych.&#10;&#10;Priorytet FEKP.02 (EFRR) – 68 unikatowych wnioskodawców, planowano zwrotność na poziomie 30% (20 ankiet), zrealizowano 47 ankiet, co stanowi 235% planu.&#10;&#10;Priorytet FEKP.03 (EFRR) – 23 wnioskodawców, plan 7 ankiet, realizacja 16 (229% planu).&#10;&#10;Priorytet FEKP.04 (EFRR) – 2 wnioskodawców, plan 1 ankieta, realizacja 2 (200% planu).&#10;&#10;Priorytet FEKP.05 (EFRR) – 43 wnioskodawców, plan 13 ankiet, realizacja 25 (192% planu).&#10;&#10;Priorytet FEKP.06 (EFRR) – 7 wnioskodawców, plan 2 ankiety, realizacja 6 (300% planu).&#10;&#10;Priorytet FEKP.08 (EFS+) – 15 wnioskodawców, plan 5 ankiet, realizacja 8 (160% planu).&#10;&#10;Łącznie we wszystkich priorytetach uczestniczyło 158 unikatowych wnioskodawców. Zakładano minimalnie 48 ankiet, a zrealizowano 104, co daje 217% realizacji w stosunku do planu."/>
      </w:tblPr>
      <w:tblGrid>
        <w:gridCol w:w="2122"/>
        <w:gridCol w:w="1702"/>
        <w:gridCol w:w="1559"/>
        <w:gridCol w:w="1415"/>
        <w:gridCol w:w="1280"/>
        <w:gridCol w:w="984"/>
      </w:tblGrid>
      <w:tr w:rsidR="003F09A0" w:rsidRPr="00040E3C" w14:paraId="2330910A" w14:textId="77777777" w:rsidTr="00077CA0">
        <w:trPr>
          <w:trHeight w:val="312"/>
          <w:tblHeader/>
        </w:trPr>
        <w:tc>
          <w:tcPr>
            <w:tcW w:w="1171" w:type="pct"/>
            <w:tcBorders>
              <w:top w:val="single" w:sz="4" w:space="0" w:color="auto"/>
              <w:left w:val="single" w:sz="4" w:space="0" w:color="auto"/>
              <w:bottom w:val="single" w:sz="4" w:space="0" w:color="auto"/>
              <w:right w:val="single" w:sz="4" w:space="0" w:color="auto"/>
            </w:tcBorders>
            <w:shd w:val="clear" w:color="auto" w:fill="0F14D2"/>
            <w:noWrap/>
            <w:vAlign w:val="center"/>
            <w:hideMark/>
          </w:tcPr>
          <w:p w14:paraId="16215E9F"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Priorytet (Fundusz)</w:t>
            </w:r>
          </w:p>
        </w:tc>
        <w:tc>
          <w:tcPr>
            <w:tcW w:w="939" w:type="pct"/>
            <w:tcBorders>
              <w:top w:val="single" w:sz="4" w:space="0" w:color="auto"/>
              <w:left w:val="nil"/>
              <w:bottom w:val="single" w:sz="4" w:space="0" w:color="auto"/>
              <w:right w:val="single" w:sz="4" w:space="0" w:color="auto"/>
            </w:tcBorders>
            <w:shd w:val="clear" w:color="auto" w:fill="0F14D2"/>
            <w:vAlign w:val="center"/>
            <w:hideMark/>
          </w:tcPr>
          <w:p w14:paraId="1937ACCA"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unikatowych wnioskodawców</w:t>
            </w:r>
          </w:p>
        </w:tc>
        <w:tc>
          <w:tcPr>
            <w:tcW w:w="860" w:type="pct"/>
            <w:tcBorders>
              <w:top w:val="single" w:sz="4" w:space="0" w:color="auto"/>
              <w:left w:val="nil"/>
              <w:bottom w:val="single" w:sz="4" w:space="0" w:color="auto"/>
              <w:right w:val="single" w:sz="4" w:space="0" w:color="auto"/>
            </w:tcBorders>
            <w:shd w:val="clear" w:color="auto" w:fill="0F14D2"/>
            <w:noWrap/>
            <w:vAlign w:val="center"/>
            <w:hideMark/>
          </w:tcPr>
          <w:p w14:paraId="07EC8F9D"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Zakładany % zwrotności</w:t>
            </w:r>
          </w:p>
        </w:tc>
        <w:tc>
          <w:tcPr>
            <w:tcW w:w="781" w:type="pct"/>
            <w:tcBorders>
              <w:top w:val="single" w:sz="4" w:space="0" w:color="auto"/>
              <w:left w:val="nil"/>
              <w:bottom w:val="single" w:sz="4" w:space="0" w:color="auto"/>
              <w:right w:val="single" w:sz="4" w:space="0" w:color="auto"/>
            </w:tcBorders>
            <w:shd w:val="clear" w:color="auto" w:fill="0F14D2"/>
            <w:noWrap/>
            <w:vAlign w:val="center"/>
            <w:hideMark/>
          </w:tcPr>
          <w:p w14:paraId="194E1F6D"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Zakładana minimalna liczebność ankiet</w:t>
            </w:r>
          </w:p>
        </w:tc>
        <w:tc>
          <w:tcPr>
            <w:tcW w:w="706" w:type="pct"/>
            <w:tcBorders>
              <w:top w:val="nil"/>
              <w:left w:val="nil"/>
              <w:bottom w:val="nil"/>
              <w:right w:val="single" w:sz="4" w:space="0" w:color="auto"/>
            </w:tcBorders>
            <w:shd w:val="clear" w:color="auto" w:fill="0F14D2"/>
            <w:noWrap/>
            <w:vAlign w:val="center"/>
            <w:hideMark/>
          </w:tcPr>
          <w:p w14:paraId="65186493"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zrealizowanych ankiet</w:t>
            </w:r>
          </w:p>
        </w:tc>
        <w:tc>
          <w:tcPr>
            <w:tcW w:w="543" w:type="pct"/>
            <w:tcBorders>
              <w:top w:val="nil"/>
              <w:left w:val="nil"/>
              <w:bottom w:val="nil"/>
              <w:right w:val="single" w:sz="4" w:space="0" w:color="auto"/>
            </w:tcBorders>
            <w:shd w:val="clear" w:color="auto" w:fill="0F14D2"/>
            <w:noWrap/>
            <w:vAlign w:val="center"/>
            <w:hideMark/>
          </w:tcPr>
          <w:p w14:paraId="73D73C48"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Próba [%]</w:t>
            </w:r>
          </w:p>
        </w:tc>
      </w:tr>
      <w:tr w:rsidR="003F09A0" w:rsidRPr="00040E3C" w14:paraId="53F9F169"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19390247"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FEKP.02 (EFRR)</w:t>
            </w:r>
          </w:p>
        </w:tc>
        <w:tc>
          <w:tcPr>
            <w:tcW w:w="939" w:type="pct"/>
            <w:tcBorders>
              <w:top w:val="nil"/>
              <w:left w:val="nil"/>
              <w:bottom w:val="single" w:sz="8" w:space="0" w:color="0F14D2"/>
              <w:right w:val="single" w:sz="8" w:space="0" w:color="0F14D2"/>
            </w:tcBorders>
            <w:noWrap/>
            <w:vAlign w:val="center"/>
            <w:hideMark/>
          </w:tcPr>
          <w:p w14:paraId="3B1928D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68</w:t>
            </w:r>
          </w:p>
        </w:tc>
        <w:tc>
          <w:tcPr>
            <w:tcW w:w="860" w:type="pct"/>
            <w:tcBorders>
              <w:top w:val="nil"/>
              <w:left w:val="nil"/>
              <w:bottom w:val="single" w:sz="8" w:space="0" w:color="0F14D2"/>
              <w:right w:val="single" w:sz="8" w:space="0" w:color="0F14D2"/>
            </w:tcBorders>
            <w:noWrap/>
            <w:vAlign w:val="center"/>
            <w:hideMark/>
          </w:tcPr>
          <w:p w14:paraId="4F41CD0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2A62589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20</w:t>
            </w:r>
          </w:p>
        </w:tc>
        <w:tc>
          <w:tcPr>
            <w:tcW w:w="706" w:type="pct"/>
            <w:tcBorders>
              <w:top w:val="nil"/>
              <w:left w:val="nil"/>
              <w:bottom w:val="single" w:sz="8" w:space="0" w:color="0F14D2"/>
              <w:right w:val="single" w:sz="8" w:space="0" w:color="0F14D2"/>
            </w:tcBorders>
            <w:shd w:val="clear" w:color="auto" w:fill="A6C9EC"/>
            <w:noWrap/>
            <w:hideMark/>
          </w:tcPr>
          <w:p w14:paraId="19EE29D2"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47</w:t>
            </w:r>
          </w:p>
        </w:tc>
        <w:tc>
          <w:tcPr>
            <w:tcW w:w="543" w:type="pct"/>
            <w:tcBorders>
              <w:top w:val="nil"/>
              <w:left w:val="nil"/>
              <w:bottom w:val="single" w:sz="8" w:space="0" w:color="0F14D2"/>
              <w:right w:val="single" w:sz="8" w:space="0" w:color="0F14D2"/>
            </w:tcBorders>
            <w:shd w:val="clear" w:color="auto" w:fill="A6C9EC"/>
            <w:noWrap/>
            <w:hideMark/>
          </w:tcPr>
          <w:p w14:paraId="60C72C43"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235%</w:t>
            </w:r>
          </w:p>
        </w:tc>
      </w:tr>
      <w:tr w:rsidR="003F09A0" w:rsidRPr="00040E3C" w14:paraId="454BBFE6"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36AF38A4"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FEKP.03 (EFRR)</w:t>
            </w:r>
          </w:p>
        </w:tc>
        <w:tc>
          <w:tcPr>
            <w:tcW w:w="939" w:type="pct"/>
            <w:tcBorders>
              <w:top w:val="nil"/>
              <w:left w:val="nil"/>
              <w:bottom w:val="single" w:sz="8" w:space="0" w:color="0F14D2"/>
              <w:right w:val="single" w:sz="8" w:space="0" w:color="0F14D2"/>
            </w:tcBorders>
            <w:noWrap/>
            <w:vAlign w:val="center"/>
            <w:hideMark/>
          </w:tcPr>
          <w:p w14:paraId="7B1CA9D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23</w:t>
            </w:r>
          </w:p>
        </w:tc>
        <w:tc>
          <w:tcPr>
            <w:tcW w:w="860" w:type="pct"/>
            <w:tcBorders>
              <w:top w:val="nil"/>
              <w:left w:val="nil"/>
              <w:bottom w:val="single" w:sz="8" w:space="0" w:color="0F14D2"/>
              <w:right w:val="single" w:sz="8" w:space="0" w:color="0F14D2"/>
            </w:tcBorders>
            <w:noWrap/>
            <w:vAlign w:val="center"/>
            <w:hideMark/>
          </w:tcPr>
          <w:p w14:paraId="15AC9B2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19C8554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06" w:type="pct"/>
            <w:tcBorders>
              <w:top w:val="nil"/>
              <w:left w:val="nil"/>
              <w:bottom w:val="single" w:sz="8" w:space="0" w:color="0F14D2"/>
              <w:right w:val="single" w:sz="8" w:space="0" w:color="0F14D2"/>
            </w:tcBorders>
            <w:shd w:val="clear" w:color="auto" w:fill="A6C9EC"/>
            <w:noWrap/>
            <w:hideMark/>
          </w:tcPr>
          <w:p w14:paraId="357C23D0"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16</w:t>
            </w:r>
          </w:p>
        </w:tc>
        <w:tc>
          <w:tcPr>
            <w:tcW w:w="543" w:type="pct"/>
            <w:tcBorders>
              <w:top w:val="nil"/>
              <w:left w:val="nil"/>
              <w:bottom w:val="single" w:sz="8" w:space="0" w:color="0F14D2"/>
              <w:right w:val="single" w:sz="8" w:space="0" w:color="0F14D2"/>
            </w:tcBorders>
            <w:shd w:val="clear" w:color="auto" w:fill="A6C9EC"/>
            <w:noWrap/>
            <w:hideMark/>
          </w:tcPr>
          <w:p w14:paraId="7676C40B"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229%</w:t>
            </w:r>
          </w:p>
        </w:tc>
      </w:tr>
      <w:tr w:rsidR="003F09A0" w:rsidRPr="00040E3C" w14:paraId="4B80B894"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060DB599"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FEKP.04 (EFRR)</w:t>
            </w:r>
          </w:p>
        </w:tc>
        <w:tc>
          <w:tcPr>
            <w:tcW w:w="939" w:type="pct"/>
            <w:tcBorders>
              <w:top w:val="nil"/>
              <w:left w:val="nil"/>
              <w:bottom w:val="single" w:sz="8" w:space="0" w:color="0F14D2"/>
              <w:right w:val="single" w:sz="8" w:space="0" w:color="0F14D2"/>
            </w:tcBorders>
            <w:noWrap/>
            <w:vAlign w:val="center"/>
            <w:hideMark/>
          </w:tcPr>
          <w:p w14:paraId="56FC564B"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860" w:type="pct"/>
            <w:tcBorders>
              <w:top w:val="nil"/>
              <w:left w:val="nil"/>
              <w:bottom w:val="single" w:sz="8" w:space="0" w:color="0F14D2"/>
              <w:right w:val="single" w:sz="8" w:space="0" w:color="0F14D2"/>
            </w:tcBorders>
            <w:noWrap/>
            <w:vAlign w:val="center"/>
            <w:hideMark/>
          </w:tcPr>
          <w:p w14:paraId="29875F6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4964ACD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w:t>
            </w:r>
          </w:p>
        </w:tc>
        <w:tc>
          <w:tcPr>
            <w:tcW w:w="706" w:type="pct"/>
            <w:tcBorders>
              <w:top w:val="nil"/>
              <w:left w:val="nil"/>
              <w:bottom w:val="single" w:sz="8" w:space="0" w:color="0F14D2"/>
              <w:right w:val="single" w:sz="8" w:space="0" w:color="0F14D2"/>
            </w:tcBorders>
            <w:shd w:val="clear" w:color="auto" w:fill="A6C9EC"/>
            <w:noWrap/>
            <w:hideMark/>
          </w:tcPr>
          <w:p w14:paraId="3646AE0F" w14:textId="77777777" w:rsidR="00012DB9" w:rsidRPr="00012DB9" w:rsidRDefault="00012DB9" w:rsidP="00012DB9">
            <w:pPr>
              <w:spacing w:before="0" w:after="0" w:line="240" w:lineRule="auto"/>
              <w:jc w:val="right"/>
              <w:rPr>
                <w:rFonts w:eastAsia="Times New Roman" w:cstheme="minorHAnsi"/>
                <w:lang w:eastAsia="pl-PL"/>
              </w:rPr>
            </w:pPr>
            <w:r w:rsidRPr="00012DB9">
              <w:rPr>
                <w:rFonts w:eastAsia="Times New Roman" w:cstheme="minorHAnsi"/>
                <w:lang w:eastAsia="pl-PL"/>
              </w:rPr>
              <w:t>2</w:t>
            </w:r>
          </w:p>
        </w:tc>
        <w:tc>
          <w:tcPr>
            <w:tcW w:w="543" w:type="pct"/>
            <w:tcBorders>
              <w:top w:val="nil"/>
              <w:left w:val="nil"/>
              <w:bottom w:val="single" w:sz="8" w:space="0" w:color="0F14D2"/>
              <w:right w:val="single" w:sz="8" w:space="0" w:color="0F14D2"/>
            </w:tcBorders>
            <w:shd w:val="clear" w:color="auto" w:fill="A6C9EC"/>
            <w:noWrap/>
            <w:hideMark/>
          </w:tcPr>
          <w:p w14:paraId="5090510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200%</w:t>
            </w:r>
          </w:p>
        </w:tc>
      </w:tr>
      <w:tr w:rsidR="003F09A0" w:rsidRPr="00040E3C" w14:paraId="12C5B752"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2435F376"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FEKP.05 (EFRR)</w:t>
            </w:r>
          </w:p>
        </w:tc>
        <w:tc>
          <w:tcPr>
            <w:tcW w:w="939" w:type="pct"/>
            <w:tcBorders>
              <w:top w:val="nil"/>
              <w:left w:val="nil"/>
              <w:bottom w:val="single" w:sz="8" w:space="0" w:color="0F14D2"/>
              <w:right w:val="single" w:sz="8" w:space="0" w:color="0F14D2"/>
            </w:tcBorders>
            <w:noWrap/>
            <w:vAlign w:val="center"/>
            <w:hideMark/>
          </w:tcPr>
          <w:p w14:paraId="44C9CCB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43</w:t>
            </w:r>
          </w:p>
        </w:tc>
        <w:tc>
          <w:tcPr>
            <w:tcW w:w="860" w:type="pct"/>
            <w:tcBorders>
              <w:top w:val="nil"/>
              <w:left w:val="nil"/>
              <w:bottom w:val="single" w:sz="8" w:space="0" w:color="0F14D2"/>
              <w:right w:val="single" w:sz="8" w:space="0" w:color="0F14D2"/>
            </w:tcBorders>
            <w:noWrap/>
            <w:vAlign w:val="center"/>
            <w:hideMark/>
          </w:tcPr>
          <w:p w14:paraId="0CBF299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1CABB75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13</w:t>
            </w:r>
          </w:p>
        </w:tc>
        <w:tc>
          <w:tcPr>
            <w:tcW w:w="706" w:type="pct"/>
            <w:tcBorders>
              <w:top w:val="nil"/>
              <w:left w:val="nil"/>
              <w:bottom w:val="single" w:sz="8" w:space="0" w:color="0F14D2"/>
              <w:right w:val="single" w:sz="8" w:space="0" w:color="0F14D2"/>
            </w:tcBorders>
            <w:shd w:val="clear" w:color="auto" w:fill="A6C9EC"/>
            <w:noWrap/>
            <w:hideMark/>
          </w:tcPr>
          <w:p w14:paraId="02A62A07"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25</w:t>
            </w:r>
          </w:p>
        </w:tc>
        <w:tc>
          <w:tcPr>
            <w:tcW w:w="543" w:type="pct"/>
            <w:tcBorders>
              <w:top w:val="nil"/>
              <w:left w:val="nil"/>
              <w:bottom w:val="single" w:sz="8" w:space="0" w:color="0F14D2"/>
              <w:right w:val="single" w:sz="8" w:space="0" w:color="0F14D2"/>
            </w:tcBorders>
            <w:shd w:val="clear" w:color="auto" w:fill="A6C9EC"/>
            <w:noWrap/>
            <w:hideMark/>
          </w:tcPr>
          <w:p w14:paraId="3BA70DB5"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192%</w:t>
            </w:r>
          </w:p>
        </w:tc>
      </w:tr>
      <w:tr w:rsidR="003F09A0" w:rsidRPr="00040E3C" w14:paraId="1D02B973"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461671B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FEKP.06 (EFRR)</w:t>
            </w:r>
          </w:p>
        </w:tc>
        <w:tc>
          <w:tcPr>
            <w:tcW w:w="939" w:type="pct"/>
            <w:tcBorders>
              <w:top w:val="nil"/>
              <w:left w:val="nil"/>
              <w:bottom w:val="single" w:sz="8" w:space="0" w:color="0F14D2"/>
              <w:right w:val="single" w:sz="8" w:space="0" w:color="0F14D2"/>
            </w:tcBorders>
            <w:noWrap/>
            <w:vAlign w:val="center"/>
            <w:hideMark/>
          </w:tcPr>
          <w:p w14:paraId="661685A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860" w:type="pct"/>
            <w:tcBorders>
              <w:top w:val="nil"/>
              <w:left w:val="nil"/>
              <w:bottom w:val="single" w:sz="8" w:space="0" w:color="0F14D2"/>
              <w:right w:val="single" w:sz="8" w:space="0" w:color="0F14D2"/>
            </w:tcBorders>
            <w:noWrap/>
            <w:vAlign w:val="center"/>
            <w:hideMark/>
          </w:tcPr>
          <w:p w14:paraId="091131C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73AF734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706" w:type="pct"/>
            <w:tcBorders>
              <w:top w:val="nil"/>
              <w:left w:val="nil"/>
              <w:bottom w:val="single" w:sz="8" w:space="0" w:color="0F14D2"/>
              <w:right w:val="single" w:sz="8" w:space="0" w:color="0F14D2"/>
            </w:tcBorders>
            <w:shd w:val="clear" w:color="auto" w:fill="A6C9EC"/>
            <w:noWrap/>
            <w:hideMark/>
          </w:tcPr>
          <w:p w14:paraId="2CE6A91D"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6</w:t>
            </w:r>
          </w:p>
        </w:tc>
        <w:tc>
          <w:tcPr>
            <w:tcW w:w="543" w:type="pct"/>
            <w:tcBorders>
              <w:top w:val="nil"/>
              <w:left w:val="nil"/>
              <w:bottom w:val="single" w:sz="8" w:space="0" w:color="0F14D2"/>
              <w:right w:val="single" w:sz="8" w:space="0" w:color="0F14D2"/>
            </w:tcBorders>
            <w:shd w:val="clear" w:color="auto" w:fill="A6C9EC"/>
            <w:noWrap/>
            <w:hideMark/>
          </w:tcPr>
          <w:p w14:paraId="27F27F19"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300%</w:t>
            </w:r>
          </w:p>
        </w:tc>
      </w:tr>
      <w:tr w:rsidR="003F09A0" w:rsidRPr="00040E3C" w14:paraId="2822214E"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0C9142AD"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FEKP.08 (EFS+)</w:t>
            </w:r>
          </w:p>
        </w:tc>
        <w:tc>
          <w:tcPr>
            <w:tcW w:w="939" w:type="pct"/>
            <w:tcBorders>
              <w:top w:val="nil"/>
              <w:left w:val="nil"/>
              <w:bottom w:val="single" w:sz="8" w:space="0" w:color="0F14D2"/>
              <w:right w:val="single" w:sz="8" w:space="0" w:color="0F14D2"/>
            </w:tcBorders>
            <w:noWrap/>
            <w:vAlign w:val="center"/>
            <w:hideMark/>
          </w:tcPr>
          <w:p w14:paraId="3BB7AEC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15</w:t>
            </w:r>
          </w:p>
        </w:tc>
        <w:tc>
          <w:tcPr>
            <w:tcW w:w="860" w:type="pct"/>
            <w:tcBorders>
              <w:top w:val="nil"/>
              <w:left w:val="nil"/>
              <w:bottom w:val="single" w:sz="8" w:space="0" w:color="0F14D2"/>
              <w:right w:val="single" w:sz="8" w:space="0" w:color="0F14D2"/>
            </w:tcBorders>
            <w:noWrap/>
            <w:vAlign w:val="center"/>
            <w:hideMark/>
          </w:tcPr>
          <w:p w14:paraId="10B8F085"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1" w:type="pct"/>
            <w:tcBorders>
              <w:top w:val="nil"/>
              <w:left w:val="nil"/>
              <w:bottom w:val="single" w:sz="8" w:space="0" w:color="0F14D2"/>
              <w:right w:val="single" w:sz="8" w:space="0" w:color="0F14D2"/>
            </w:tcBorders>
            <w:noWrap/>
            <w:vAlign w:val="center"/>
            <w:hideMark/>
          </w:tcPr>
          <w:p w14:paraId="21EFEB3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5</w:t>
            </w:r>
          </w:p>
        </w:tc>
        <w:tc>
          <w:tcPr>
            <w:tcW w:w="706" w:type="pct"/>
            <w:tcBorders>
              <w:top w:val="nil"/>
              <w:left w:val="nil"/>
              <w:bottom w:val="single" w:sz="8" w:space="0" w:color="0F14D2"/>
              <w:right w:val="single" w:sz="8" w:space="0" w:color="0F14D2"/>
            </w:tcBorders>
            <w:shd w:val="clear" w:color="auto" w:fill="A6C9EC"/>
            <w:noWrap/>
            <w:hideMark/>
          </w:tcPr>
          <w:p w14:paraId="0C1E9E94"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8</w:t>
            </w:r>
          </w:p>
        </w:tc>
        <w:tc>
          <w:tcPr>
            <w:tcW w:w="543" w:type="pct"/>
            <w:tcBorders>
              <w:top w:val="nil"/>
              <w:left w:val="nil"/>
              <w:bottom w:val="single" w:sz="8" w:space="0" w:color="0F14D2"/>
              <w:right w:val="single" w:sz="8" w:space="0" w:color="0F14D2"/>
            </w:tcBorders>
            <w:shd w:val="clear" w:color="auto" w:fill="A6C9EC"/>
            <w:noWrap/>
            <w:hideMark/>
          </w:tcPr>
          <w:p w14:paraId="0DB65D33" w14:textId="77777777" w:rsidR="00012DB9" w:rsidRPr="00012DB9" w:rsidRDefault="00012DB9" w:rsidP="00012DB9">
            <w:pPr>
              <w:spacing w:before="0" w:after="0" w:line="240" w:lineRule="auto"/>
              <w:jc w:val="right"/>
              <w:rPr>
                <w:rFonts w:eastAsia="Times New Roman" w:cstheme="minorHAnsi"/>
                <w:color w:val="000000"/>
                <w:highlight w:val="yellow"/>
                <w:lang w:eastAsia="pl-PL"/>
              </w:rPr>
            </w:pPr>
            <w:r w:rsidRPr="00012DB9">
              <w:rPr>
                <w:rFonts w:eastAsia="Times New Roman" w:cstheme="minorHAnsi"/>
                <w:lang w:eastAsia="pl-PL"/>
              </w:rPr>
              <w:t>160%</w:t>
            </w:r>
          </w:p>
        </w:tc>
      </w:tr>
      <w:tr w:rsidR="003F09A0" w:rsidRPr="00040E3C" w14:paraId="02B0A4ED" w14:textId="77777777" w:rsidTr="00077CA0">
        <w:trPr>
          <w:trHeight w:val="312"/>
        </w:trPr>
        <w:tc>
          <w:tcPr>
            <w:tcW w:w="1171" w:type="pct"/>
            <w:tcBorders>
              <w:top w:val="nil"/>
              <w:left w:val="single" w:sz="8" w:space="0" w:color="0F14D2"/>
              <w:bottom w:val="single" w:sz="8" w:space="0" w:color="0F14D2"/>
              <w:right w:val="single" w:sz="8" w:space="0" w:color="0F14D2"/>
            </w:tcBorders>
            <w:shd w:val="clear" w:color="auto" w:fill="FFFFFF"/>
            <w:noWrap/>
            <w:vAlign w:val="center"/>
            <w:hideMark/>
          </w:tcPr>
          <w:p w14:paraId="40647485"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Ogółem</w:t>
            </w:r>
          </w:p>
        </w:tc>
        <w:tc>
          <w:tcPr>
            <w:tcW w:w="939" w:type="pct"/>
            <w:tcBorders>
              <w:top w:val="nil"/>
              <w:left w:val="nil"/>
              <w:bottom w:val="single" w:sz="8" w:space="0" w:color="0F14D2"/>
              <w:right w:val="single" w:sz="8" w:space="0" w:color="0F14D2"/>
            </w:tcBorders>
            <w:noWrap/>
            <w:vAlign w:val="center"/>
            <w:hideMark/>
          </w:tcPr>
          <w:p w14:paraId="68D6DB38"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158</w:t>
            </w:r>
          </w:p>
        </w:tc>
        <w:tc>
          <w:tcPr>
            <w:tcW w:w="860" w:type="pct"/>
            <w:tcBorders>
              <w:top w:val="nil"/>
              <w:left w:val="nil"/>
              <w:bottom w:val="single" w:sz="8" w:space="0" w:color="0F14D2"/>
              <w:right w:val="single" w:sz="8" w:space="0" w:color="0F14D2"/>
            </w:tcBorders>
            <w:noWrap/>
            <w:vAlign w:val="center"/>
            <w:hideMark/>
          </w:tcPr>
          <w:p w14:paraId="15A4E96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781" w:type="pct"/>
            <w:tcBorders>
              <w:top w:val="nil"/>
              <w:left w:val="nil"/>
              <w:bottom w:val="single" w:sz="8" w:space="0" w:color="0F14D2"/>
              <w:right w:val="single" w:sz="8" w:space="0" w:color="0F14D2"/>
            </w:tcBorders>
            <w:noWrap/>
            <w:vAlign w:val="center"/>
            <w:hideMark/>
          </w:tcPr>
          <w:p w14:paraId="729C04FD"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48</w:t>
            </w:r>
          </w:p>
        </w:tc>
        <w:tc>
          <w:tcPr>
            <w:tcW w:w="706" w:type="pct"/>
            <w:tcBorders>
              <w:top w:val="nil"/>
              <w:left w:val="nil"/>
              <w:bottom w:val="single" w:sz="8" w:space="0" w:color="0F14D2"/>
              <w:right w:val="single" w:sz="8" w:space="0" w:color="0F14D2"/>
            </w:tcBorders>
            <w:shd w:val="clear" w:color="auto" w:fill="A6C9EC"/>
            <w:noWrap/>
            <w:hideMark/>
          </w:tcPr>
          <w:p w14:paraId="66784A8E" w14:textId="77777777" w:rsidR="00012DB9" w:rsidRPr="00012DB9" w:rsidRDefault="00012DB9" w:rsidP="00012DB9">
            <w:pPr>
              <w:spacing w:before="0" w:after="0" w:line="240" w:lineRule="auto"/>
              <w:jc w:val="right"/>
              <w:rPr>
                <w:rFonts w:eastAsia="Times New Roman" w:cstheme="minorHAnsi"/>
                <w:b/>
                <w:bCs/>
                <w:color w:val="000000"/>
                <w:highlight w:val="yellow"/>
                <w:lang w:eastAsia="pl-PL"/>
              </w:rPr>
            </w:pPr>
            <w:r w:rsidRPr="00012DB9">
              <w:rPr>
                <w:rFonts w:eastAsia="Times New Roman" w:cstheme="minorHAnsi"/>
                <w:b/>
                <w:bCs/>
                <w:lang w:eastAsia="pl-PL"/>
              </w:rPr>
              <w:t>104</w:t>
            </w:r>
          </w:p>
        </w:tc>
        <w:tc>
          <w:tcPr>
            <w:tcW w:w="543" w:type="pct"/>
            <w:tcBorders>
              <w:top w:val="nil"/>
              <w:left w:val="nil"/>
              <w:bottom w:val="single" w:sz="8" w:space="0" w:color="0F14D2"/>
              <w:right w:val="single" w:sz="8" w:space="0" w:color="0F14D2"/>
            </w:tcBorders>
            <w:shd w:val="clear" w:color="auto" w:fill="A6C9EC"/>
            <w:noWrap/>
            <w:hideMark/>
          </w:tcPr>
          <w:p w14:paraId="2FD1121D" w14:textId="77777777" w:rsidR="00012DB9" w:rsidRPr="00012DB9" w:rsidRDefault="00012DB9" w:rsidP="00012DB9">
            <w:pPr>
              <w:spacing w:before="0" w:after="0" w:line="240" w:lineRule="auto"/>
              <w:jc w:val="right"/>
              <w:rPr>
                <w:rFonts w:eastAsia="Times New Roman" w:cstheme="minorHAnsi"/>
                <w:b/>
                <w:bCs/>
                <w:color w:val="000000"/>
                <w:highlight w:val="yellow"/>
                <w:lang w:eastAsia="pl-PL"/>
              </w:rPr>
            </w:pPr>
            <w:r w:rsidRPr="00012DB9">
              <w:rPr>
                <w:rFonts w:eastAsia="Times New Roman" w:cstheme="minorHAnsi"/>
                <w:b/>
                <w:bCs/>
                <w:lang w:eastAsia="pl-PL"/>
              </w:rPr>
              <w:t>217%</w:t>
            </w:r>
          </w:p>
        </w:tc>
      </w:tr>
    </w:tbl>
    <w:p w14:paraId="4DB3C906" w14:textId="2DC0FCE5" w:rsidR="00012DB9" w:rsidRPr="00012DB9" w:rsidRDefault="004E310F" w:rsidP="005A2787">
      <w:pPr>
        <w:pStyle w:val="rdo"/>
        <w:rPr>
          <w:rFonts w:cstheme="minorHAnsi"/>
        </w:rPr>
      </w:pPr>
      <w:r>
        <w:t>Źródło: opracowanie własne.</w:t>
      </w:r>
    </w:p>
    <w:p w14:paraId="0533DC7A" w14:textId="1F99FFDE" w:rsidR="00012DB9" w:rsidRPr="00012DB9" w:rsidRDefault="00012DB9" w:rsidP="00AF3808">
      <w:pPr>
        <w:pStyle w:val="Legenda"/>
      </w:pPr>
      <w:r w:rsidRPr="00012DB9">
        <w:lastRenderedPageBreak/>
        <w:t xml:space="preserve">Tabela </w:t>
      </w:r>
      <w:fldSimple w:instr=" SEQ Tabela \* ARABIC ">
        <w:r w:rsidR="00541DFA">
          <w:rPr>
            <w:noProof/>
          </w:rPr>
          <w:t>2</w:t>
        </w:r>
      </w:fldSimple>
      <w:r w:rsidRPr="00012DB9">
        <w:t xml:space="preserve">. </w:t>
      </w:r>
      <w:r w:rsidR="00790A78">
        <w:t>B</w:t>
      </w:r>
      <w:r w:rsidRPr="00012DB9">
        <w:t>adani</w:t>
      </w:r>
      <w:r w:rsidR="00790A78">
        <w:t>e</w:t>
      </w:r>
      <w:r w:rsidRPr="00012DB9">
        <w:t xml:space="preserve"> ilościowe z </w:t>
      </w:r>
      <w:r w:rsidR="00103BE8">
        <w:t>potencjalnymi wnioskodawcami</w:t>
      </w:r>
      <w:r w:rsidR="00103BE8" w:rsidRPr="00012DB9">
        <w:t xml:space="preserve"> </w:t>
      </w:r>
      <w:r w:rsidR="0069282F">
        <w:t>FEdKP 2021-2027 (</w:t>
      </w:r>
      <w:r w:rsidR="001E5BF1">
        <w:t xml:space="preserve">tj. beneficjentami RPO </w:t>
      </w:r>
      <w:r w:rsidR="004A08C7">
        <w:t>WK-P</w:t>
      </w:r>
      <w:r w:rsidR="001E5BF1">
        <w:t xml:space="preserve"> 2014-2020)</w:t>
      </w:r>
      <w:r w:rsidR="00103BE8" w:rsidRPr="00012DB9">
        <w:t xml:space="preserve"> </w:t>
      </w:r>
      <w:r w:rsidR="009F40D7">
        <w:t>– liczba zakładanych i zrealizowanych ankiet</w:t>
      </w:r>
    </w:p>
    <w:tbl>
      <w:tblPr>
        <w:tblW w:w="5000" w:type="pct"/>
        <w:tblLayout w:type="fixed"/>
        <w:tblCellMar>
          <w:left w:w="70" w:type="dxa"/>
          <w:right w:w="70" w:type="dxa"/>
        </w:tblCellMar>
        <w:tblLook w:val="04A0" w:firstRow="1" w:lastRow="0" w:firstColumn="1" w:lastColumn="0" w:noHBand="0" w:noVBand="1"/>
        <w:tblCaption w:val="Badanie ilościowe z beneficjentami – liczba zakładanych i zrealizowanych ankiet"/>
        <w:tblDescription w:val="Tabela przedstawia wyniki badania ilościowego z beneficjentami, z podziałem na typy podmiotów, liczbę unikatowych beneficjentów, zakładaną minimalną liczbę ankiet oraz faktyczną realizację.&#10;&#10;Jednostki samorządu terytorialnego (JST) – 40 beneficjentów, plan 12 ankiet, realizacja 12 (100% planu).&#10;&#10;Jednostki lub placówki systemu oświaty – 9 beneficjentów, plan 3 ankiety, realizacja 3 (100%).&#10;&#10;Jednostki lub placówki ochrony zdrowia – 20 beneficjentów, plan 6 ankiet, realizacja 9 (150%).&#10;&#10;Przedsiębiorstwa – 485 beneficjentów, plan 146 ankiet, realizacja 155 (106%).&#10;&#10;Stowarzyszenia, fundacje, organizacje społeczne, związki – 56 beneficjentów, plan 17 ankiet, realizacja 17 (100%).&#10;&#10;Organy władzy i administracji rządowej – 7 beneficjentów, plan 2 ankiety, realizacja 2 (100%).&#10;&#10;Spółdzielnie i wspólnoty – 25 beneficjentów, plan 8 ankiet, realizacja 10 (125%).&#10;&#10;Inne podmioty – 22 beneficjentów, plan 7 ankiet, realizacja 7 (100%).&#10;&#10;Łącznie badaniem objęto 664 beneficjentów, zakładano 201 ankiet, a zrealizowano 215, co stanowi 103% planu."/>
      </w:tblPr>
      <w:tblGrid>
        <w:gridCol w:w="2406"/>
        <w:gridCol w:w="1560"/>
        <w:gridCol w:w="1274"/>
        <w:gridCol w:w="1419"/>
        <w:gridCol w:w="1417"/>
        <w:gridCol w:w="986"/>
      </w:tblGrid>
      <w:tr w:rsidR="00012DB9" w:rsidRPr="00012DB9" w14:paraId="7088BE2A" w14:textId="77777777" w:rsidTr="00077CA0">
        <w:trPr>
          <w:trHeight w:val="288"/>
          <w:tblHeader/>
        </w:trPr>
        <w:tc>
          <w:tcPr>
            <w:tcW w:w="1327" w:type="pct"/>
            <w:tcBorders>
              <w:top w:val="single" w:sz="4" w:space="0" w:color="auto"/>
              <w:left w:val="single" w:sz="4" w:space="0" w:color="auto"/>
              <w:bottom w:val="single" w:sz="4" w:space="0" w:color="auto"/>
              <w:right w:val="single" w:sz="4" w:space="0" w:color="auto"/>
            </w:tcBorders>
            <w:shd w:val="clear" w:color="auto" w:fill="0F14D2"/>
            <w:noWrap/>
            <w:vAlign w:val="center"/>
            <w:hideMark/>
          </w:tcPr>
          <w:p w14:paraId="319DF103" w14:textId="48044A88"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 xml:space="preserve">Typ </w:t>
            </w:r>
            <w:r w:rsidR="00103BE8">
              <w:rPr>
                <w:rFonts w:eastAsia="Times New Roman" w:cstheme="minorHAnsi"/>
                <w:b/>
                <w:bCs/>
                <w:color w:val="FFFFFF"/>
                <w:lang w:eastAsia="pl-PL"/>
              </w:rPr>
              <w:t>podmiotu</w:t>
            </w:r>
            <w:r w:rsidR="00103BE8" w:rsidRPr="00012DB9">
              <w:rPr>
                <w:rFonts w:eastAsia="Times New Roman" w:cstheme="minorHAnsi"/>
                <w:b/>
                <w:bCs/>
                <w:color w:val="FFFFFF"/>
                <w:lang w:eastAsia="pl-PL"/>
              </w:rPr>
              <w:t xml:space="preserve"> </w:t>
            </w:r>
          </w:p>
        </w:tc>
        <w:tc>
          <w:tcPr>
            <w:tcW w:w="861" w:type="pct"/>
            <w:tcBorders>
              <w:top w:val="single" w:sz="4" w:space="0" w:color="auto"/>
              <w:left w:val="nil"/>
              <w:bottom w:val="single" w:sz="4" w:space="0" w:color="auto"/>
              <w:right w:val="single" w:sz="4" w:space="0" w:color="auto"/>
            </w:tcBorders>
            <w:shd w:val="clear" w:color="auto" w:fill="0F14D2"/>
            <w:noWrap/>
            <w:vAlign w:val="center"/>
            <w:hideMark/>
          </w:tcPr>
          <w:p w14:paraId="1333DEE1" w14:textId="67AC28C8"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 xml:space="preserve">Liczba unikatowych </w:t>
            </w:r>
            <w:r w:rsidR="001E5BF1">
              <w:rPr>
                <w:rFonts w:eastAsia="Times New Roman" w:cstheme="minorHAnsi"/>
                <w:b/>
                <w:bCs/>
                <w:color w:val="FFFFFF"/>
                <w:lang w:eastAsia="pl-PL"/>
              </w:rPr>
              <w:t>podmiotów</w:t>
            </w:r>
          </w:p>
        </w:tc>
        <w:tc>
          <w:tcPr>
            <w:tcW w:w="703" w:type="pct"/>
            <w:tcBorders>
              <w:top w:val="single" w:sz="4" w:space="0" w:color="auto"/>
              <w:left w:val="nil"/>
              <w:bottom w:val="single" w:sz="4" w:space="0" w:color="auto"/>
              <w:right w:val="single" w:sz="4" w:space="0" w:color="auto"/>
            </w:tcBorders>
            <w:shd w:val="clear" w:color="auto" w:fill="0F14D2"/>
            <w:noWrap/>
            <w:vAlign w:val="center"/>
            <w:hideMark/>
          </w:tcPr>
          <w:p w14:paraId="47FA0899"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Zakładany % zwrotności</w:t>
            </w:r>
          </w:p>
        </w:tc>
        <w:tc>
          <w:tcPr>
            <w:tcW w:w="783" w:type="pct"/>
            <w:tcBorders>
              <w:top w:val="single" w:sz="4" w:space="0" w:color="auto"/>
              <w:left w:val="nil"/>
              <w:bottom w:val="single" w:sz="4" w:space="0" w:color="auto"/>
              <w:right w:val="single" w:sz="4" w:space="0" w:color="auto"/>
            </w:tcBorders>
            <w:shd w:val="clear" w:color="auto" w:fill="0F14D2"/>
            <w:noWrap/>
            <w:vAlign w:val="center"/>
            <w:hideMark/>
          </w:tcPr>
          <w:p w14:paraId="5E28AB86"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Zakładana minimalna liczebność ankiet</w:t>
            </w:r>
          </w:p>
        </w:tc>
        <w:tc>
          <w:tcPr>
            <w:tcW w:w="782" w:type="pct"/>
            <w:tcBorders>
              <w:top w:val="nil"/>
              <w:left w:val="nil"/>
              <w:bottom w:val="nil"/>
              <w:right w:val="single" w:sz="4" w:space="0" w:color="auto"/>
            </w:tcBorders>
            <w:shd w:val="clear" w:color="auto" w:fill="0F14D2"/>
            <w:noWrap/>
            <w:vAlign w:val="center"/>
            <w:hideMark/>
          </w:tcPr>
          <w:p w14:paraId="59491AA1"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Liczba zrealizowanych ankiet</w:t>
            </w:r>
          </w:p>
        </w:tc>
        <w:tc>
          <w:tcPr>
            <w:tcW w:w="545" w:type="pct"/>
            <w:tcBorders>
              <w:top w:val="nil"/>
              <w:left w:val="nil"/>
              <w:bottom w:val="nil"/>
              <w:right w:val="single" w:sz="4" w:space="0" w:color="auto"/>
            </w:tcBorders>
            <w:shd w:val="clear" w:color="auto" w:fill="0F14D2"/>
            <w:noWrap/>
            <w:vAlign w:val="center"/>
            <w:hideMark/>
          </w:tcPr>
          <w:p w14:paraId="648F825B" w14:textId="77777777" w:rsidR="00012DB9" w:rsidRPr="00012DB9" w:rsidRDefault="00012DB9" w:rsidP="00012DB9">
            <w:pPr>
              <w:spacing w:before="0" w:after="0" w:line="240" w:lineRule="auto"/>
              <w:rPr>
                <w:rFonts w:eastAsia="Times New Roman" w:cstheme="minorHAnsi"/>
                <w:b/>
                <w:bCs/>
                <w:color w:val="FFFFFF"/>
                <w:lang w:eastAsia="pl-PL"/>
              </w:rPr>
            </w:pPr>
            <w:r w:rsidRPr="00012DB9">
              <w:rPr>
                <w:rFonts w:eastAsia="Times New Roman" w:cstheme="minorHAnsi"/>
                <w:b/>
                <w:bCs/>
                <w:color w:val="FFFFFF"/>
                <w:lang w:eastAsia="pl-PL"/>
              </w:rPr>
              <w:t>Próba [%]</w:t>
            </w:r>
          </w:p>
        </w:tc>
      </w:tr>
      <w:tr w:rsidR="00012DB9" w:rsidRPr="00040E3C" w14:paraId="47EEF0B8"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48F43AAF"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JST</w:t>
            </w:r>
          </w:p>
        </w:tc>
        <w:tc>
          <w:tcPr>
            <w:tcW w:w="861" w:type="pct"/>
            <w:tcBorders>
              <w:top w:val="nil"/>
              <w:left w:val="nil"/>
              <w:bottom w:val="single" w:sz="8" w:space="0" w:color="0F14D2"/>
              <w:right w:val="single" w:sz="8" w:space="0" w:color="0F14D2"/>
            </w:tcBorders>
            <w:noWrap/>
            <w:vAlign w:val="center"/>
            <w:hideMark/>
          </w:tcPr>
          <w:p w14:paraId="5C7C14ED"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40</w:t>
            </w:r>
          </w:p>
        </w:tc>
        <w:tc>
          <w:tcPr>
            <w:tcW w:w="703" w:type="pct"/>
            <w:tcBorders>
              <w:top w:val="nil"/>
              <w:left w:val="nil"/>
              <w:bottom w:val="single" w:sz="8" w:space="0" w:color="0F14D2"/>
              <w:right w:val="single" w:sz="8" w:space="0" w:color="0F14D2"/>
            </w:tcBorders>
            <w:noWrap/>
            <w:vAlign w:val="center"/>
            <w:hideMark/>
          </w:tcPr>
          <w:p w14:paraId="1F3BC1A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2802F2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12</w:t>
            </w:r>
          </w:p>
        </w:tc>
        <w:tc>
          <w:tcPr>
            <w:tcW w:w="782" w:type="pct"/>
            <w:tcBorders>
              <w:top w:val="nil"/>
              <w:left w:val="nil"/>
              <w:bottom w:val="single" w:sz="8" w:space="0" w:color="0F14D2"/>
              <w:right w:val="single" w:sz="8" w:space="0" w:color="0F14D2"/>
            </w:tcBorders>
            <w:shd w:val="clear" w:color="auto" w:fill="A6C9EC"/>
            <w:noWrap/>
            <w:vAlign w:val="center"/>
            <w:hideMark/>
          </w:tcPr>
          <w:p w14:paraId="1A9DDA1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12</w:t>
            </w:r>
          </w:p>
        </w:tc>
        <w:tc>
          <w:tcPr>
            <w:tcW w:w="545" w:type="pct"/>
            <w:tcBorders>
              <w:top w:val="nil"/>
              <w:left w:val="nil"/>
              <w:bottom w:val="single" w:sz="8" w:space="0" w:color="0F14D2"/>
              <w:right w:val="single" w:sz="8" w:space="0" w:color="0F14D2"/>
            </w:tcBorders>
            <w:shd w:val="clear" w:color="auto" w:fill="A6C9EC"/>
            <w:noWrap/>
            <w:vAlign w:val="center"/>
            <w:hideMark/>
          </w:tcPr>
          <w:p w14:paraId="34C36B0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100%</w:t>
            </w:r>
          </w:p>
        </w:tc>
      </w:tr>
      <w:tr w:rsidR="00012DB9" w:rsidRPr="00040E3C" w14:paraId="6446840F"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3495AD9E"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jednostki/ placówki systemu oświaty</w:t>
            </w:r>
          </w:p>
        </w:tc>
        <w:tc>
          <w:tcPr>
            <w:tcW w:w="861" w:type="pct"/>
            <w:tcBorders>
              <w:top w:val="nil"/>
              <w:left w:val="nil"/>
              <w:bottom w:val="single" w:sz="8" w:space="0" w:color="0F14D2"/>
              <w:right w:val="single" w:sz="8" w:space="0" w:color="0F14D2"/>
            </w:tcBorders>
            <w:noWrap/>
            <w:vAlign w:val="center"/>
            <w:hideMark/>
          </w:tcPr>
          <w:p w14:paraId="6D325A0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9</w:t>
            </w:r>
          </w:p>
        </w:tc>
        <w:tc>
          <w:tcPr>
            <w:tcW w:w="703" w:type="pct"/>
            <w:tcBorders>
              <w:top w:val="nil"/>
              <w:left w:val="nil"/>
              <w:bottom w:val="single" w:sz="8" w:space="0" w:color="0F14D2"/>
              <w:right w:val="single" w:sz="8" w:space="0" w:color="0F14D2"/>
            </w:tcBorders>
            <w:noWrap/>
            <w:vAlign w:val="center"/>
            <w:hideMark/>
          </w:tcPr>
          <w:p w14:paraId="3FB4409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011DD0E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w:t>
            </w:r>
          </w:p>
        </w:tc>
        <w:tc>
          <w:tcPr>
            <w:tcW w:w="782" w:type="pct"/>
            <w:tcBorders>
              <w:top w:val="nil"/>
              <w:left w:val="nil"/>
              <w:bottom w:val="single" w:sz="8" w:space="0" w:color="0F14D2"/>
              <w:right w:val="single" w:sz="8" w:space="0" w:color="0F14D2"/>
            </w:tcBorders>
            <w:shd w:val="clear" w:color="auto" w:fill="A6C9EC"/>
            <w:noWrap/>
            <w:vAlign w:val="center"/>
            <w:hideMark/>
          </w:tcPr>
          <w:p w14:paraId="6FE4A3D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w:t>
            </w:r>
          </w:p>
        </w:tc>
        <w:tc>
          <w:tcPr>
            <w:tcW w:w="545" w:type="pct"/>
            <w:tcBorders>
              <w:top w:val="nil"/>
              <w:left w:val="nil"/>
              <w:bottom w:val="single" w:sz="8" w:space="0" w:color="0F14D2"/>
              <w:right w:val="single" w:sz="8" w:space="0" w:color="0F14D2"/>
            </w:tcBorders>
            <w:shd w:val="clear" w:color="auto" w:fill="A6C9EC"/>
            <w:noWrap/>
            <w:vAlign w:val="center"/>
            <w:hideMark/>
          </w:tcPr>
          <w:p w14:paraId="316E01C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100%</w:t>
            </w:r>
          </w:p>
        </w:tc>
      </w:tr>
      <w:tr w:rsidR="00012DB9" w:rsidRPr="00040E3C" w14:paraId="3F17AA83"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04514B6"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jednostki/ placówki ochrony zdrowia</w:t>
            </w:r>
          </w:p>
        </w:tc>
        <w:tc>
          <w:tcPr>
            <w:tcW w:w="861" w:type="pct"/>
            <w:tcBorders>
              <w:top w:val="nil"/>
              <w:left w:val="nil"/>
              <w:bottom w:val="single" w:sz="8" w:space="0" w:color="0F14D2"/>
              <w:right w:val="single" w:sz="8" w:space="0" w:color="0F14D2"/>
            </w:tcBorders>
            <w:noWrap/>
            <w:vAlign w:val="center"/>
            <w:hideMark/>
          </w:tcPr>
          <w:p w14:paraId="753834C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20</w:t>
            </w:r>
          </w:p>
        </w:tc>
        <w:tc>
          <w:tcPr>
            <w:tcW w:w="703" w:type="pct"/>
            <w:tcBorders>
              <w:top w:val="nil"/>
              <w:left w:val="nil"/>
              <w:bottom w:val="single" w:sz="8" w:space="0" w:color="0F14D2"/>
              <w:right w:val="single" w:sz="8" w:space="0" w:color="0F14D2"/>
            </w:tcBorders>
            <w:noWrap/>
            <w:vAlign w:val="center"/>
            <w:hideMark/>
          </w:tcPr>
          <w:p w14:paraId="084C912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7C69608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6</w:t>
            </w:r>
          </w:p>
        </w:tc>
        <w:tc>
          <w:tcPr>
            <w:tcW w:w="782" w:type="pct"/>
            <w:tcBorders>
              <w:top w:val="nil"/>
              <w:left w:val="nil"/>
              <w:bottom w:val="single" w:sz="8" w:space="0" w:color="0F14D2"/>
              <w:right w:val="single" w:sz="8" w:space="0" w:color="0F14D2"/>
            </w:tcBorders>
            <w:shd w:val="clear" w:color="auto" w:fill="A6C9EC"/>
            <w:noWrap/>
            <w:vAlign w:val="center"/>
            <w:hideMark/>
          </w:tcPr>
          <w:p w14:paraId="71A81EC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9</w:t>
            </w:r>
          </w:p>
        </w:tc>
        <w:tc>
          <w:tcPr>
            <w:tcW w:w="545" w:type="pct"/>
            <w:tcBorders>
              <w:top w:val="nil"/>
              <w:left w:val="nil"/>
              <w:bottom w:val="single" w:sz="8" w:space="0" w:color="0F14D2"/>
              <w:right w:val="single" w:sz="8" w:space="0" w:color="0F14D2"/>
            </w:tcBorders>
            <w:shd w:val="clear" w:color="auto" w:fill="A6C9EC"/>
            <w:noWrap/>
            <w:vAlign w:val="center"/>
            <w:hideMark/>
          </w:tcPr>
          <w:p w14:paraId="59B2E568"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150%</w:t>
            </w:r>
          </w:p>
        </w:tc>
      </w:tr>
      <w:tr w:rsidR="00012DB9" w:rsidRPr="00040E3C" w14:paraId="4C06955F"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9F5345E"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 xml:space="preserve">przedsiębiorstwa </w:t>
            </w:r>
          </w:p>
        </w:tc>
        <w:tc>
          <w:tcPr>
            <w:tcW w:w="861" w:type="pct"/>
            <w:tcBorders>
              <w:top w:val="nil"/>
              <w:left w:val="nil"/>
              <w:bottom w:val="single" w:sz="8" w:space="0" w:color="0F14D2"/>
              <w:right w:val="single" w:sz="8" w:space="0" w:color="0F14D2"/>
            </w:tcBorders>
            <w:noWrap/>
            <w:vAlign w:val="center"/>
            <w:hideMark/>
          </w:tcPr>
          <w:p w14:paraId="1EE6A64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485</w:t>
            </w:r>
          </w:p>
        </w:tc>
        <w:tc>
          <w:tcPr>
            <w:tcW w:w="703" w:type="pct"/>
            <w:tcBorders>
              <w:top w:val="nil"/>
              <w:left w:val="nil"/>
              <w:bottom w:val="single" w:sz="8" w:space="0" w:color="0F14D2"/>
              <w:right w:val="single" w:sz="8" w:space="0" w:color="0F14D2"/>
            </w:tcBorders>
            <w:noWrap/>
            <w:vAlign w:val="center"/>
            <w:hideMark/>
          </w:tcPr>
          <w:p w14:paraId="1185F17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A8D763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146</w:t>
            </w:r>
          </w:p>
        </w:tc>
        <w:tc>
          <w:tcPr>
            <w:tcW w:w="782" w:type="pct"/>
            <w:tcBorders>
              <w:top w:val="nil"/>
              <w:left w:val="nil"/>
              <w:bottom w:val="single" w:sz="8" w:space="0" w:color="0F14D2"/>
              <w:right w:val="single" w:sz="8" w:space="0" w:color="0F14D2"/>
            </w:tcBorders>
            <w:shd w:val="clear" w:color="auto" w:fill="A6C9EC"/>
            <w:noWrap/>
            <w:hideMark/>
          </w:tcPr>
          <w:p w14:paraId="7FFCEBD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155</w:t>
            </w:r>
          </w:p>
        </w:tc>
        <w:tc>
          <w:tcPr>
            <w:tcW w:w="545" w:type="pct"/>
            <w:tcBorders>
              <w:top w:val="nil"/>
              <w:left w:val="nil"/>
              <w:bottom w:val="single" w:sz="8" w:space="0" w:color="0F14D2"/>
              <w:right w:val="single" w:sz="8" w:space="0" w:color="0F14D2"/>
            </w:tcBorders>
            <w:shd w:val="clear" w:color="auto" w:fill="A6C9EC"/>
            <w:noWrap/>
            <w:hideMark/>
          </w:tcPr>
          <w:p w14:paraId="24F0FC2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106%</w:t>
            </w:r>
          </w:p>
        </w:tc>
      </w:tr>
      <w:tr w:rsidR="00012DB9" w:rsidRPr="00040E3C" w14:paraId="2641E7CD"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339D4D9B"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stowarzyszenia, fundacje, organizacje społeczne, związki</w:t>
            </w:r>
          </w:p>
        </w:tc>
        <w:tc>
          <w:tcPr>
            <w:tcW w:w="861" w:type="pct"/>
            <w:tcBorders>
              <w:top w:val="nil"/>
              <w:left w:val="nil"/>
              <w:bottom w:val="single" w:sz="8" w:space="0" w:color="0F14D2"/>
              <w:right w:val="single" w:sz="8" w:space="0" w:color="0F14D2"/>
            </w:tcBorders>
            <w:noWrap/>
            <w:vAlign w:val="center"/>
            <w:hideMark/>
          </w:tcPr>
          <w:p w14:paraId="34B702F5"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56</w:t>
            </w:r>
          </w:p>
        </w:tc>
        <w:tc>
          <w:tcPr>
            <w:tcW w:w="703" w:type="pct"/>
            <w:tcBorders>
              <w:top w:val="nil"/>
              <w:left w:val="nil"/>
              <w:bottom w:val="single" w:sz="8" w:space="0" w:color="0F14D2"/>
              <w:right w:val="single" w:sz="8" w:space="0" w:color="0F14D2"/>
            </w:tcBorders>
            <w:noWrap/>
            <w:vAlign w:val="center"/>
            <w:hideMark/>
          </w:tcPr>
          <w:p w14:paraId="6BF94E10"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634AC9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17</w:t>
            </w:r>
          </w:p>
        </w:tc>
        <w:tc>
          <w:tcPr>
            <w:tcW w:w="782" w:type="pct"/>
            <w:tcBorders>
              <w:top w:val="nil"/>
              <w:left w:val="nil"/>
              <w:bottom w:val="single" w:sz="8" w:space="0" w:color="0F14D2"/>
              <w:right w:val="single" w:sz="8" w:space="0" w:color="0F14D2"/>
            </w:tcBorders>
            <w:shd w:val="clear" w:color="auto" w:fill="A6C9EC"/>
            <w:noWrap/>
            <w:hideMark/>
          </w:tcPr>
          <w:p w14:paraId="3DCD91D7"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17</w:t>
            </w:r>
          </w:p>
        </w:tc>
        <w:tc>
          <w:tcPr>
            <w:tcW w:w="545" w:type="pct"/>
            <w:tcBorders>
              <w:top w:val="nil"/>
              <w:left w:val="nil"/>
              <w:bottom w:val="single" w:sz="8" w:space="0" w:color="0F14D2"/>
              <w:right w:val="single" w:sz="8" w:space="0" w:color="0F14D2"/>
            </w:tcBorders>
            <w:shd w:val="clear" w:color="auto" w:fill="A6C9EC"/>
            <w:noWrap/>
            <w:hideMark/>
          </w:tcPr>
          <w:p w14:paraId="1260CA6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5DAC216D"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49666C27"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organy władzy, administracji rządowej</w:t>
            </w:r>
          </w:p>
        </w:tc>
        <w:tc>
          <w:tcPr>
            <w:tcW w:w="861" w:type="pct"/>
            <w:tcBorders>
              <w:top w:val="nil"/>
              <w:left w:val="nil"/>
              <w:bottom w:val="single" w:sz="8" w:space="0" w:color="0F14D2"/>
              <w:right w:val="single" w:sz="8" w:space="0" w:color="0F14D2"/>
            </w:tcBorders>
            <w:noWrap/>
            <w:vAlign w:val="center"/>
            <w:hideMark/>
          </w:tcPr>
          <w:p w14:paraId="794FF55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03" w:type="pct"/>
            <w:tcBorders>
              <w:top w:val="nil"/>
              <w:left w:val="nil"/>
              <w:bottom w:val="single" w:sz="8" w:space="0" w:color="0F14D2"/>
              <w:right w:val="single" w:sz="8" w:space="0" w:color="0F14D2"/>
            </w:tcBorders>
            <w:noWrap/>
            <w:vAlign w:val="center"/>
            <w:hideMark/>
          </w:tcPr>
          <w:p w14:paraId="0B8447B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6CC06FBA"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w:t>
            </w:r>
          </w:p>
        </w:tc>
        <w:tc>
          <w:tcPr>
            <w:tcW w:w="782" w:type="pct"/>
            <w:tcBorders>
              <w:top w:val="nil"/>
              <w:left w:val="nil"/>
              <w:bottom w:val="single" w:sz="8" w:space="0" w:color="0F14D2"/>
              <w:right w:val="single" w:sz="8" w:space="0" w:color="0F14D2"/>
            </w:tcBorders>
            <w:shd w:val="clear" w:color="auto" w:fill="A6C9EC"/>
            <w:noWrap/>
            <w:hideMark/>
          </w:tcPr>
          <w:p w14:paraId="2D8B2583"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2</w:t>
            </w:r>
          </w:p>
        </w:tc>
        <w:tc>
          <w:tcPr>
            <w:tcW w:w="545" w:type="pct"/>
            <w:tcBorders>
              <w:top w:val="nil"/>
              <w:left w:val="nil"/>
              <w:bottom w:val="single" w:sz="8" w:space="0" w:color="0F14D2"/>
              <w:right w:val="single" w:sz="8" w:space="0" w:color="0F14D2"/>
            </w:tcBorders>
            <w:shd w:val="clear" w:color="auto" w:fill="A6C9EC"/>
            <w:noWrap/>
            <w:hideMark/>
          </w:tcPr>
          <w:p w14:paraId="4E2ADEA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4FFF1ACE"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2F8B495C"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spółdzielnie, wspólnoty</w:t>
            </w:r>
          </w:p>
        </w:tc>
        <w:tc>
          <w:tcPr>
            <w:tcW w:w="861" w:type="pct"/>
            <w:tcBorders>
              <w:top w:val="nil"/>
              <w:left w:val="nil"/>
              <w:bottom w:val="single" w:sz="8" w:space="0" w:color="0F14D2"/>
              <w:right w:val="single" w:sz="8" w:space="0" w:color="0F14D2"/>
            </w:tcBorders>
            <w:noWrap/>
            <w:vAlign w:val="center"/>
            <w:hideMark/>
          </w:tcPr>
          <w:p w14:paraId="0D8A247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25</w:t>
            </w:r>
          </w:p>
        </w:tc>
        <w:tc>
          <w:tcPr>
            <w:tcW w:w="703" w:type="pct"/>
            <w:tcBorders>
              <w:top w:val="nil"/>
              <w:left w:val="nil"/>
              <w:bottom w:val="single" w:sz="8" w:space="0" w:color="0F14D2"/>
              <w:right w:val="single" w:sz="8" w:space="0" w:color="0F14D2"/>
            </w:tcBorders>
            <w:noWrap/>
            <w:vAlign w:val="center"/>
            <w:hideMark/>
          </w:tcPr>
          <w:p w14:paraId="07A4CA9C"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57FD880E"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8</w:t>
            </w:r>
          </w:p>
        </w:tc>
        <w:tc>
          <w:tcPr>
            <w:tcW w:w="782" w:type="pct"/>
            <w:tcBorders>
              <w:top w:val="nil"/>
              <w:left w:val="nil"/>
              <w:bottom w:val="single" w:sz="8" w:space="0" w:color="0F14D2"/>
              <w:right w:val="single" w:sz="8" w:space="0" w:color="0F14D2"/>
            </w:tcBorders>
            <w:shd w:val="clear" w:color="auto" w:fill="A6C9EC"/>
            <w:noWrap/>
            <w:hideMark/>
          </w:tcPr>
          <w:p w14:paraId="34596292"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w:t>
            </w:r>
          </w:p>
        </w:tc>
        <w:tc>
          <w:tcPr>
            <w:tcW w:w="545" w:type="pct"/>
            <w:tcBorders>
              <w:top w:val="nil"/>
              <w:left w:val="nil"/>
              <w:bottom w:val="single" w:sz="8" w:space="0" w:color="0F14D2"/>
              <w:right w:val="single" w:sz="8" w:space="0" w:color="0F14D2"/>
            </w:tcBorders>
            <w:shd w:val="clear" w:color="auto" w:fill="A6C9EC"/>
            <w:noWrap/>
            <w:hideMark/>
          </w:tcPr>
          <w:p w14:paraId="64273A9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125%</w:t>
            </w:r>
          </w:p>
        </w:tc>
      </w:tr>
      <w:tr w:rsidR="00012DB9" w:rsidRPr="00040E3C" w14:paraId="5C543429"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08B41EEA"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Inne</w:t>
            </w:r>
          </w:p>
        </w:tc>
        <w:tc>
          <w:tcPr>
            <w:tcW w:w="861" w:type="pct"/>
            <w:tcBorders>
              <w:top w:val="nil"/>
              <w:left w:val="nil"/>
              <w:bottom w:val="single" w:sz="8" w:space="0" w:color="0F14D2"/>
              <w:right w:val="single" w:sz="8" w:space="0" w:color="0F14D2"/>
            </w:tcBorders>
            <w:noWrap/>
            <w:vAlign w:val="center"/>
            <w:hideMark/>
          </w:tcPr>
          <w:p w14:paraId="0112B4D4"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22</w:t>
            </w:r>
          </w:p>
        </w:tc>
        <w:tc>
          <w:tcPr>
            <w:tcW w:w="703" w:type="pct"/>
            <w:tcBorders>
              <w:top w:val="nil"/>
              <w:left w:val="nil"/>
              <w:bottom w:val="single" w:sz="8" w:space="0" w:color="0F14D2"/>
              <w:right w:val="single" w:sz="8" w:space="0" w:color="0F14D2"/>
            </w:tcBorders>
            <w:noWrap/>
            <w:vAlign w:val="center"/>
            <w:hideMark/>
          </w:tcPr>
          <w:p w14:paraId="45AFD6DF"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30%</w:t>
            </w:r>
          </w:p>
        </w:tc>
        <w:tc>
          <w:tcPr>
            <w:tcW w:w="783" w:type="pct"/>
            <w:tcBorders>
              <w:top w:val="nil"/>
              <w:left w:val="nil"/>
              <w:bottom w:val="single" w:sz="8" w:space="0" w:color="0F14D2"/>
              <w:right w:val="single" w:sz="8" w:space="0" w:color="0F14D2"/>
            </w:tcBorders>
            <w:noWrap/>
            <w:vAlign w:val="center"/>
            <w:hideMark/>
          </w:tcPr>
          <w:p w14:paraId="05D30926"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color w:val="000000"/>
                <w:lang w:eastAsia="pl-PL"/>
              </w:rPr>
              <w:t>7</w:t>
            </w:r>
          </w:p>
        </w:tc>
        <w:tc>
          <w:tcPr>
            <w:tcW w:w="782" w:type="pct"/>
            <w:tcBorders>
              <w:top w:val="nil"/>
              <w:left w:val="nil"/>
              <w:bottom w:val="single" w:sz="8" w:space="0" w:color="0F14D2"/>
              <w:right w:val="single" w:sz="8" w:space="0" w:color="0F14D2"/>
            </w:tcBorders>
            <w:shd w:val="clear" w:color="auto" w:fill="A6C9EC"/>
            <w:noWrap/>
            <w:hideMark/>
          </w:tcPr>
          <w:p w14:paraId="0C12B779"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7</w:t>
            </w:r>
          </w:p>
        </w:tc>
        <w:tc>
          <w:tcPr>
            <w:tcW w:w="545" w:type="pct"/>
            <w:tcBorders>
              <w:top w:val="nil"/>
              <w:left w:val="nil"/>
              <w:bottom w:val="single" w:sz="8" w:space="0" w:color="0F14D2"/>
              <w:right w:val="single" w:sz="8" w:space="0" w:color="0F14D2"/>
            </w:tcBorders>
            <w:shd w:val="clear" w:color="auto" w:fill="A6C9EC"/>
            <w:noWrap/>
            <w:hideMark/>
          </w:tcPr>
          <w:p w14:paraId="45154711" w14:textId="77777777" w:rsidR="00012DB9" w:rsidRPr="00012DB9" w:rsidRDefault="00012DB9" w:rsidP="00012DB9">
            <w:pPr>
              <w:spacing w:before="0" w:after="0" w:line="240" w:lineRule="auto"/>
              <w:jc w:val="right"/>
              <w:rPr>
                <w:rFonts w:eastAsia="Times New Roman" w:cstheme="minorHAnsi"/>
                <w:color w:val="000000"/>
                <w:lang w:eastAsia="pl-PL"/>
              </w:rPr>
            </w:pPr>
            <w:r w:rsidRPr="00012DB9">
              <w:rPr>
                <w:rFonts w:eastAsia="Times New Roman" w:cstheme="minorHAnsi"/>
                <w:lang w:eastAsia="pl-PL"/>
              </w:rPr>
              <w:t>100%</w:t>
            </w:r>
          </w:p>
        </w:tc>
      </w:tr>
      <w:tr w:rsidR="00012DB9" w:rsidRPr="00040E3C" w14:paraId="5E8ACD81" w14:textId="77777777" w:rsidTr="00077CA0">
        <w:trPr>
          <w:trHeight w:val="300"/>
        </w:trPr>
        <w:tc>
          <w:tcPr>
            <w:tcW w:w="1327" w:type="pct"/>
            <w:tcBorders>
              <w:top w:val="nil"/>
              <w:left w:val="single" w:sz="8" w:space="0" w:color="0F14D2"/>
              <w:bottom w:val="single" w:sz="8" w:space="0" w:color="0F14D2"/>
              <w:right w:val="single" w:sz="8" w:space="0" w:color="0F14D2"/>
            </w:tcBorders>
            <w:shd w:val="clear" w:color="auto" w:fill="FFFFFF"/>
            <w:noWrap/>
            <w:vAlign w:val="center"/>
            <w:hideMark/>
          </w:tcPr>
          <w:p w14:paraId="2561F2B2"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861" w:type="pct"/>
            <w:tcBorders>
              <w:top w:val="nil"/>
              <w:left w:val="nil"/>
              <w:bottom w:val="single" w:sz="8" w:space="0" w:color="0F14D2"/>
              <w:right w:val="single" w:sz="8" w:space="0" w:color="0F14D2"/>
            </w:tcBorders>
            <w:noWrap/>
            <w:vAlign w:val="center"/>
            <w:hideMark/>
          </w:tcPr>
          <w:p w14:paraId="39A85C6C"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664</w:t>
            </w:r>
          </w:p>
        </w:tc>
        <w:tc>
          <w:tcPr>
            <w:tcW w:w="703" w:type="pct"/>
            <w:tcBorders>
              <w:top w:val="nil"/>
              <w:left w:val="nil"/>
              <w:bottom w:val="single" w:sz="8" w:space="0" w:color="0F14D2"/>
              <w:right w:val="single" w:sz="8" w:space="0" w:color="0F14D2"/>
            </w:tcBorders>
            <w:noWrap/>
            <w:vAlign w:val="center"/>
            <w:hideMark/>
          </w:tcPr>
          <w:p w14:paraId="0AEE7933" w14:textId="77777777" w:rsidR="00012DB9" w:rsidRPr="00012DB9" w:rsidRDefault="00012DB9" w:rsidP="00012DB9">
            <w:pPr>
              <w:spacing w:before="0" w:after="0" w:line="240" w:lineRule="auto"/>
              <w:rPr>
                <w:rFonts w:eastAsia="Times New Roman" w:cstheme="minorHAnsi"/>
                <w:b/>
                <w:bCs/>
                <w:color w:val="000000"/>
                <w:lang w:eastAsia="pl-PL"/>
              </w:rPr>
            </w:pPr>
            <w:r w:rsidRPr="00012DB9">
              <w:rPr>
                <w:rFonts w:eastAsia="Times New Roman" w:cstheme="minorHAnsi"/>
                <w:b/>
                <w:bCs/>
                <w:color w:val="000000"/>
                <w:lang w:eastAsia="pl-PL"/>
              </w:rPr>
              <w:t>SUMA</w:t>
            </w:r>
          </w:p>
        </w:tc>
        <w:tc>
          <w:tcPr>
            <w:tcW w:w="783" w:type="pct"/>
            <w:tcBorders>
              <w:top w:val="nil"/>
              <w:left w:val="nil"/>
              <w:bottom w:val="single" w:sz="8" w:space="0" w:color="0F14D2"/>
              <w:right w:val="single" w:sz="8" w:space="0" w:color="0F14D2"/>
            </w:tcBorders>
            <w:noWrap/>
            <w:vAlign w:val="center"/>
            <w:hideMark/>
          </w:tcPr>
          <w:p w14:paraId="79AC4475"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color w:val="000000"/>
                <w:lang w:eastAsia="pl-PL"/>
              </w:rPr>
              <w:t>201</w:t>
            </w:r>
          </w:p>
        </w:tc>
        <w:tc>
          <w:tcPr>
            <w:tcW w:w="782" w:type="pct"/>
            <w:tcBorders>
              <w:top w:val="nil"/>
              <w:left w:val="nil"/>
              <w:bottom w:val="single" w:sz="8" w:space="0" w:color="0F14D2"/>
              <w:right w:val="single" w:sz="8" w:space="0" w:color="0F14D2"/>
            </w:tcBorders>
            <w:shd w:val="clear" w:color="auto" w:fill="A6C9EC"/>
            <w:noWrap/>
            <w:hideMark/>
          </w:tcPr>
          <w:p w14:paraId="60CB3FC7"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lang w:eastAsia="pl-PL"/>
              </w:rPr>
              <w:t>215</w:t>
            </w:r>
          </w:p>
        </w:tc>
        <w:tc>
          <w:tcPr>
            <w:tcW w:w="545" w:type="pct"/>
            <w:tcBorders>
              <w:top w:val="nil"/>
              <w:left w:val="nil"/>
              <w:bottom w:val="single" w:sz="8" w:space="0" w:color="0F14D2"/>
              <w:right w:val="single" w:sz="8" w:space="0" w:color="0F14D2"/>
            </w:tcBorders>
            <w:shd w:val="clear" w:color="auto" w:fill="A6C9EC"/>
            <w:noWrap/>
            <w:hideMark/>
          </w:tcPr>
          <w:p w14:paraId="705A981F" w14:textId="77777777" w:rsidR="00012DB9" w:rsidRPr="00012DB9" w:rsidRDefault="00012DB9" w:rsidP="00012DB9">
            <w:pPr>
              <w:spacing w:before="0" w:after="0" w:line="240" w:lineRule="auto"/>
              <w:jc w:val="right"/>
              <w:rPr>
                <w:rFonts w:eastAsia="Times New Roman" w:cstheme="minorHAnsi"/>
                <w:b/>
                <w:bCs/>
                <w:color w:val="000000"/>
                <w:lang w:eastAsia="pl-PL"/>
              </w:rPr>
            </w:pPr>
            <w:r w:rsidRPr="00012DB9">
              <w:rPr>
                <w:rFonts w:eastAsia="Times New Roman" w:cstheme="minorHAnsi"/>
                <w:b/>
                <w:bCs/>
                <w:lang w:eastAsia="pl-PL"/>
              </w:rPr>
              <w:t>103%</w:t>
            </w:r>
          </w:p>
        </w:tc>
      </w:tr>
    </w:tbl>
    <w:p w14:paraId="1D6E7F21" w14:textId="08F51D2D" w:rsidR="004E1B95" w:rsidRDefault="004E310F" w:rsidP="005A2787">
      <w:pPr>
        <w:pStyle w:val="rdo"/>
      </w:pPr>
      <w:r>
        <w:t>Źródło: opracowanie własne.</w:t>
      </w:r>
    </w:p>
    <w:p w14:paraId="62B69EAF" w14:textId="64AA7E52" w:rsidR="001F3C86" w:rsidRPr="005A2787" w:rsidRDefault="0061590A" w:rsidP="005A2787">
      <w:pPr>
        <w:pStyle w:val="rdo"/>
      </w:pPr>
      <w:r w:rsidRPr="005A2787">
        <w:t xml:space="preserve">Dzięki wynikom badań ilościowych można precyzyjnie określić skalę występowania poszczególnych problemów i barier w procesie aplikowania o środki, a także oszacować, które czynniki są najczęściej wskazywane przez różne grupy </w:t>
      </w:r>
      <w:r w:rsidR="005511CF" w:rsidRPr="005A2787">
        <w:t>wnioskodawców</w:t>
      </w:r>
      <w:r w:rsidRPr="005A2787">
        <w:t>.</w:t>
      </w:r>
      <w:r w:rsidR="00E652CE" w:rsidRPr="005A2787">
        <w:t xml:space="preserve"> </w:t>
      </w:r>
      <w:r w:rsidR="00741F78" w:rsidRPr="005A2787">
        <w:t>W przypadku potencjalnych wnioskodawców p</w:t>
      </w:r>
      <w:r w:rsidR="00E652CE" w:rsidRPr="005A2787">
        <w:t>ozwala to zidentyfikować zarówno czynniki zewnętrzne (np. niedopasowanie tematyki naborów, bariery proceduralne, brak informacji), jak i wewnętrzne (np. brak zasobów, ograniczenia finansowe) wpływające na rezygnację z aplikowania.</w:t>
      </w:r>
      <w:r w:rsidR="00FE79E5" w:rsidRPr="005A2787">
        <w:t xml:space="preserve"> W przypadku wnioskodawców, którzy brali udział w naborach</w:t>
      </w:r>
      <w:r w:rsidR="00633D92" w:rsidRPr="005A2787">
        <w:t xml:space="preserve"> </w:t>
      </w:r>
      <w:r w:rsidR="00A25767" w:rsidRPr="005A2787">
        <w:t xml:space="preserve">udało się pozyskać informacje o </w:t>
      </w:r>
      <w:r w:rsidR="00633D92" w:rsidRPr="005A2787">
        <w:t xml:space="preserve">ocenie dostępności i jakości informacji o naborze, stopniu przygotowania projektu, zrozumiałości dokumentacji i adekwatności kryteriów, warunkach finansowych, a także </w:t>
      </w:r>
      <w:r w:rsidR="00EA1873" w:rsidRPr="005A2787">
        <w:t>o</w:t>
      </w:r>
      <w:r w:rsidR="00633D92" w:rsidRPr="005A2787">
        <w:t xml:space="preserve"> identyfikacji barier wewnętrznych i ocenie wsparcia instytucjonalnego.</w:t>
      </w:r>
    </w:p>
    <w:p w14:paraId="2E8EC636" w14:textId="77777777" w:rsidR="005B0B47" w:rsidRPr="00A41189" w:rsidRDefault="005B0B47" w:rsidP="00A41189">
      <w:pPr>
        <w:spacing w:before="240"/>
        <w:rPr>
          <w:rFonts w:cstheme="minorHAnsi"/>
          <w:b/>
          <w:color w:val="640B68" w:themeColor="accent3" w:themeShade="BF"/>
        </w:rPr>
      </w:pPr>
      <w:r w:rsidRPr="00A41189">
        <w:rPr>
          <w:rFonts w:cstheme="minorHAnsi"/>
          <w:b/>
          <w:color w:val="640B68" w:themeColor="accent3" w:themeShade="BF"/>
        </w:rPr>
        <w:t xml:space="preserve">Wywiady grupowe (FGI) </w:t>
      </w:r>
    </w:p>
    <w:p w14:paraId="4B984F80" w14:textId="7E98F933" w:rsidR="00DD6033" w:rsidRDefault="00D90D05" w:rsidP="00D90D05">
      <w:r>
        <w:t xml:space="preserve">Zrealizowano </w:t>
      </w:r>
      <w:r w:rsidRPr="00A41189">
        <w:rPr>
          <w:b/>
        </w:rPr>
        <w:t>4 wywiady grupowe</w:t>
      </w:r>
      <w:r>
        <w:t xml:space="preserve"> </w:t>
      </w:r>
      <w:r w:rsidR="00D223EB">
        <w:t>w następujących obszarach:</w:t>
      </w:r>
    </w:p>
    <w:p w14:paraId="7698D97F" w14:textId="4D6A6102"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Rozwój gospodarczy (projekty kierowane do przedsiębiorców i organizacji otoczenia biznesu)</w:t>
      </w:r>
      <w:r w:rsidR="005313F5">
        <w:rPr>
          <w:rFonts w:eastAsia="Calibri" w:cstheme="minorHAnsi"/>
        </w:rPr>
        <w:t>;</w:t>
      </w:r>
    </w:p>
    <w:p w14:paraId="60DCDCE3" w14:textId="7BBD04E6"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lastRenderedPageBreak/>
        <w:t>Przestrzeń publiczna/transport/ochrona środowiska (projekty ogólnie związane z zagospodarowaniem przestrzeni w różnych aspektach)</w:t>
      </w:r>
      <w:r w:rsidR="005313F5">
        <w:rPr>
          <w:rFonts w:eastAsia="Calibri" w:cstheme="minorHAnsi"/>
        </w:rPr>
        <w:t>;</w:t>
      </w:r>
    </w:p>
    <w:p w14:paraId="1412E522" w14:textId="1D71E817"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Zdrowie, usługi społeczne, integracja społeczna (zarówno w wymiarze infrastrukturalnym, jak i wsparcia realizacji usług)</w:t>
      </w:r>
      <w:r w:rsidR="005313F5">
        <w:rPr>
          <w:rFonts w:eastAsia="Calibri" w:cstheme="minorHAnsi"/>
        </w:rPr>
        <w:t>;</w:t>
      </w:r>
    </w:p>
    <w:p w14:paraId="33ECF5B6" w14:textId="77777777" w:rsidR="00D223EB" w:rsidRPr="008570E4" w:rsidRDefault="00D223EB" w:rsidP="00103D76">
      <w:pPr>
        <w:pStyle w:val="Akapitzlist"/>
        <w:numPr>
          <w:ilvl w:val="0"/>
          <w:numId w:val="21"/>
        </w:numPr>
        <w:spacing w:line="257" w:lineRule="auto"/>
        <w:rPr>
          <w:rFonts w:eastAsia="Calibri" w:cstheme="minorHAnsi"/>
        </w:rPr>
      </w:pPr>
      <w:r w:rsidRPr="008570E4">
        <w:rPr>
          <w:rFonts w:eastAsia="Calibri" w:cstheme="minorHAnsi"/>
        </w:rPr>
        <w:t xml:space="preserve">Edukacja, kultura i turystyka. </w:t>
      </w:r>
    </w:p>
    <w:p w14:paraId="1D1981E4" w14:textId="4FFF4239" w:rsidR="00D223EB" w:rsidRPr="00ED41EA" w:rsidRDefault="00C772D4" w:rsidP="0058402F">
      <w:r>
        <w:t>Uczestnikami spotkań byli</w:t>
      </w:r>
      <w:r w:rsidR="00C8208C">
        <w:t xml:space="preserve"> wnioskodawcy i potencjalni wnioskodawcy</w:t>
      </w:r>
      <w:r w:rsidR="001F527A">
        <w:t>,</w:t>
      </w:r>
      <w:r w:rsidR="00151545">
        <w:t xml:space="preserve"> w tym</w:t>
      </w:r>
      <w:r w:rsidR="001F527A">
        <w:t xml:space="preserve"> przedstawiciele JST</w:t>
      </w:r>
      <w:r w:rsidR="00234689">
        <w:t>, przedsiębiorców oraz</w:t>
      </w:r>
      <w:r w:rsidR="00E27E15">
        <w:t xml:space="preserve"> innych podmiotów.</w:t>
      </w:r>
      <w:r w:rsidR="0016233B">
        <w:t xml:space="preserve"> </w:t>
      </w:r>
      <w:r w:rsidR="00515E34">
        <w:t xml:space="preserve">Celem było </w:t>
      </w:r>
      <w:r w:rsidR="00515E34" w:rsidRPr="00515E34">
        <w:t>omówienie procesu trwającego od momentu pozyskania wiedzy o naborze/ naborach do momentu faktycznego złożenia wniosku lub podjęcia decyzji o rezygnacji z aplikowania.</w:t>
      </w:r>
      <w:r w:rsidR="00515E34">
        <w:t xml:space="preserve"> </w:t>
      </w:r>
      <w:r w:rsidR="0058402F">
        <w:t>Wywiady dostarczyły</w:t>
      </w:r>
      <w:r w:rsidR="00515E34">
        <w:t xml:space="preserve"> więc</w:t>
      </w:r>
      <w:r w:rsidR="0058402F">
        <w:t xml:space="preserve"> informacji nt. poszczególnych etapów tego procesu (w tym czynników wpływających na podjęcie pozytywnej lub negatywnej decyzji o aplikowaniu, oceny samego procesu przygotowania i składania wniosków o dofinansowanie); zmian i działań, jakie powinny być wprowadzone, by uprościć proces aplikowania oraz zwiększyć poziom zainteresowania przyszłymi naborami w ramach FEdKP 2021-2027</w:t>
      </w:r>
      <w:r w:rsidR="009F1419">
        <w:rPr>
          <w:rFonts w:eastAsia="Calibri" w:cstheme="minorHAnsi"/>
        </w:rPr>
        <w:t>.</w:t>
      </w:r>
    </w:p>
    <w:p w14:paraId="60E39070" w14:textId="0A72E5AF" w:rsidR="001E7287" w:rsidRPr="008570E4" w:rsidRDefault="003C0DE1" w:rsidP="000B731F">
      <w:pPr>
        <w:pStyle w:val="Nagwek1"/>
        <w:spacing w:before="360"/>
        <w:rPr>
          <w:rStyle w:val="normaltextrun"/>
          <w:rFonts w:asciiTheme="minorHAnsi" w:hAnsiTheme="minorHAnsi" w:cstheme="minorHAnsi"/>
          <w:color w:val="0B0E9D" w:themeColor="accent1" w:themeShade="BF"/>
          <w:sz w:val="40"/>
          <w:szCs w:val="40"/>
        </w:rPr>
      </w:pPr>
      <w:bookmarkStart w:id="4" w:name="_Toc208593137"/>
      <w:r>
        <w:rPr>
          <w:rStyle w:val="normaltextrun"/>
          <w:rFonts w:asciiTheme="minorHAnsi" w:hAnsiTheme="minorHAnsi" w:cstheme="minorHAnsi"/>
          <w:color w:val="0B0E9D" w:themeColor="accent1" w:themeShade="BF"/>
          <w:sz w:val="40"/>
          <w:szCs w:val="40"/>
        </w:rPr>
        <w:t>P</w:t>
      </w:r>
      <w:r w:rsidRPr="003C0DE1">
        <w:rPr>
          <w:rStyle w:val="normaltextrun"/>
          <w:rFonts w:asciiTheme="minorHAnsi" w:hAnsiTheme="minorHAnsi" w:cstheme="minorHAnsi"/>
          <w:color w:val="0B0E9D" w:themeColor="accent1" w:themeShade="BF"/>
          <w:sz w:val="40"/>
          <w:szCs w:val="40"/>
        </w:rPr>
        <w:t>RZYCZYN</w:t>
      </w:r>
      <w:r>
        <w:rPr>
          <w:rStyle w:val="normaltextrun"/>
          <w:rFonts w:asciiTheme="minorHAnsi" w:hAnsiTheme="minorHAnsi" w:cstheme="minorHAnsi"/>
          <w:color w:val="0B0E9D" w:themeColor="accent1" w:themeShade="BF"/>
          <w:sz w:val="40"/>
          <w:szCs w:val="40"/>
        </w:rPr>
        <w:t>Y</w:t>
      </w:r>
      <w:r w:rsidRPr="003C0DE1">
        <w:rPr>
          <w:rStyle w:val="normaltextrun"/>
          <w:rFonts w:asciiTheme="minorHAnsi" w:hAnsiTheme="minorHAnsi" w:cstheme="minorHAnsi"/>
          <w:color w:val="0B0E9D" w:themeColor="accent1" w:themeShade="BF"/>
          <w:sz w:val="40"/>
          <w:szCs w:val="40"/>
        </w:rPr>
        <w:t xml:space="preserve"> WPŁYWAJĄC</w:t>
      </w:r>
      <w:r>
        <w:rPr>
          <w:rStyle w:val="normaltextrun"/>
          <w:rFonts w:asciiTheme="minorHAnsi" w:hAnsiTheme="minorHAnsi" w:cstheme="minorHAnsi"/>
          <w:color w:val="0B0E9D" w:themeColor="accent1" w:themeShade="BF"/>
          <w:sz w:val="40"/>
          <w:szCs w:val="40"/>
        </w:rPr>
        <w:t>E</w:t>
      </w:r>
      <w:r w:rsidRPr="003C0DE1">
        <w:rPr>
          <w:rStyle w:val="normaltextrun"/>
          <w:rFonts w:asciiTheme="minorHAnsi" w:hAnsiTheme="minorHAnsi" w:cstheme="minorHAnsi"/>
          <w:color w:val="0B0E9D" w:themeColor="accent1" w:themeShade="BF"/>
          <w:sz w:val="40"/>
          <w:szCs w:val="40"/>
        </w:rPr>
        <w:t xml:space="preserve"> NA </w:t>
      </w:r>
      <w:r w:rsidR="002D30C1" w:rsidRPr="003C0DE1">
        <w:rPr>
          <w:rStyle w:val="normaltextrun"/>
          <w:rFonts w:asciiTheme="minorHAnsi" w:hAnsiTheme="minorHAnsi" w:cstheme="minorHAnsi"/>
          <w:color w:val="0B0E9D" w:themeColor="accent1" w:themeShade="BF"/>
          <w:sz w:val="40"/>
          <w:szCs w:val="40"/>
        </w:rPr>
        <w:t>NISK</w:t>
      </w:r>
      <w:r w:rsidR="000D7100">
        <w:rPr>
          <w:rStyle w:val="normaltextrun"/>
          <w:rFonts w:asciiTheme="minorHAnsi" w:hAnsiTheme="minorHAnsi" w:cstheme="minorHAnsi"/>
          <w:color w:val="0B0E9D" w:themeColor="accent1" w:themeShade="BF"/>
          <w:sz w:val="40"/>
          <w:szCs w:val="40"/>
        </w:rPr>
        <w:t>Ą</w:t>
      </w:r>
      <w:r w:rsidR="002D30C1" w:rsidRPr="003C0DE1">
        <w:rPr>
          <w:rStyle w:val="normaltextrun"/>
          <w:rFonts w:asciiTheme="minorHAnsi" w:hAnsiTheme="minorHAnsi" w:cstheme="minorHAnsi"/>
          <w:color w:val="0B0E9D" w:themeColor="accent1" w:themeShade="BF"/>
          <w:sz w:val="40"/>
          <w:szCs w:val="40"/>
        </w:rPr>
        <w:t xml:space="preserve"> </w:t>
      </w:r>
      <w:r w:rsidR="000D7100">
        <w:rPr>
          <w:rStyle w:val="normaltextrun"/>
          <w:rFonts w:asciiTheme="minorHAnsi" w:hAnsiTheme="minorHAnsi" w:cstheme="minorHAnsi"/>
          <w:color w:val="0B0E9D" w:themeColor="accent1" w:themeShade="BF"/>
          <w:sz w:val="40"/>
          <w:szCs w:val="40"/>
        </w:rPr>
        <w:t>SKUTECZNOŚĆ</w:t>
      </w:r>
      <w:r w:rsidRPr="003C0DE1">
        <w:rPr>
          <w:rStyle w:val="normaltextrun"/>
          <w:rFonts w:asciiTheme="minorHAnsi" w:hAnsiTheme="minorHAnsi" w:cstheme="minorHAnsi"/>
          <w:color w:val="0B0E9D" w:themeColor="accent1" w:themeShade="BF"/>
          <w:sz w:val="40"/>
          <w:szCs w:val="40"/>
        </w:rPr>
        <w:t xml:space="preserve"> </w:t>
      </w:r>
      <w:r w:rsidR="000D7100" w:rsidRPr="009E6E18">
        <w:rPr>
          <w:rStyle w:val="normaltextrun"/>
          <w:rFonts w:asciiTheme="minorHAnsi" w:hAnsiTheme="minorHAnsi" w:cstheme="minorHAnsi"/>
          <w:color w:val="0B0E9D" w:themeColor="accent1" w:themeShade="BF"/>
          <w:sz w:val="40"/>
          <w:szCs w:val="40"/>
        </w:rPr>
        <w:t>APLIKOWANI</w:t>
      </w:r>
      <w:r w:rsidR="000D7100">
        <w:rPr>
          <w:rStyle w:val="normaltextrun"/>
          <w:rFonts w:asciiTheme="minorHAnsi" w:hAnsiTheme="minorHAnsi" w:cstheme="minorHAnsi"/>
          <w:color w:val="0B0E9D" w:themeColor="accent1" w:themeShade="BF"/>
          <w:sz w:val="40"/>
          <w:szCs w:val="40"/>
        </w:rPr>
        <w:t>A</w:t>
      </w:r>
      <w:r w:rsidR="000D7100" w:rsidRPr="009E6E18">
        <w:rPr>
          <w:rStyle w:val="normaltextrun"/>
          <w:rFonts w:asciiTheme="minorHAnsi" w:hAnsiTheme="minorHAnsi" w:cstheme="minorHAnsi"/>
          <w:color w:val="0B0E9D" w:themeColor="accent1" w:themeShade="BF"/>
          <w:sz w:val="40"/>
          <w:szCs w:val="40"/>
        </w:rPr>
        <w:t xml:space="preserve"> </w:t>
      </w:r>
      <w:r w:rsidR="002A1AC2" w:rsidRPr="009E6E18">
        <w:rPr>
          <w:rStyle w:val="normaltextrun"/>
          <w:rFonts w:asciiTheme="minorHAnsi" w:hAnsiTheme="minorHAnsi" w:cstheme="minorHAnsi"/>
          <w:color w:val="0B0E9D" w:themeColor="accent1" w:themeShade="BF"/>
          <w:sz w:val="40"/>
          <w:szCs w:val="40"/>
        </w:rPr>
        <w:t>O WSPARCIE</w:t>
      </w:r>
      <w:bookmarkEnd w:id="4"/>
      <w:r w:rsidR="001E7287" w:rsidRPr="008570E4">
        <w:rPr>
          <w:rStyle w:val="normaltextrun"/>
          <w:rFonts w:asciiTheme="minorHAnsi" w:hAnsiTheme="minorHAnsi" w:cstheme="minorHAnsi"/>
          <w:color w:val="0B0E9D" w:themeColor="accent1" w:themeShade="BF"/>
          <w:sz w:val="40"/>
          <w:szCs w:val="40"/>
        </w:rPr>
        <w:t> </w:t>
      </w:r>
    </w:p>
    <w:p w14:paraId="5173BEB7" w14:textId="6F76AC83" w:rsidR="00C30431" w:rsidRPr="009E3465" w:rsidRDefault="00630FD2" w:rsidP="00E13A52">
      <w:pPr>
        <w:pStyle w:val="Nagwek2"/>
        <w:spacing w:before="240" w:after="120"/>
      </w:pPr>
      <w:bookmarkStart w:id="5" w:name="_Toc208593138"/>
      <w:r>
        <w:rPr>
          <w:rFonts w:cstheme="minorHAnsi"/>
        </w:rPr>
        <w:t>Charakter</w:t>
      </w:r>
      <w:r w:rsidR="006B5BAC">
        <w:rPr>
          <w:rFonts w:cstheme="minorHAnsi"/>
        </w:rPr>
        <w:t xml:space="preserve">ystyka </w:t>
      </w:r>
      <w:r w:rsidR="006B5BAC" w:rsidRPr="006B5BAC">
        <w:rPr>
          <w:rFonts w:cstheme="minorHAnsi"/>
        </w:rPr>
        <w:t>naborów</w:t>
      </w:r>
      <w:r w:rsidR="006B5BAC" w:rsidRPr="009E3465">
        <w:t xml:space="preserve">, które </w:t>
      </w:r>
      <w:r w:rsidR="009E3465" w:rsidRPr="009E3465">
        <w:t>cechowały</w:t>
      </w:r>
      <w:r w:rsidR="006B5BAC" w:rsidRPr="009E3465">
        <w:t xml:space="preserve"> się </w:t>
      </w:r>
      <w:r w:rsidR="000D7100" w:rsidRPr="009E3465">
        <w:t xml:space="preserve">niską skutecznością </w:t>
      </w:r>
      <w:r w:rsidR="00032788" w:rsidRPr="009E3465">
        <w:t xml:space="preserve">aplikowania </w:t>
      </w:r>
      <w:bookmarkEnd w:id="5"/>
    </w:p>
    <w:p w14:paraId="0373402C" w14:textId="4168703F" w:rsidR="00643262" w:rsidRDefault="00A03B22" w:rsidP="009F2C11">
      <w:pPr>
        <w:rPr>
          <w:rFonts w:cstheme="minorHAnsi"/>
        </w:rPr>
        <w:sectPr w:rsidR="00643262" w:rsidSect="005D11A3">
          <w:pgSz w:w="11906" w:h="16838"/>
          <w:pgMar w:top="1417" w:right="1417" w:bottom="1417" w:left="1417" w:header="708" w:footer="708" w:gutter="0"/>
          <w:cols w:space="708"/>
          <w:docGrid w:linePitch="360"/>
        </w:sectPr>
      </w:pPr>
      <w:r>
        <w:rPr>
          <w:rFonts w:cstheme="minorHAnsi"/>
        </w:rPr>
        <w:t>Przedmiotem badania ewaluacyjnego były</w:t>
      </w:r>
      <w:r w:rsidR="009F2C11" w:rsidRPr="008570E4">
        <w:rPr>
          <w:rFonts w:cstheme="minorHAnsi"/>
        </w:rPr>
        <w:t xml:space="preserve"> </w:t>
      </w:r>
      <w:r w:rsidRPr="008570E4">
        <w:rPr>
          <w:rFonts w:cstheme="minorHAnsi"/>
        </w:rPr>
        <w:t>nabor</w:t>
      </w:r>
      <w:r>
        <w:rPr>
          <w:rFonts w:cstheme="minorHAnsi"/>
        </w:rPr>
        <w:t>y FEdKP 2021-2027</w:t>
      </w:r>
      <w:r w:rsidR="009F2C11" w:rsidRPr="008570E4">
        <w:rPr>
          <w:rFonts w:cstheme="minorHAnsi"/>
        </w:rPr>
        <w:t>, które charakteryzowały się niskim zainteresowaniem,</w:t>
      </w:r>
      <w:r w:rsidR="007416E4">
        <w:rPr>
          <w:rFonts w:cstheme="minorHAnsi"/>
        </w:rPr>
        <w:t xml:space="preserve"> </w:t>
      </w:r>
      <w:r w:rsidR="00767623">
        <w:rPr>
          <w:rFonts w:cstheme="minorHAnsi"/>
        </w:rPr>
        <w:t>tj</w:t>
      </w:r>
      <w:r w:rsidR="00A44495">
        <w:rPr>
          <w:rFonts w:cstheme="minorHAnsi"/>
        </w:rPr>
        <w:t xml:space="preserve">. </w:t>
      </w:r>
      <w:r>
        <w:rPr>
          <w:rFonts w:cstheme="minorHAnsi"/>
        </w:rPr>
        <w:t>takie</w:t>
      </w:r>
      <w:r w:rsidR="004B5669">
        <w:rPr>
          <w:rFonts w:cstheme="minorHAnsi"/>
        </w:rPr>
        <w:t xml:space="preserve">, w których alokacja </w:t>
      </w:r>
      <w:r w:rsidR="006A10EC" w:rsidRPr="008570E4">
        <w:rPr>
          <w:rFonts w:cstheme="minorHAnsi"/>
        </w:rPr>
        <w:t>w złożonych wnioskach była niższa niż 50% alokacji przewidzianej w tych naborach (od 1% do 50% budżetu naboru w złożonych wnioskach) lub w których nie złożono żadnego wniosku o dofinansowanie</w:t>
      </w:r>
      <w:r w:rsidR="00E44395">
        <w:rPr>
          <w:rFonts w:cstheme="minorHAnsi"/>
        </w:rPr>
        <w:t>, w tym</w:t>
      </w:r>
      <w:r w:rsidR="00E44395" w:rsidRPr="008570E4">
        <w:rPr>
          <w:rFonts w:cstheme="minorHAnsi"/>
        </w:rPr>
        <w:t xml:space="preserve"> naborów unieważnionych</w:t>
      </w:r>
      <w:r w:rsidR="007416E4">
        <w:rPr>
          <w:rStyle w:val="Odwoanieprzypisudolnego"/>
          <w:rFonts w:cstheme="minorHAnsi"/>
        </w:rPr>
        <w:footnoteReference w:id="6"/>
      </w:r>
      <w:r w:rsidR="009F2C11" w:rsidRPr="008570E4">
        <w:rPr>
          <w:rFonts w:cstheme="minorHAnsi"/>
        </w:rPr>
        <w:t xml:space="preserve">. </w:t>
      </w:r>
      <w:r w:rsidR="00A41189">
        <w:rPr>
          <w:rFonts w:cstheme="minorHAnsi"/>
        </w:rPr>
        <w:t>L</w:t>
      </w:r>
      <w:r w:rsidR="009F2C11">
        <w:rPr>
          <w:rFonts w:cstheme="minorHAnsi"/>
        </w:rPr>
        <w:t xml:space="preserve">istę </w:t>
      </w:r>
      <w:r w:rsidR="00F33723">
        <w:rPr>
          <w:rFonts w:cstheme="minorHAnsi"/>
        </w:rPr>
        <w:t>47</w:t>
      </w:r>
      <w:r w:rsidR="009F2C11">
        <w:rPr>
          <w:rFonts w:cstheme="minorHAnsi"/>
        </w:rPr>
        <w:t xml:space="preserve"> </w:t>
      </w:r>
      <w:r>
        <w:rPr>
          <w:rFonts w:cstheme="minorHAnsi"/>
        </w:rPr>
        <w:t xml:space="preserve">takich </w:t>
      </w:r>
      <w:r w:rsidR="009F2C11">
        <w:rPr>
          <w:rFonts w:cstheme="minorHAnsi"/>
        </w:rPr>
        <w:t>naborów przedstawia tabela poniżej.</w:t>
      </w:r>
    </w:p>
    <w:p w14:paraId="5701B5EB" w14:textId="54916892" w:rsidR="00B77CE8" w:rsidRPr="0087545A" w:rsidRDefault="00B77CE8" w:rsidP="00B77CE8">
      <w:pPr>
        <w:pStyle w:val="Legenda"/>
      </w:pPr>
      <w:r w:rsidRPr="0087545A">
        <w:lastRenderedPageBreak/>
        <w:t xml:space="preserve">Tabela </w:t>
      </w:r>
      <w:fldSimple w:instr=" SEQ Tabela \* ARABIC ">
        <w:r w:rsidR="00541DFA">
          <w:rPr>
            <w:noProof/>
          </w:rPr>
          <w:t>3</w:t>
        </w:r>
      </w:fldSimple>
      <w:r w:rsidR="001E1AAC">
        <w:t>.</w:t>
      </w:r>
      <w:r w:rsidRPr="0087545A">
        <w:t xml:space="preserve"> Zestawienie i ogólna charakterystyka naborów objętych badaniem</w:t>
      </w:r>
    </w:p>
    <w:tbl>
      <w:tblPr>
        <w:tblW w:w="5217" w:type="pct"/>
        <w:tblLayout w:type="fixed"/>
        <w:tblCellMar>
          <w:left w:w="70" w:type="dxa"/>
          <w:right w:w="70" w:type="dxa"/>
        </w:tblCellMar>
        <w:tblLook w:val="04A0" w:firstRow="1" w:lastRow="0" w:firstColumn="1" w:lastColumn="0" w:noHBand="0" w:noVBand="1"/>
        <w:tblCaption w:val="Zestawienie i ogólna charakterystyka naborów objętych badaniem"/>
        <w:tblDescription w:val="Tabela przedstawia zestawienie i ogólną charakterystykę 47 naborów objętych badaniem, z podziałem na numery naborów, priorytety, obszary interwencji, numery działań, strukturę polityki terytorialnej, instytucje pośredniczące lub zarządzające, sposób wyboru projektów, schematy wsparcia, fundusze, terminy rozpoczęcia i zakończenia oraz budżety.&#10;&#10;Zakres tematyczny naborów obejmował m.in.:&#10;&#10;Wsparcie MŚP – inwestycje w infrastrukturę gospodarczą, akredytację usług IOB oraz wsparcie doradcze, zarówno w ramach OPPT, ZIT regionalnych, jak i poza polityką terytorialną.&#10;&#10;Gospodarka wodno-ściekowa, adaptacja do zmian klimatu i efektywność energetyczna – projekty od małej retencji, przez zadrzewienia, modernizację źródeł ciepła i sieci ciepłowniczych, po poprawę efektywności budynków, w tym zabytkowych.&#10;&#10;Mobilność miejska – zakup taboru i rozwój infrastruktury dla transportu publicznego oraz rowerowego, realizowane w ramach OPPT, ZIT regionalnych i ZIT BydOF.&#10;&#10;Transport kolejowy i drogowy – zakup taboru kolejowego, inwestycje w skrzyżowania niebezpieczne, rozwój transportu multimodalnego.&#10;&#10;Odnowa przestrzeni publicznych, turystyka i kultura – projekty rewitalizacyjne, wsparcie instytucji kultury, rozwój turystyki w różnych strukturach terytorialnych.&#10;&#10;Infrastruktura edukacyjna, społeczna i zdrowotna – modernizacja i rozbudowa szkół, obiektów sportowych, mieszkań treningowych i wspomaganych, a także rozwój centrów zdrowia psychicznego.&#10;&#10;Edukacja i włączenie społeczne – projekty dotyczące wychowania przedszkolnego, kształcenia ogólnego, integracji obywateli państw trzecich i rozwoju usług społecznych.&#10;&#10;Budżety poszczególnych naborów były zróżnicowane – od ok. 3,5 mln zł (np. wsparcie MŚP w ramach OPPT) po ponad 218 mln zł (zakup taboru kolejowego). Terminy realizacji rozciągały się od czerwca 2023 r. do początku 2025 r., a sposób wyboru projektów obejmował zarówno tryb konkurencyjny, jak i niekonkurencyjny."/>
      </w:tblPr>
      <w:tblGrid>
        <w:gridCol w:w="418"/>
        <w:gridCol w:w="1273"/>
        <w:gridCol w:w="993"/>
        <w:gridCol w:w="1135"/>
        <w:gridCol w:w="849"/>
        <w:gridCol w:w="1418"/>
        <w:gridCol w:w="1421"/>
        <w:gridCol w:w="1132"/>
        <w:gridCol w:w="1135"/>
        <w:gridCol w:w="852"/>
        <w:gridCol w:w="1275"/>
        <w:gridCol w:w="1275"/>
        <w:gridCol w:w="1415"/>
      </w:tblGrid>
      <w:tr w:rsidR="000B435E" w:rsidRPr="003E3BD7" w14:paraId="355B87F4" w14:textId="77777777" w:rsidTr="00077CA0">
        <w:trPr>
          <w:trHeight w:val="1140"/>
          <w:tblHeader/>
        </w:trPr>
        <w:tc>
          <w:tcPr>
            <w:tcW w:w="143" w:type="pct"/>
            <w:tcBorders>
              <w:top w:val="single" w:sz="8" w:space="0" w:color="0F14D2"/>
              <w:left w:val="single" w:sz="8" w:space="0" w:color="0F14D2"/>
              <w:bottom w:val="nil"/>
              <w:right w:val="nil"/>
            </w:tcBorders>
            <w:shd w:val="clear" w:color="000000" w:fill="0F14D2"/>
            <w:vAlign w:val="center"/>
            <w:hideMark/>
          </w:tcPr>
          <w:p w14:paraId="62E2F4D4"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Lp.</w:t>
            </w:r>
          </w:p>
        </w:tc>
        <w:tc>
          <w:tcPr>
            <w:tcW w:w="436" w:type="pct"/>
            <w:tcBorders>
              <w:top w:val="single" w:sz="8" w:space="0" w:color="0F14D2"/>
              <w:left w:val="single" w:sz="8" w:space="0" w:color="0F14D2"/>
              <w:bottom w:val="single" w:sz="8" w:space="0" w:color="0F14D2"/>
              <w:right w:val="single" w:sz="8" w:space="0" w:color="0F14D2"/>
            </w:tcBorders>
            <w:shd w:val="clear" w:color="000000" w:fill="0F14D2"/>
            <w:vAlign w:val="center"/>
            <w:hideMark/>
          </w:tcPr>
          <w:p w14:paraId="37D75E94"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Numer naboru</w:t>
            </w:r>
          </w:p>
        </w:tc>
        <w:tc>
          <w:tcPr>
            <w:tcW w:w="340" w:type="pct"/>
            <w:tcBorders>
              <w:top w:val="single" w:sz="8" w:space="0" w:color="0F14D2"/>
              <w:left w:val="nil"/>
              <w:bottom w:val="nil"/>
              <w:right w:val="single" w:sz="8" w:space="0" w:color="0F14D2"/>
            </w:tcBorders>
            <w:shd w:val="clear" w:color="000000" w:fill="0F14D2"/>
            <w:vAlign w:val="center"/>
            <w:hideMark/>
          </w:tcPr>
          <w:p w14:paraId="5C542D61"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Nabór nieskuteczny/ unieważniony</w:t>
            </w:r>
          </w:p>
        </w:tc>
        <w:tc>
          <w:tcPr>
            <w:tcW w:w="389" w:type="pct"/>
            <w:tcBorders>
              <w:top w:val="single" w:sz="8" w:space="0" w:color="0F14D2"/>
              <w:left w:val="nil"/>
              <w:bottom w:val="single" w:sz="8" w:space="0" w:color="0F14D2"/>
              <w:right w:val="single" w:sz="8" w:space="0" w:color="0F14D2"/>
            </w:tcBorders>
            <w:shd w:val="clear" w:color="000000" w:fill="0F14D2"/>
            <w:vAlign w:val="center"/>
            <w:hideMark/>
          </w:tcPr>
          <w:p w14:paraId="245DC55F"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Działanie (Fundusz)</w:t>
            </w:r>
          </w:p>
        </w:tc>
        <w:tc>
          <w:tcPr>
            <w:tcW w:w="291" w:type="pct"/>
            <w:tcBorders>
              <w:top w:val="single" w:sz="8" w:space="0" w:color="0F14D2"/>
              <w:left w:val="nil"/>
              <w:bottom w:val="single" w:sz="8" w:space="0" w:color="0F14D2"/>
              <w:right w:val="single" w:sz="8" w:space="0" w:color="0F14D2"/>
            </w:tcBorders>
            <w:shd w:val="clear" w:color="000000" w:fill="0F14D2"/>
            <w:noWrap/>
            <w:vAlign w:val="center"/>
            <w:hideMark/>
          </w:tcPr>
          <w:p w14:paraId="3C698CE7"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Obszar </w:t>
            </w:r>
          </w:p>
        </w:tc>
        <w:tc>
          <w:tcPr>
            <w:tcW w:w="486" w:type="pct"/>
            <w:tcBorders>
              <w:top w:val="single" w:sz="8" w:space="0" w:color="0F14D2"/>
              <w:left w:val="nil"/>
              <w:bottom w:val="single" w:sz="8" w:space="0" w:color="0F14D2"/>
              <w:right w:val="single" w:sz="8" w:space="0" w:color="0F14D2"/>
            </w:tcBorders>
            <w:shd w:val="clear" w:color="000000" w:fill="0F14D2"/>
            <w:vAlign w:val="center"/>
            <w:hideMark/>
          </w:tcPr>
          <w:p w14:paraId="384F4705"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Struktura Polityki Terytorialnej</w:t>
            </w:r>
          </w:p>
        </w:tc>
        <w:tc>
          <w:tcPr>
            <w:tcW w:w="487" w:type="pct"/>
            <w:tcBorders>
              <w:top w:val="single" w:sz="8" w:space="0" w:color="0F14D2"/>
              <w:left w:val="nil"/>
              <w:bottom w:val="single" w:sz="8" w:space="0" w:color="0F14D2"/>
              <w:right w:val="single" w:sz="8" w:space="0" w:color="0F14D2"/>
            </w:tcBorders>
            <w:shd w:val="clear" w:color="000000" w:fill="0F14D2"/>
            <w:noWrap/>
            <w:vAlign w:val="center"/>
            <w:hideMark/>
          </w:tcPr>
          <w:p w14:paraId="54646122"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Schemat</w:t>
            </w:r>
          </w:p>
        </w:tc>
        <w:tc>
          <w:tcPr>
            <w:tcW w:w="388" w:type="pct"/>
            <w:tcBorders>
              <w:top w:val="single" w:sz="8" w:space="0" w:color="0F14D2"/>
              <w:left w:val="nil"/>
              <w:bottom w:val="single" w:sz="8" w:space="0" w:color="0F14D2"/>
              <w:right w:val="single" w:sz="8" w:space="0" w:color="0F14D2"/>
            </w:tcBorders>
            <w:shd w:val="clear" w:color="000000" w:fill="0F14D2"/>
            <w:vAlign w:val="center"/>
            <w:hideMark/>
          </w:tcPr>
          <w:p w14:paraId="29EF38C8"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Sposób wyboru projektów</w:t>
            </w:r>
          </w:p>
        </w:tc>
        <w:tc>
          <w:tcPr>
            <w:tcW w:w="389" w:type="pct"/>
            <w:tcBorders>
              <w:top w:val="single" w:sz="8" w:space="0" w:color="0F14D2"/>
              <w:left w:val="nil"/>
              <w:bottom w:val="single" w:sz="8" w:space="0" w:color="0F14D2"/>
              <w:right w:val="single" w:sz="8" w:space="0" w:color="0F14D2"/>
            </w:tcBorders>
            <w:shd w:val="clear" w:color="000000" w:fill="0F14D2"/>
            <w:vAlign w:val="center"/>
            <w:hideMark/>
          </w:tcPr>
          <w:p w14:paraId="59622BEB"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Liczba złożonych WoD</w:t>
            </w:r>
          </w:p>
        </w:tc>
        <w:tc>
          <w:tcPr>
            <w:tcW w:w="292" w:type="pct"/>
            <w:tcBorders>
              <w:top w:val="single" w:sz="8" w:space="0" w:color="0F14D2"/>
              <w:left w:val="nil"/>
              <w:bottom w:val="single" w:sz="8" w:space="0" w:color="0F14D2"/>
              <w:right w:val="single" w:sz="8" w:space="0" w:color="0F14D2"/>
            </w:tcBorders>
            <w:shd w:val="clear" w:color="000000" w:fill="0F14D2"/>
            <w:vAlign w:val="center"/>
            <w:hideMark/>
          </w:tcPr>
          <w:p w14:paraId="263BB95A" w14:textId="5A809BBD" w:rsidR="00765A51" w:rsidRPr="00765A51" w:rsidRDefault="00765A51" w:rsidP="008E1389">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 alokacji </w:t>
            </w:r>
            <w:r w:rsidR="00234F8B" w:rsidRPr="00234F8B">
              <w:rPr>
                <w:rFonts w:asciiTheme="minorHAnsi" w:eastAsia="Times New Roman" w:hAnsiTheme="minorHAnsi" w:cstheme="minorHAnsi"/>
                <w:b/>
                <w:bCs/>
                <w:color w:val="FFFFFF"/>
                <w:sz w:val="18"/>
                <w:szCs w:val="18"/>
                <w:lang w:eastAsia="pl-PL"/>
              </w:rPr>
              <w:t>naboru w WoD</w:t>
            </w:r>
            <w:r w:rsidRPr="00765A51">
              <w:rPr>
                <w:rFonts w:asciiTheme="minorHAnsi" w:eastAsia="Times New Roman" w:hAnsiTheme="minorHAnsi" w:cstheme="minorHAnsi"/>
                <w:b/>
                <w:bCs/>
                <w:color w:val="FFFFFF"/>
                <w:sz w:val="18"/>
                <w:szCs w:val="18"/>
                <w:lang w:eastAsia="pl-PL"/>
              </w:rPr>
              <w:t xml:space="preserve"> </w:t>
            </w:r>
          </w:p>
        </w:tc>
        <w:tc>
          <w:tcPr>
            <w:tcW w:w="437" w:type="pct"/>
            <w:tcBorders>
              <w:top w:val="single" w:sz="8" w:space="0" w:color="0F14D2"/>
              <w:left w:val="nil"/>
              <w:bottom w:val="single" w:sz="8" w:space="0" w:color="0F14D2"/>
              <w:right w:val="single" w:sz="8" w:space="0" w:color="0F14D2"/>
            </w:tcBorders>
            <w:shd w:val="clear" w:color="000000" w:fill="0F14D2"/>
            <w:vAlign w:val="center"/>
            <w:hideMark/>
          </w:tcPr>
          <w:p w14:paraId="5C428983"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Data rozpoczęcia </w:t>
            </w:r>
          </w:p>
        </w:tc>
        <w:tc>
          <w:tcPr>
            <w:tcW w:w="437" w:type="pct"/>
            <w:tcBorders>
              <w:top w:val="single" w:sz="8" w:space="0" w:color="0F14D2"/>
              <w:left w:val="nil"/>
              <w:bottom w:val="single" w:sz="8" w:space="0" w:color="0F14D2"/>
              <w:right w:val="single" w:sz="8" w:space="0" w:color="0F14D2"/>
            </w:tcBorders>
            <w:shd w:val="clear" w:color="000000" w:fill="0F14D2"/>
            <w:vAlign w:val="center"/>
            <w:hideMark/>
          </w:tcPr>
          <w:p w14:paraId="7FA23BEE" w14:textId="77777777" w:rsidR="00765A51" w:rsidRPr="00765A51" w:rsidRDefault="00765A51" w:rsidP="00EF7A36">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 xml:space="preserve">Data zakończenia </w:t>
            </w:r>
          </w:p>
        </w:tc>
        <w:tc>
          <w:tcPr>
            <w:tcW w:w="485" w:type="pct"/>
            <w:tcBorders>
              <w:top w:val="single" w:sz="8" w:space="0" w:color="0F14D2"/>
              <w:left w:val="nil"/>
              <w:bottom w:val="single" w:sz="8" w:space="0" w:color="0F14D2"/>
              <w:right w:val="single" w:sz="8" w:space="0" w:color="0F14D2"/>
            </w:tcBorders>
            <w:shd w:val="clear" w:color="000000" w:fill="0F14D2"/>
            <w:vAlign w:val="center"/>
            <w:hideMark/>
          </w:tcPr>
          <w:p w14:paraId="0DE21565" w14:textId="77777777" w:rsidR="00765A51" w:rsidRPr="00765A51" w:rsidRDefault="00765A51" w:rsidP="00765A51">
            <w:pPr>
              <w:spacing w:before="0" w:after="0" w:line="240" w:lineRule="auto"/>
              <w:rPr>
                <w:rFonts w:asciiTheme="minorHAnsi" w:eastAsia="Times New Roman" w:hAnsiTheme="minorHAnsi" w:cstheme="minorHAnsi"/>
                <w:b/>
                <w:bCs/>
                <w:color w:val="FFFFFF"/>
                <w:sz w:val="18"/>
                <w:szCs w:val="18"/>
                <w:lang w:eastAsia="pl-PL"/>
              </w:rPr>
            </w:pPr>
            <w:r w:rsidRPr="00765A51">
              <w:rPr>
                <w:rFonts w:asciiTheme="minorHAnsi" w:eastAsia="Times New Roman" w:hAnsiTheme="minorHAnsi" w:cstheme="minorHAnsi"/>
                <w:b/>
                <w:bCs/>
                <w:color w:val="FFFFFF"/>
                <w:sz w:val="18"/>
                <w:szCs w:val="18"/>
                <w:lang w:eastAsia="pl-PL"/>
              </w:rPr>
              <w:t>Budżet naboru [PLN]</w:t>
            </w:r>
          </w:p>
        </w:tc>
      </w:tr>
      <w:tr w:rsidR="000B435E" w:rsidRPr="003E3BD7" w14:paraId="49B1F884" w14:textId="77777777" w:rsidTr="00EF7A36">
        <w:trPr>
          <w:trHeight w:val="465"/>
        </w:trPr>
        <w:tc>
          <w:tcPr>
            <w:tcW w:w="143" w:type="pct"/>
            <w:tcBorders>
              <w:top w:val="single" w:sz="8" w:space="0" w:color="0F14D2"/>
              <w:left w:val="single" w:sz="8" w:space="0" w:color="0F14D2"/>
              <w:bottom w:val="single" w:sz="8" w:space="0" w:color="0F14D2"/>
              <w:right w:val="nil"/>
            </w:tcBorders>
            <w:shd w:val="clear" w:color="000000" w:fill="FFFFFF"/>
            <w:vAlign w:val="center"/>
            <w:hideMark/>
          </w:tcPr>
          <w:p w14:paraId="137B615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w:t>
            </w:r>
          </w:p>
        </w:tc>
        <w:tc>
          <w:tcPr>
            <w:tcW w:w="436" w:type="pct"/>
            <w:tcBorders>
              <w:top w:val="nil"/>
              <w:left w:val="single" w:sz="8" w:space="0" w:color="0F14D2"/>
              <w:bottom w:val="single" w:sz="8" w:space="0" w:color="0F14D2"/>
              <w:right w:val="nil"/>
            </w:tcBorders>
            <w:vAlign w:val="center"/>
            <w:hideMark/>
          </w:tcPr>
          <w:p w14:paraId="7F51842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FEKP.01.03-IZ.00-106/24</w:t>
            </w:r>
          </w:p>
        </w:tc>
        <w:tc>
          <w:tcPr>
            <w:tcW w:w="340" w:type="pct"/>
            <w:tcBorders>
              <w:top w:val="single" w:sz="8" w:space="0" w:color="0F14D2"/>
              <w:left w:val="single" w:sz="8" w:space="0" w:color="0F14D2"/>
              <w:bottom w:val="single" w:sz="8" w:space="0" w:color="0F14D2"/>
              <w:right w:val="single" w:sz="8" w:space="0" w:color="0F14D2"/>
            </w:tcBorders>
            <w:noWrap/>
            <w:vAlign w:val="center"/>
            <w:hideMark/>
          </w:tcPr>
          <w:p w14:paraId="754754D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4C8F58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01.03 (EFRR)</w:t>
            </w:r>
          </w:p>
        </w:tc>
        <w:tc>
          <w:tcPr>
            <w:tcW w:w="291" w:type="pct"/>
            <w:tcBorders>
              <w:top w:val="nil"/>
              <w:left w:val="nil"/>
              <w:bottom w:val="single" w:sz="8" w:space="0" w:color="0F14D2"/>
              <w:right w:val="single" w:sz="8" w:space="0" w:color="0F14D2"/>
            </w:tcBorders>
            <w:noWrap/>
            <w:vAlign w:val="center"/>
            <w:hideMark/>
          </w:tcPr>
          <w:p w14:paraId="324166E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12169DE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8B4F1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Akredytacja usług IOB oraz wsparcie dla przedsiębiorstw na zakup akredytowanych usług doradczych w zakresie rozwoju usług biznesu</w:t>
            </w:r>
          </w:p>
        </w:tc>
        <w:tc>
          <w:tcPr>
            <w:tcW w:w="388" w:type="pct"/>
            <w:tcBorders>
              <w:top w:val="nil"/>
              <w:left w:val="nil"/>
              <w:bottom w:val="single" w:sz="8" w:space="0" w:color="0F14D2"/>
              <w:right w:val="single" w:sz="8" w:space="0" w:color="0F14D2"/>
            </w:tcBorders>
            <w:vAlign w:val="center"/>
            <w:hideMark/>
          </w:tcPr>
          <w:p w14:paraId="20A5616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0395CE8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252120C2" w14:textId="58CD047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2F274CB" w14:textId="2B68BFE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12.03.2024</w:t>
            </w:r>
          </w:p>
        </w:tc>
        <w:tc>
          <w:tcPr>
            <w:tcW w:w="437" w:type="pct"/>
            <w:tcBorders>
              <w:top w:val="nil"/>
              <w:left w:val="nil"/>
              <w:bottom w:val="single" w:sz="8" w:space="0" w:color="0F14D2"/>
              <w:right w:val="single" w:sz="8" w:space="0" w:color="0F14D2"/>
            </w:tcBorders>
            <w:vAlign w:val="center"/>
            <w:hideMark/>
          </w:tcPr>
          <w:p w14:paraId="2A7739B5" w14:textId="6F5C384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12.04.2024</w:t>
            </w:r>
          </w:p>
        </w:tc>
        <w:tc>
          <w:tcPr>
            <w:tcW w:w="485" w:type="pct"/>
            <w:tcBorders>
              <w:top w:val="nil"/>
              <w:left w:val="nil"/>
              <w:bottom w:val="single" w:sz="8" w:space="0" w:color="0F14D2"/>
              <w:right w:val="single" w:sz="8" w:space="0" w:color="0F14D2"/>
            </w:tcBorders>
            <w:vAlign w:val="center"/>
            <w:hideMark/>
          </w:tcPr>
          <w:p w14:paraId="3AEDA3C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17 447 200,00</w:t>
            </w:r>
          </w:p>
        </w:tc>
      </w:tr>
      <w:tr w:rsidR="000B435E" w:rsidRPr="003E3BD7" w14:paraId="112BC82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B97C24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w:t>
            </w:r>
          </w:p>
        </w:tc>
        <w:tc>
          <w:tcPr>
            <w:tcW w:w="436" w:type="pct"/>
            <w:tcBorders>
              <w:top w:val="nil"/>
              <w:left w:val="single" w:sz="8" w:space="0" w:color="0F14D2"/>
              <w:bottom w:val="single" w:sz="8" w:space="0" w:color="0F14D2"/>
              <w:right w:val="nil"/>
            </w:tcBorders>
            <w:vAlign w:val="center"/>
            <w:hideMark/>
          </w:tcPr>
          <w:p w14:paraId="180443C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FEKP.01.06-IZ.00-096/24</w:t>
            </w:r>
          </w:p>
        </w:tc>
        <w:tc>
          <w:tcPr>
            <w:tcW w:w="340" w:type="pct"/>
            <w:tcBorders>
              <w:top w:val="nil"/>
              <w:left w:val="single" w:sz="8" w:space="0" w:color="0F14D2"/>
              <w:bottom w:val="single" w:sz="8" w:space="0" w:color="0F14D2"/>
              <w:right w:val="single" w:sz="8" w:space="0" w:color="0F14D2"/>
            </w:tcBorders>
            <w:noWrap/>
            <w:vAlign w:val="center"/>
            <w:hideMark/>
          </w:tcPr>
          <w:p w14:paraId="76AA09E7"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744ADB7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01.06 (EFRR)</w:t>
            </w:r>
          </w:p>
        </w:tc>
        <w:tc>
          <w:tcPr>
            <w:tcW w:w="291" w:type="pct"/>
            <w:tcBorders>
              <w:top w:val="nil"/>
              <w:left w:val="nil"/>
              <w:bottom w:val="single" w:sz="8" w:space="0" w:color="0F14D2"/>
              <w:right w:val="single" w:sz="8" w:space="0" w:color="0F14D2"/>
            </w:tcBorders>
            <w:noWrap/>
            <w:vAlign w:val="center"/>
            <w:hideMark/>
          </w:tcPr>
          <w:p w14:paraId="76D2BB3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0D64725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182385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Rozwój infrastruktury na rzecz rozwoju gospodarczego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5BB8FE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301E5B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5AD640FF" w14:textId="54C6FFB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8885438" w14:textId="4F401B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20.02.2024</w:t>
            </w:r>
          </w:p>
        </w:tc>
        <w:tc>
          <w:tcPr>
            <w:tcW w:w="437" w:type="pct"/>
            <w:tcBorders>
              <w:top w:val="nil"/>
              <w:left w:val="nil"/>
              <w:bottom w:val="single" w:sz="8" w:space="0" w:color="0F14D2"/>
              <w:right w:val="single" w:sz="8" w:space="0" w:color="0F14D2"/>
            </w:tcBorders>
            <w:vAlign w:val="center"/>
            <w:hideMark/>
          </w:tcPr>
          <w:p w14:paraId="5113E386" w14:textId="6AF0FD9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19.08.2024</w:t>
            </w:r>
          </w:p>
        </w:tc>
        <w:tc>
          <w:tcPr>
            <w:tcW w:w="485" w:type="pct"/>
            <w:tcBorders>
              <w:top w:val="nil"/>
              <w:left w:val="nil"/>
              <w:bottom w:val="single" w:sz="8" w:space="0" w:color="0F14D2"/>
              <w:right w:val="single" w:sz="8" w:space="0" w:color="0F14D2"/>
            </w:tcBorders>
            <w:vAlign w:val="center"/>
            <w:hideMark/>
          </w:tcPr>
          <w:p w14:paraId="030C7D3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19 534 266,25</w:t>
            </w:r>
          </w:p>
        </w:tc>
      </w:tr>
      <w:tr w:rsidR="000B435E" w:rsidRPr="003E3BD7" w14:paraId="698DB201"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7A928C0"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w:t>
            </w:r>
          </w:p>
        </w:tc>
        <w:tc>
          <w:tcPr>
            <w:tcW w:w="436" w:type="pct"/>
            <w:tcBorders>
              <w:top w:val="nil"/>
              <w:left w:val="single" w:sz="8" w:space="0" w:color="0F14D2"/>
              <w:bottom w:val="single" w:sz="8" w:space="0" w:color="0F14D2"/>
              <w:right w:val="nil"/>
            </w:tcBorders>
            <w:vAlign w:val="center"/>
            <w:hideMark/>
          </w:tcPr>
          <w:p w14:paraId="0F8D364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FEKP.01.08-IZ.00-097/24</w:t>
            </w:r>
          </w:p>
        </w:tc>
        <w:tc>
          <w:tcPr>
            <w:tcW w:w="340" w:type="pct"/>
            <w:tcBorders>
              <w:top w:val="nil"/>
              <w:left w:val="single" w:sz="8" w:space="0" w:color="0F14D2"/>
              <w:bottom w:val="single" w:sz="8" w:space="0" w:color="0F14D2"/>
              <w:right w:val="single" w:sz="8" w:space="0" w:color="0F14D2"/>
            </w:tcBorders>
            <w:noWrap/>
            <w:vAlign w:val="center"/>
            <w:hideMark/>
          </w:tcPr>
          <w:p w14:paraId="3768042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2C75300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01.08 (EFRR)</w:t>
            </w:r>
          </w:p>
        </w:tc>
        <w:tc>
          <w:tcPr>
            <w:tcW w:w="291" w:type="pct"/>
            <w:tcBorders>
              <w:top w:val="nil"/>
              <w:left w:val="nil"/>
              <w:bottom w:val="single" w:sz="8" w:space="0" w:color="0F14D2"/>
              <w:right w:val="single" w:sz="8" w:space="0" w:color="0F14D2"/>
            </w:tcBorders>
            <w:noWrap/>
            <w:vAlign w:val="center"/>
            <w:hideMark/>
          </w:tcPr>
          <w:p w14:paraId="26BF614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MŚP</w:t>
            </w:r>
          </w:p>
        </w:tc>
        <w:tc>
          <w:tcPr>
            <w:tcW w:w="486" w:type="pct"/>
            <w:tcBorders>
              <w:top w:val="nil"/>
              <w:left w:val="nil"/>
              <w:bottom w:val="single" w:sz="8" w:space="0" w:color="0F14D2"/>
              <w:right w:val="single" w:sz="8" w:space="0" w:color="0F14D2"/>
            </w:tcBorders>
            <w:vAlign w:val="center"/>
            <w:hideMark/>
          </w:tcPr>
          <w:p w14:paraId="170446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A09B97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infrastruktury na rzecz rozwoju gospodarczego OPPT</w:t>
            </w:r>
          </w:p>
        </w:tc>
        <w:tc>
          <w:tcPr>
            <w:tcW w:w="388" w:type="pct"/>
            <w:tcBorders>
              <w:top w:val="nil"/>
              <w:left w:val="nil"/>
              <w:bottom w:val="single" w:sz="8" w:space="0" w:color="0F14D2"/>
              <w:right w:val="single" w:sz="8" w:space="0" w:color="0F14D2"/>
            </w:tcBorders>
            <w:vAlign w:val="center"/>
            <w:hideMark/>
          </w:tcPr>
          <w:p w14:paraId="021CB44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23C6AB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02D702C5" w14:textId="123EAE8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D91F598" w14:textId="721506C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20.02.2024</w:t>
            </w:r>
          </w:p>
        </w:tc>
        <w:tc>
          <w:tcPr>
            <w:tcW w:w="437" w:type="pct"/>
            <w:tcBorders>
              <w:top w:val="nil"/>
              <w:left w:val="nil"/>
              <w:bottom w:val="single" w:sz="8" w:space="0" w:color="0F14D2"/>
              <w:right w:val="single" w:sz="8" w:space="0" w:color="0F14D2"/>
            </w:tcBorders>
            <w:vAlign w:val="center"/>
            <w:hideMark/>
          </w:tcPr>
          <w:p w14:paraId="33877A46" w14:textId="0609920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19.08.2024</w:t>
            </w:r>
          </w:p>
        </w:tc>
        <w:tc>
          <w:tcPr>
            <w:tcW w:w="485" w:type="pct"/>
            <w:tcBorders>
              <w:top w:val="nil"/>
              <w:left w:val="nil"/>
              <w:bottom w:val="single" w:sz="8" w:space="0" w:color="0F14D2"/>
              <w:right w:val="single" w:sz="8" w:space="0" w:color="0F14D2"/>
            </w:tcBorders>
            <w:vAlign w:val="center"/>
            <w:hideMark/>
          </w:tcPr>
          <w:p w14:paraId="6F6AA6C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3 536 395,79</w:t>
            </w:r>
          </w:p>
        </w:tc>
      </w:tr>
      <w:tr w:rsidR="000B435E" w:rsidRPr="003E3BD7" w14:paraId="4D2323A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BF2BEB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w:t>
            </w:r>
          </w:p>
        </w:tc>
        <w:tc>
          <w:tcPr>
            <w:tcW w:w="436" w:type="pct"/>
            <w:tcBorders>
              <w:top w:val="nil"/>
              <w:left w:val="single" w:sz="8" w:space="0" w:color="0F14D2"/>
              <w:bottom w:val="single" w:sz="8" w:space="0" w:color="0F14D2"/>
              <w:right w:val="nil"/>
            </w:tcBorders>
            <w:vAlign w:val="center"/>
            <w:hideMark/>
          </w:tcPr>
          <w:p w14:paraId="2A8BFB2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FEKP.02.03-IZ.00-021/23</w:t>
            </w:r>
          </w:p>
        </w:tc>
        <w:tc>
          <w:tcPr>
            <w:tcW w:w="340" w:type="pct"/>
            <w:tcBorders>
              <w:top w:val="nil"/>
              <w:left w:val="single" w:sz="8" w:space="0" w:color="0F14D2"/>
              <w:bottom w:val="single" w:sz="8" w:space="0" w:color="0F14D2"/>
              <w:right w:val="single" w:sz="8" w:space="0" w:color="0F14D2"/>
            </w:tcBorders>
            <w:noWrap/>
            <w:vAlign w:val="center"/>
            <w:hideMark/>
          </w:tcPr>
          <w:p w14:paraId="572DE9B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76D062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02.03 (EFRR)</w:t>
            </w:r>
          </w:p>
        </w:tc>
        <w:tc>
          <w:tcPr>
            <w:tcW w:w="291" w:type="pct"/>
            <w:tcBorders>
              <w:top w:val="nil"/>
              <w:left w:val="nil"/>
              <w:bottom w:val="single" w:sz="8" w:space="0" w:color="0F14D2"/>
              <w:right w:val="single" w:sz="8" w:space="0" w:color="0F14D2"/>
            </w:tcBorders>
            <w:noWrap/>
            <w:vAlign w:val="center"/>
            <w:hideMark/>
          </w:tcPr>
          <w:p w14:paraId="4C92B24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32CD538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A0991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Wymiana i modernizacja źródeł ciepła</w:t>
            </w:r>
          </w:p>
        </w:tc>
        <w:tc>
          <w:tcPr>
            <w:tcW w:w="388" w:type="pct"/>
            <w:tcBorders>
              <w:top w:val="nil"/>
              <w:left w:val="nil"/>
              <w:bottom w:val="single" w:sz="8" w:space="0" w:color="0F14D2"/>
              <w:right w:val="single" w:sz="8" w:space="0" w:color="0F14D2"/>
            </w:tcBorders>
            <w:vAlign w:val="center"/>
            <w:hideMark/>
          </w:tcPr>
          <w:p w14:paraId="2C2544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CC5A3B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35272A54" w14:textId="379A871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A8FB9D9" w14:textId="54E02E29"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07.07.2023</w:t>
            </w:r>
          </w:p>
        </w:tc>
        <w:tc>
          <w:tcPr>
            <w:tcW w:w="437" w:type="pct"/>
            <w:tcBorders>
              <w:top w:val="nil"/>
              <w:left w:val="nil"/>
              <w:bottom w:val="single" w:sz="8" w:space="0" w:color="0F14D2"/>
              <w:right w:val="single" w:sz="8" w:space="0" w:color="0F14D2"/>
            </w:tcBorders>
            <w:vAlign w:val="center"/>
            <w:hideMark/>
          </w:tcPr>
          <w:p w14:paraId="36D991CC" w14:textId="3BC8B5F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29.03.2024</w:t>
            </w:r>
          </w:p>
        </w:tc>
        <w:tc>
          <w:tcPr>
            <w:tcW w:w="485" w:type="pct"/>
            <w:tcBorders>
              <w:top w:val="nil"/>
              <w:left w:val="nil"/>
              <w:bottom w:val="single" w:sz="8" w:space="0" w:color="0F14D2"/>
              <w:right w:val="single" w:sz="8" w:space="0" w:color="0F14D2"/>
            </w:tcBorders>
            <w:vAlign w:val="center"/>
            <w:hideMark/>
          </w:tcPr>
          <w:p w14:paraId="53BB226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22 490 400,00</w:t>
            </w:r>
          </w:p>
        </w:tc>
      </w:tr>
      <w:tr w:rsidR="000B435E" w:rsidRPr="003E3BD7" w14:paraId="247B694C"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81BA8E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5</w:t>
            </w:r>
          </w:p>
        </w:tc>
        <w:tc>
          <w:tcPr>
            <w:tcW w:w="436" w:type="pct"/>
            <w:tcBorders>
              <w:top w:val="nil"/>
              <w:left w:val="single" w:sz="8" w:space="0" w:color="0F14D2"/>
              <w:bottom w:val="single" w:sz="8" w:space="0" w:color="0F14D2"/>
              <w:right w:val="nil"/>
            </w:tcBorders>
            <w:vAlign w:val="center"/>
            <w:hideMark/>
          </w:tcPr>
          <w:p w14:paraId="382B09E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FEKP.02.03-IZ.00-089/24</w:t>
            </w:r>
          </w:p>
        </w:tc>
        <w:tc>
          <w:tcPr>
            <w:tcW w:w="340" w:type="pct"/>
            <w:tcBorders>
              <w:top w:val="nil"/>
              <w:left w:val="single" w:sz="8" w:space="0" w:color="0F14D2"/>
              <w:bottom w:val="single" w:sz="8" w:space="0" w:color="0F14D2"/>
              <w:right w:val="single" w:sz="8" w:space="0" w:color="0F14D2"/>
            </w:tcBorders>
            <w:noWrap/>
            <w:vAlign w:val="center"/>
            <w:hideMark/>
          </w:tcPr>
          <w:p w14:paraId="66277293"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263702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02.03 (EFRR)</w:t>
            </w:r>
          </w:p>
        </w:tc>
        <w:tc>
          <w:tcPr>
            <w:tcW w:w="291" w:type="pct"/>
            <w:tcBorders>
              <w:top w:val="nil"/>
              <w:left w:val="nil"/>
              <w:bottom w:val="single" w:sz="8" w:space="0" w:color="0F14D2"/>
              <w:right w:val="single" w:sz="8" w:space="0" w:color="0F14D2"/>
            </w:tcBorders>
            <w:noWrap/>
            <w:vAlign w:val="center"/>
            <w:hideMark/>
          </w:tcPr>
          <w:p w14:paraId="0BD37B7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4B3352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AF697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Ciepłownie, sieci ciepłownicze i efektywność energetyczna budynków </w:t>
            </w:r>
            <w:r w:rsidRPr="00765A51">
              <w:rPr>
                <w:rFonts w:asciiTheme="minorHAnsi" w:eastAsia="Times New Roman" w:hAnsiTheme="minorHAnsi" w:cstheme="minorHAnsi"/>
                <w:color w:val="000000"/>
                <w:sz w:val="18"/>
                <w:szCs w:val="18"/>
                <w:lang w:eastAsia="pl-PL"/>
              </w:rPr>
              <w:lastRenderedPageBreak/>
              <w:t xml:space="preserve">komunalnych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31296F3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K</w:t>
            </w:r>
          </w:p>
        </w:tc>
        <w:tc>
          <w:tcPr>
            <w:tcW w:w="389" w:type="pct"/>
            <w:tcBorders>
              <w:top w:val="nil"/>
              <w:left w:val="nil"/>
              <w:bottom w:val="single" w:sz="8" w:space="0" w:color="0F14D2"/>
              <w:right w:val="single" w:sz="8" w:space="0" w:color="0F14D2"/>
            </w:tcBorders>
            <w:vAlign w:val="center"/>
            <w:hideMark/>
          </w:tcPr>
          <w:p w14:paraId="1D9CFE48" w14:textId="03C65F7C" w:rsidR="00F40BE0" w:rsidRPr="009D7737" w:rsidRDefault="009D7737" w:rsidP="00F40BE0">
            <w:pPr>
              <w:spacing w:before="0" w:after="0" w:line="240" w:lineRule="auto"/>
              <w:jc w:val="right"/>
              <w:rPr>
                <w:rFonts w:asciiTheme="minorHAnsi" w:eastAsia="Times New Roman" w:hAnsiTheme="minorHAnsi" w:cstheme="minorHAnsi"/>
                <w:color w:val="000000"/>
                <w:sz w:val="18"/>
                <w:szCs w:val="18"/>
                <w:highlight w:val="yellow"/>
                <w:lang w:eastAsia="pl-PL"/>
              </w:rPr>
            </w:pPr>
            <w:r w:rsidRPr="0076709A">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2AD3CD73" w14:textId="32CA001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A7D7E96" w14:textId="69C3C6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10.01.2024</w:t>
            </w:r>
          </w:p>
        </w:tc>
        <w:tc>
          <w:tcPr>
            <w:tcW w:w="437" w:type="pct"/>
            <w:tcBorders>
              <w:top w:val="nil"/>
              <w:left w:val="nil"/>
              <w:bottom w:val="single" w:sz="8" w:space="0" w:color="0F14D2"/>
              <w:right w:val="single" w:sz="8" w:space="0" w:color="0F14D2"/>
            </w:tcBorders>
            <w:vAlign w:val="center"/>
            <w:hideMark/>
          </w:tcPr>
          <w:p w14:paraId="5B6DF0BF" w14:textId="6336A559"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31.07.2024</w:t>
            </w:r>
          </w:p>
        </w:tc>
        <w:tc>
          <w:tcPr>
            <w:tcW w:w="485" w:type="pct"/>
            <w:tcBorders>
              <w:top w:val="nil"/>
              <w:left w:val="nil"/>
              <w:bottom w:val="single" w:sz="8" w:space="0" w:color="0F14D2"/>
              <w:right w:val="single" w:sz="8" w:space="0" w:color="0F14D2"/>
            </w:tcBorders>
            <w:vAlign w:val="center"/>
            <w:hideMark/>
          </w:tcPr>
          <w:p w14:paraId="23B9A854"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13 588 433,12</w:t>
            </w:r>
          </w:p>
        </w:tc>
      </w:tr>
      <w:tr w:rsidR="000B435E" w:rsidRPr="003E3BD7" w14:paraId="10B1646C"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D8346BA"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6</w:t>
            </w:r>
          </w:p>
        </w:tc>
        <w:tc>
          <w:tcPr>
            <w:tcW w:w="436" w:type="pct"/>
            <w:tcBorders>
              <w:top w:val="nil"/>
              <w:left w:val="single" w:sz="8" w:space="0" w:color="0F14D2"/>
              <w:bottom w:val="single" w:sz="8" w:space="0" w:color="0F14D2"/>
              <w:right w:val="nil"/>
            </w:tcBorders>
            <w:vAlign w:val="center"/>
            <w:hideMark/>
          </w:tcPr>
          <w:p w14:paraId="203D17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FEKP.02.04-IZ.00-117/24</w:t>
            </w:r>
          </w:p>
        </w:tc>
        <w:tc>
          <w:tcPr>
            <w:tcW w:w="340" w:type="pct"/>
            <w:tcBorders>
              <w:top w:val="nil"/>
              <w:left w:val="single" w:sz="8" w:space="0" w:color="0F14D2"/>
              <w:bottom w:val="single" w:sz="8" w:space="0" w:color="0F14D2"/>
              <w:right w:val="single" w:sz="8" w:space="0" w:color="0F14D2"/>
            </w:tcBorders>
            <w:noWrap/>
            <w:vAlign w:val="center"/>
            <w:hideMark/>
          </w:tcPr>
          <w:p w14:paraId="62B3B49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32514D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02.04 (EFRR)</w:t>
            </w:r>
          </w:p>
        </w:tc>
        <w:tc>
          <w:tcPr>
            <w:tcW w:w="291" w:type="pct"/>
            <w:tcBorders>
              <w:top w:val="nil"/>
              <w:left w:val="nil"/>
              <w:bottom w:val="single" w:sz="8" w:space="0" w:color="0F14D2"/>
              <w:right w:val="single" w:sz="8" w:space="0" w:color="0F14D2"/>
            </w:tcBorders>
            <w:noWrap/>
            <w:vAlign w:val="center"/>
            <w:hideMark/>
          </w:tcPr>
          <w:p w14:paraId="609CAD0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75A7DA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3665C5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Wzrost efektywności energetycznej budynków zabytkowych/Wzrost efektywności energetycznej budynków zabytkowych – pozostałe</w:t>
            </w:r>
          </w:p>
        </w:tc>
        <w:tc>
          <w:tcPr>
            <w:tcW w:w="388" w:type="pct"/>
            <w:tcBorders>
              <w:top w:val="nil"/>
              <w:left w:val="nil"/>
              <w:bottom w:val="single" w:sz="8" w:space="0" w:color="0F14D2"/>
              <w:right w:val="single" w:sz="8" w:space="0" w:color="0F14D2"/>
            </w:tcBorders>
            <w:vAlign w:val="center"/>
            <w:hideMark/>
          </w:tcPr>
          <w:p w14:paraId="48F0D05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976756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308390D1" w14:textId="325CC1D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25780EF" w14:textId="3399D6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31FA36F4" w14:textId="7B2E7CA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671AF838"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17 237 200,00</w:t>
            </w:r>
          </w:p>
        </w:tc>
      </w:tr>
      <w:tr w:rsidR="000B435E" w:rsidRPr="003E3BD7" w14:paraId="10869C65"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066422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7</w:t>
            </w:r>
          </w:p>
        </w:tc>
        <w:tc>
          <w:tcPr>
            <w:tcW w:w="436" w:type="pct"/>
            <w:tcBorders>
              <w:top w:val="nil"/>
              <w:left w:val="single" w:sz="8" w:space="0" w:color="0F14D2"/>
              <w:bottom w:val="single" w:sz="8" w:space="0" w:color="0F14D2"/>
              <w:right w:val="nil"/>
            </w:tcBorders>
            <w:vAlign w:val="center"/>
            <w:hideMark/>
          </w:tcPr>
          <w:p w14:paraId="6E05820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FEKP.02.04-IZ.00-118/24</w:t>
            </w:r>
          </w:p>
        </w:tc>
        <w:tc>
          <w:tcPr>
            <w:tcW w:w="340" w:type="pct"/>
            <w:tcBorders>
              <w:top w:val="nil"/>
              <w:left w:val="single" w:sz="8" w:space="0" w:color="0F14D2"/>
              <w:bottom w:val="single" w:sz="8" w:space="0" w:color="0F14D2"/>
              <w:right w:val="single" w:sz="8" w:space="0" w:color="0F14D2"/>
            </w:tcBorders>
            <w:noWrap/>
            <w:vAlign w:val="center"/>
            <w:hideMark/>
          </w:tcPr>
          <w:p w14:paraId="6459290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4B887A9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02.04 (EFRR)</w:t>
            </w:r>
          </w:p>
        </w:tc>
        <w:tc>
          <w:tcPr>
            <w:tcW w:w="291" w:type="pct"/>
            <w:tcBorders>
              <w:top w:val="nil"/>
              <w:left w:val="nil"/>
              <w:bottom w:val="single" w:sz="8" w:space="0" w:color="0F14D2"/>
              <w:right w:val="single" w:sz="8" w:space="0" w:color="0F14D2"/>
            </w:tcBorders>
            <w:noWrap/>
            <w:vAlign w:val="center"/>
            <w:hideMark/>
          </w:tcPr>
          <w:p w14:paraId="4DD2D1E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2BCBAB3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F733E9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efektywnych energetycznie systemów ciepłowniczych powyżej 5 MW mocy zamówionej wraz z magazynami ciepła</w:t>
            </w:r>
          </w:p>
        </w:tc>
        <w:tc>
          <w:tcPr>
            <w:tcW w:w="388" w:type="pct"/>
            <w:tcBorders>
              <w:top w:val="nil"/>
              <w:left w:val="nil"/>
              <w:bottom w:val="single" w:sz="8" w:space="0" w:color="0F14D2"/>
              <w:right w:val="single" w:sz="8" w:space="0" w:color="0F14D2"/>
            </w:tcBorders>
            <w:vAlign w:val="center"/>
            <w:hideMark/>
          </w:tcPr>
          <w:p w14:paraId="4334B46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7FA41FD"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36C26DF0" w14:textId="7934131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C0060A9" w14:textId="557BF12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15891062" w14:textId="4BCDE84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4646430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116 257 135,71</w:t>
            </w:r>
          </w:p>
        </w:tc>
      </w:tr>
      <w:tr w:rsidR="000B435E" w:rsidRPr="003E3BD7" w14:paraId="58F64F0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72A864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8</w:t>
            </w:r>
          </w:p>
        </w:tc>
        <w:tc>
          <w:tcPr>
            <w:tcW w:w="436" w:type="pct"/>
            <w:tcBorders>
              <w:top w:val="nil"/>
              <w:left w:val="single" w:sz="8" w:space="0" w:color="0F14D2"/>
              <w:bottom w:val="single" w:sz="8" w:space="0" w:color="0F14D2"/>
              <w:right w:val="nil"/>
            </w:tcBorders>
            <w:vAlign w:val="center"/>
            <w:hideMark/>
          </w:tcPr>
          <w:p w14:paraId="556E962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FEKP.02.06-IP.02-010/24</w:t>
            </w:r>
          </w:p>
        </w:tc>
        <w:tc>
          <w:tcPr>
            <w:tcW w:w="340" w:type="pct"/>
            <w:tcBorders>
              <w:top w:val="nil"/>
              <w:left w:val="single" w:sz="8" w:space="0" w:color="0F14D2"/>
              <w:bottom w:val="single" w:sz="8" w:space="0" w:color="0F14D2"/>
              <w:right w:val="single" w:sz="8" w:space="0" w:color="0F14D2"/>
            </w:tcBorders>
            <w:noWrap/>
            <w:vAlign w:val="center"/>
            <w:hideMark/>
          </w:tcPr>
          <w:p w14:paraId="0E843FA0"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289999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02.06 (EFRR)</w:t>
            </w:r>
          </w:p>
        </w:tc>
        <w:tc>
          <w:tcPr>
            <w:tcW w:w="291" w:type="pct"/>
            <w:tcBorders>
              <w:top w:val="nil"/>
              <w:left w:val="nil"/>
              <w:bottom w:val="single" w:sz="8" w:space="0" w:color="0F14D2"/>
              <w:right w:val="single" w:sz="8" w:space="0" w:color="0F14D2"/>
            </w:tcBorders>
            <w:noWrap/>
            <w:vAlign w:val="center"/>
            <w:hideMark/>
          </w:tcPr>
          <w:p w14:paraId="73D6261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9806A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4E890DF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 w miastach BydOF-IP</w:t>
            </w:r>
          </w:p>
        </w:tc>
        <w:tc>
          <w:tcPr>
            <w:tcW w:w="388" w:type="pct"/>
            <w:tcBorders>
              <w:top w:val="nil"/>
              <w:left w:val="nil"/>
              <w:bottom w:val="single" w:sz="8" w:space="0" w:color="0F14D2"/>
              <w:right w:val="single" w:sz="8" w:space="0" w:color="0F14D2"/>
            </w:tcBorders>
            <w:vAlign w:val="center"/>
            <w:hideMark/>
          </w:tcPr>
          <w:p w14:paraId="7AE8BF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DF724A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1D45F21D" w14:textId="3264C9B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34</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F65F50A" w14:textId="0239AA4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25764472" w14:textId="14383BB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30.06.2024</w:t>
            </w:r>
          </w:p>
        </w:tc>
        <w:tc>
          <w:tcPr>
            <w:tcW w:w="485" w:type="pct"/>
            <w:tcBorders>
              <w:top w:val="nil"/>
              <w:left w:val="nil"/>
              <w:bottom w:val="single" w:sz="8" w:space="0" w:color="0F14D2"/>
              <w:right w:val="single" w:sz="8" w:space="0" w:color="0F14D2"/>
            </w:tcBorders>
            <w:vAlign w:val="center"/>
            <w:hideMark/>
          </w:tcPr>
          <w:p w14:paraId="452C8BA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9 817 746,47</w:t>
            </w:r>
          </w:p>
        </w:tc>
      </w:tr>
      <w:tr w:rsidR="000B435E" w:rsidRPr="003E3BD7" w14:paraId="06BB499D"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C426C59"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9</w:t>
            </w:r>
          </w:p>
        </w:tc>
        <w:tc>
          <w:tcPr>
            <w:tcW w:w="436" w:type="pct"/>
            <w:tcBorders>
              <w:top w:val="nil"/>
              <w:left w:val="single" w:sz="8" w:space="0" w:color="0F14D2"/>
              <w:bottom w:val="single" w:sz="8" w:space="0" w:color="0F14D2"/>
              <w:right w:val="nil"/>
            </w:tcBorders>
            <w:vAlign w:val="center"/>
            <w:hideMark/>
          </w:tcPr>
          <w:p w14:paraId="1B43840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FEKP.02.07-IZ.00-091/24</w:t>
            </w:r>
          </w:p>
        </w:tc>
        <w:tc>
          <w:tcPr>
            <w:tcW w:w="340" w:type="pct"/>
            <w:tcBorders>
              <w:top w:val="nil"/>
              <w:left w:val="single" w:sz="8" w:space="0" w:color="0F14D2"/>
              <w:bottom w:val="single" w:sz="8" w:space="0" w:color="0F14D2"/>
              <w:right w:val="single" w:sz="8" w:space="0" w:color="0F14D2"/>
            </w:tcBorders>
            <w:noWrap/>
            <w:vAlign w:val="center"/>
            <w:hideMark/>
          </w:tcPr>
          <w:p w14:paraId="082BBC9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0EF608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02.07 (EFRR)</w:t>
            </w:r>
          </w:p>
        </w:tc>
        <w:tc>
          <w:tcPr>
            <w:tcW w:w="291" w:type="pct"/>
            <w:tcBorders>
              <w:top w:val="nil"/>
              <w:left w:val="nil"/>
              <w:bottom w:val="single" w:sz="8" w:space="0" w:color="0F14D2"/>
              <w:right w:val="single" w:sz="8" w:space="0" w:color="0F14D2"/>
            </w:tcBorders>
            <w:noWrap/>
            <w:vAlign w:val="center"/>
            <w:hideMark/>
          </w:tcPr>
          <w:p w14:paraId="4A56C2D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D7D2A2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45C75D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Adaptacja do zmian klimatu w miastach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0C554CA5" w14:textId="77777777" w:rsidR="00F40BE0" w:rsidRPr="0076709A"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709A">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F6A0E96" w14:textId="0522F922" w:rsidR="00F40BE0" w:rsidRPr="0076709A"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sidRPr="0076709A">
              <w:rPr>
                <w:rFonts w:asciiTheme="minorHAnsi" w:eastAsia="Times New Roman" w:hAnsiTheme="minorHAnsi" w:cstheme="minorHAnsi"/>
                <w:color w:val="000000"/>
                <w:sz w:val="18"/>
                <w:szCs w:val="18"/>
                <w:lang w:eastAsia="pl-PL"/>
              </w:rPr>
              <w:t>5</w:t>
            </w:r>
          </w:p>
        </w:tc>
        <w:tc>
          <w:tcPr>
            <w:tcW w:w="292" w:type="pct"/>
            <w:tcBorders>
              <w:top w:val="nil"/>
              <w:left w:val="nil"/>
              <w:bottom w:val="single" w:sz="8" w:space="0" w:color="0F14D2"/>
              <w:right w:val="single" w:sz="8" w:space="0" w:color="0F14D2"/>
            </w:tcBorders>
            <w:vAlign w:val="center"/>
            <w:hideMark/>
          </w:tcPr>
          <w:p w14:paraId="62BE769E" w14:textId="055C190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FD97B57" w14:textId="6F017F9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155DA0AF" w14:textId="2548F09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43EA1884"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41 152 800,08</w:t>
            </w:r>
          </w:p>
        </w:tc>
      </w:tr>
      <w:tr w:rsidR="000B435E" w:rsidRPr="003E3BD7" w14:paraId="6FC06588"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A03AE5A"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10</w:t>
            </w:r>
          </w:p>
        </w:tc>
        <w:tc>
          <w:tcPr>
            <w:tcW w:w="436" w:type="pct"/>
            <w:tcBorders>
              <w:top w:val="nil"/>
              <w:left w:val="single" w:sz="8" w:space="0" w:color="0F14D2"/>
              <w:bottom w:val="single" w:sz="8" w:space="0" w:color="0F14D2"/>
              <w:right w:val="nil"/>
            </w:tcBorders>
            <w:vAlign w:val="center"/>
            <w:hideMark/>
          </w:tcPr>
          <w:p w14:paraId="5A4493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FEKP.02.08-IZ.00-150/24</w:t>
            </w:r>
          </w:p>
        </w:tc>
        <w:tc>
          <w:tcPr>
            <w:tcW w:w="340" w:type="pct"/>
            <w:tcBorders>
              <w:top w:val="nil"/>
              <w:left w:val="single" w:sz="8" w:space="0" w:color="0F14D2"/>
              <w:bottom w:val="single" w:sz="8" w:space="0" w:color="0F14D2"/>
              <w:right w:val="single" w:sz="8" w:space="0" w:color="0F14D2"/>
            </w:tcBorders>
            <w:noWrap/>
            <w:vAlign w:val="center"/>
            <w:hideMark/>
          </w:tcPr>
          <w:p w14:paraId="13E9E8C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0F9392B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02.08 (EFRR)</w:t>
            </w:r>
          </w:p>
        </w:tc>
        <w:tc>
          <w:tcPr>
            <w:tcW w:w="291" w:type="pct"/>
            <w:tcBorders>
              <w:top w:val="nil"/>
              <w:left w:val="nil"/>
              <w:bottom w:val="single" w:sz="8" w:space="0" w:color="0F14D2"/>
              <w:right w:val="single" w:sz="8" w:space="0" w:color="0F14D2"/>
            </w:tcBorders>
            <w:noWrap/>
            <w:vAlign w:val="center"/>
            <w:hideMark/>
          </w:tcPr>
          <w:p w14:paraId="2B70B6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Adaptacja do </w:t>
            </w:r>
            <w:r w:rsidRPr="00765A51">
              <w:rPr>
                <w:rFonts w:asciiTheme="minorHAnsi" w:eastAsia="Times New Roman" w:hAnsiTheme="minorHAnsi" w:cstheme="minorHAnsi"/>
                <w:color w:val="000000"/>
                <w:sz w:val="18"/>
                <w:szCs w:val="18"/>
                <w:lang w:eastAsia="pl-PL"/>
              </w:rPr>
              <w:lastRenderedPageBreak/>
              <w:t>zmian klimatu</w:t>
            </w:r>
          </w:p>
        </w:tc>
        <w:tc>
          <w:tcPr>
            <w:tcW w:w="486" w:type="pct"/>
            <w:tcBorders>
              <w:top w:val="nil"/>
              <w:left w:val="nil"/>
              <w:bottom w:val="single" w:sz="8" w:space="0" w:color="0F14D2"/>
              <w:right w:val="single" w:sz="8" w:space="0" w:color="0F14D2"/>
            </w:tcBorders>
            <w:vAlign w:val="center"/>
            <w:hideMark/>
          </w:tcPr>
          <w:p w14:paraId="1E089BB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nie dotyczy PT</w:t>
            </w:r>
          </w:p>
        </w:tc>
        <w:tc>
          <w:tcPr>
            <w:tcW w:w="487" w:type="pct"/>
            <w:tcBorders>
              <w:top w:val="nil"/>
              <w:left w:val="nil"/>
              <w:bottom w:val="single" w:sz="8" w:space="0" w:color="0F14D2"/>
              <w:right w:val="single" w:sz="8" w:space="0" w:color="0F14D2"/>
            </w:tcBorders>
            <w:noWrap/>
            <w:vAlign w:val="center"/>
            <w:hideMark/>
          </w:tcPr>
          <w:p w14:paraId="4B4A48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lokalowa OSP</w:t>
            </w:r>
          </w:p>
        </w:tc>
        <w:tc>
          <w:tcPr>
            <w:tcW w:w="388" w:type="pct"/>
            <w:tcBorders>
              <w:top w:val="nil"/>
              <w:left w:val="nil"/>
              <w:bottom w:val="single" w:sz="8" w:space="0" w:color="0F14D2"/>
              <w:right w:val="single" w:sz="8" w:space="0" w:color="0F14D2"/>
            </w:tcBorders>
            <w:vAlign w:val="center"/>
            <w:hideMark/>
          </w:tcPr>
          <w:p w14:paraId="7BD2A0C2" w14:textId="77777777" w:rsidR="00F40BE0" w:rsidRPr="0076709A"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709A">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A6E2E1B" w14:textId="34AE4698" w:rsidR="00F40BE0" w:rsidRPr="0076709A"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709A">
              <w:rPr>
                <w:rFonts w:asciiTheme="minorHAnsi" w:eastAsia="Times New Roman" w:hAnsiTheme="minorHAnsi" w:cstheme="minorHAnsi"/>
                <w:color w:val="000000"/>
                <w:sz w:val="18"/>
                <w:szCs w:val="18"/>
                <w:lang w:eastAsia="pl-PL"/>
              </w:rPr>
              <w:t>3</w:t>
            </w:r>
            <w:r w:rsidR="009D7737" w:rsidRPr="0076709A">
              <w:rPr>
                <w:rFonts w:asciiTheme="minorHAnsi" w:eastAsia="Times New Roman" w:hAnsiTheme="minorHAnsi" w:cstheme="minorHAnsi"/>
                <w:color w:val="000000"/>
                <w:sz w:val="18"/>
                <w:szCs w:val="18"/>
                <w:lang w:eastAsia="pl-PL"/>
              </w:rPr>
              <w:t>5</w:t>
            </w:r>
          </w:p>
        </w:tc>
        <w:tc>
          <w:tcPr>
            <w:tcW w:w="292" w:type="pct"/>
            <w:tcBorders>
              <w:top w:val="nil"/>
              <w:left w:val="nil"/>
              <w:bottom w:val="single" w:sz="8" w:space="0" w:color="0F14D2"/>
              <w:right w:val="single" w:sz="8" w:space="0" w:color="0F14D2"/>
            </w:tcBorders>
            <w:vAlign w:val="center"/>
            <w:hideMark/>
          </w:tcPr>
          <w:p w14:paraId="4FEBB6EC" w14:textId="0061A09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32</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0D551E7" w14:textId="7BFFD80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04.11.2024</w:t>
            </w:r>
          </w:p>
        </w:tc>
        <w:tc>
          <w:tcPr>
            <w:tcW w:w="437" w:type="pct"/>
            <w:tcBorders>
              <w:top w:val="nil"/>
              <w:left w:val="nil"/>
              <w:bottom w:val="single" w:sz="8" w:space="0" w:color="0F14D2"/>
              <w:right w:val="single" w:sz="8" w:space="0" w:color="0F14D2"/>
            </w:tcBorders>
            <w:vAlign w:val="center"/>
            <w:hideMark/>
          </w:tcPr>
          <w:p w14:paraId="32B3E06A" w14:textId="4C4FCB1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31.01.2025</w:t>
            </w:r>
          </w:p>
        </w:tc>
        <w:tc>
          <w:tcPr>
            <w:tcW w:w="485" w:type="pct"/>
            <w:tcBorders>
              <w:top w:val="nil"/>
              <w:left w:val="nil"/>
              <w:bottom w:val="single" w:sz="8" w:space="0" w:color="0F14D2"/>
              <w:right w:val="single" w:sz="8" w:space="0" w:color="0F14D2"/>
            </w:tcBorders>
            <w:vAlign w:val="center"/>
            <w:hideMark/>
          </w:tcPr>
          <w:p w14:paraId="39B4FFA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37 609 440,00</w:t>
            </w:r>
          </w:p>
        </w:tc>
      </w:tr>
      <w:tr w:rsidR="000B435E" w:rsidRPr="003E3BD7" w14:paraId="6A41A8EB"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30417A1"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11</w:t>
            </w:r>
          </w:p>
        </w:tc>
        <w:tc>
          <w:tcPr>
            <w:tcW w:w="436" w:type="pct"/>
            <w:tcBorders>
              <w:top w:val="nil"/>
              <w:left w:val="single" w:sz="8" w:space="0" w:color="0F14D2"/>
              <w:bottom w:val="single" w:sz="8" w:space="0" w:color="0F14D2"/>
              <w:right w:val="nil"/>
            </w:tcBorders>
            <w:vAlign w:val="center"/>
            <w:hideMark/>
          </w:tcPr>
          <w:p w14:paraId="0F0B53D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FEKP.02.08-IZ.00-157/24</w:t>
            </w:r>
          </w:p>
        </w:tc>
        <w:tc>
          <w:tcPr>
            <w:tcW w:w="340" w:type="pct"/>
            <w:tcBorders>
              <w:top w:val="nil"/>
              <w:left w:val="single" w:sz="8" w:space="0" w:color="0F14D2"/>
              <w:bottom w:val="single" w:sz="8" w:space="0" w:color="0F14D2"/>
              <w:right w:val="single" w:sz="8" w:space="0" w:color="0F14D2"/>
            </w:tcBorders>
            <w:noWrap/>
            <w:vAlign w:val="center"/>
            <w:hideMark/>
          </w:tcPr>
          <w:p w14:paraId="409BCBC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33E54A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02.08 (EFRR)</w:t>
            </w:r>
          </w:p>
        </w:tc>
        <w:tc>
          <w:tcPr>
            <w:tcW w:w="291" w:type="pct"/>
            <w:tcBorders>
              <w:top w:val="nil"/>
              <w:left w:val="nil"/>
              <w:bottom w:val="single" w:sz="8" w:space="0" w:color="0F14D2"/>
              <w:right w:val="single" w:sz="8" w:space="0" w:color="0F14D2"/>
            </w:tcBorders>
            <w:noWrap/>
            <w:vAlign w:val="center"/>
            <w:hideMark/>
          </w:tcPr>
          <w:p w14:paraId="7E55422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27D8F0E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89E69B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służb ratowniczych</w:t>
            </w:r>
          </w:p>
        </w:tc>
        <w:tc>
          <w:tcPr>
            <w:tcW w:w="388" w:type="pct"/>
            <w:tcBorders>
              <w:top w:val="nil"/>
              <w:left w:val="nil"/>
              <w:bottom w:val="single" w:sz="8" w:space="0" w:color="0F14D2"/>
              <w:right w:val="single" w:sz="8" w:space="0" w:color="0F14D2"/>
            </w:tcBorders>
            <w:vAlign w:val="center"/>
            <w:hideMark/>
          </w:tcPr>
          <w:p w14:paraId="004A7A3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44000B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668AA80" w14:textId="30BC9CF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861CAF0" w14:textId="3DC043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14.11.2024</w:t>
            </w:r>
          </w:p>
        </w:tc>
        <w:tc>
          <w:tcPr>
            <w:tcW w:w="437" w:type="pct"/>
            <w:tcBorders>
              <w:top w:val="nil"/>
              <w:left w:val="nil"/>
              <w:bottom w:val="single" w:sz="8" w:space="0" w:color="0F14D2"/>
              <w:right w:val="single" w:sz="8" w:space="0" w:color="0F14D2"/>
            </w:tcBorders>
            <w:vAlign w:val="center"/>
            <w:hideMark/>
          </w:tcPr>
          <w:p w14:paraId="3AB33C3E" w14:textId="4BF5882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13.01.2025</w:t>
            </w:r>
          </w:p>
        </w:tc>
        <w:tc>
          <w:tcPr>
            <w:tcW w:w="485" w:type="pct"/>
            <w:tcBorders>
              <w:top w:val="nil"/>
              <w:left w:val="nil"/>
              <w:bottom w:val="single" w:sz="8" w:space="0" w:color="0F14D2"/>
              <w:right w:val="single" w:sz="8" w:space="0" w:color="0F14D2"/>
            </w:tcBorders>
            <w:vAlign w:val="center"/>
            <w:hideMark/>
          </w:tcPr>
          <w:p w14:paraId="091AF550"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9 402 360,00</w:t>
            </w:r>
          </w:p>
        </w:tc>
      </w:tr>
      <w:tr w:rsidR="000B435E" w:rsidRPr="003E3BD7" w14:paraId="6ADC6E62"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3FA3BA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12</w:t>
            </w:r>
          </w:p>
        </w:tc>
        <w:tc>
          <w:tcPr>
            <w:tcW w:w="436" w:type="pct"/>
            <w:tcBorders>
              <w:top w:val="nil"/>
              <w:left w:val="single" w:sz="8" w:space="0" w:color="0F14D2"/>
              <w:bottom w:val="single" w:sz="8" w:space="0" w:color="0F14D2"/>
              <w:right w:val="nil"/>
            </w:tcBorders>
            <w:vAlign w:val="center"/>
            <w:hideMark/>
          </w:tcPr>
          <w:p w14:paraId="61D042C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FEKP.02.09-IZ.00-017/23</w:t>
            </w:r>
          </w:p>
        </w:tc>
        <w:tc>
          <w:tcPr>
            <w:tcW w:w="340" w:type="pct"/>
            <w:tcBorders>
              <w:top w:val="nil"/>
              <w:left w:val="single" w:sz="8" w:space="0" w:color="0F14D2"/>
              <w:bottom w:val="single" w:sz="8" w:space="0" w:color="0F14D2"/>
              <w:right w:val="single" w:sz="8" w:space="0" w:color="0F14D2"/>
            </w:tcBorders>
            <w:noWrap/>
            <w:vAlign w:val="center"/>
            <w:hideMark/>
          </w:tcPr>
          <w:p w14:paraId="0D9F7C21"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3A69C6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06F76F4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5D75CD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B54545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Zadrzewienia przy drogach wojewódzkich</w:t>
            </w:r>
          </w:p>
        </w:tc>
        <w:tc>
          <w:tcPr>
            <w:tcW w:w="388" w:type="pct"/>
            <w:tcBorders>
              <w:top w:val="nil"/>
              <w:left w:val="nil"/>
              <w:bottom w:val="single" w:sz="8" w:space="0" w:color="0F14D2"/>
              <w:right w:val="single" w:sz="8" w:space="0" w:color="0F14D2"/>
            </w:tcBorders>
            <w:vAlign w:val="center"/>
            <w:hideMark/>
          </w:tcPr>
          <w:p w14:paraId="3D33274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E769AB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57197894" w14:textId="649DA57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7339E69" w14:textId="3244071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29.06.2023</w:t>
            </w:r>
          </w:p>
        </w:tc>
        <w:tc>
          <w:tcPr>
            <w:tcW w:w="437" w:type="pct"/>
            <w:tcBorders>
              <w:top w:val="nil"/>
              <w:left w:val="nil"/>
              <w:bottom w:val="single" w:sz="8" w:space="0" w:color="0F14D2"/>
              <w:right w:val="single" w:sz="8" w:space="0" w:color="0F14D2"/>
            </w:tcBorders>
            <w:vAlign w:val="center"/>
            <w:hideMark/>
          </w:tcPr>
          <w:p w14:paraId="6250D10C" w14:textId="33C28FC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14.01.2025</w:t>
            </w:r>
          </w:p>
        </w:tc>
        <w:tc>
          <w:tcPr>
            <w:tcW w:w="485" w:type="pct"/>
            <w:tcBorders>
              <w:top w:val="nil"/>
              <w:left w:val="nil"/>
              <w:bottom w:val="single" w:sz="8" w:space="0" w:color="0F14D2"/>
              <w:right w:val="single" w:sz="8" w:space="0" w:color="0F14D2"/>
            </w:tcBorders>
            <w:vAlign w:val="center"/>
            <w:hideMark/>
          </w:tcPr>
          <w:p w14:paraId="5170AE5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18 742 000,00</w:t>
            </w:r>
          </w:p>
        </w:tc>
      </w:tr>
      <w:tr w:rsidR="000B435E" w:rsidRPr="003E3BD7" w14:paraId="1DCF073C"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583835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13</w:t>
            </w:r>
          </w:p>
        </w:tc>
        <w:tc>
          <w:tcPr>
            <w:tcW w:w="436" w:type="pct"/>
            <w:tcBorders>
              <w:top w:val="nil"/>
              <w:left w:val="single" w:sz="8" w:space="0" w:color="0F14D2"/>
              <w:bottom w:val="single" w:sz="8" w:space="0" w:color="0F14D2"/>
              <w:right w:val="nil"/>
            </w:tcBorders>
            <w:vAlign w:val="center"/>
            <w:hideMark/>
          </w:tcPr>
          <w:p w14:paraId="41525D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FEKP.02.09-IZ.00-018/23</w:t>
            </w:r>
          </w:p>
        </w:tc>
        <w:tc>
          <w:tcPr>
            <w:tcW w:w="340" w:type="pct"/>
            <w:tcBorders>
              <w:top w:val="nil"/>
              <w:left w:val="single" w:sz="8" w:space="0" w:color="0F14D2"/>
              <w:bottom w:val="single" w:sz="8" w:space="0" w:color="0F14D2"/>
              <w:right w:val="single" w:sz="8" w:space="0" w:color="0F14D2"/>
            </w:tcBorders>
            <w:noWrap/>
            <w:vAlign w:val="center"/>
            <w:hideMark/>
          </w:tcPr>
          <w:p w14:paraId="0FC96BC9"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D38B53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438DE05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34E45B1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788953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Zadrzewienia przy drogach lokalnych</w:t>
            </w:r>
          </w:p>
        </w:tc>
        <w:tc>
          <w:tcPr>
            <w:tcW w:w="388" w:type="pct"/>
            <w:tcBorders>
              <w:top w:val="nil"/>
              <w:left w:val="nil"/>
              <w:bottom w:val="single" w:sz="8" w:space="0" w:color="0F14D2"/>
              <w:right w:val="single" w:sz="8" w:space="0" w:color="0F14D2"/>
            </w:tcBorders>
            <w:vAlign w:val="center"/>
            <w:hideMark/>
          </w:tcPr>
          <w:p w14:paraId="0DD160D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47C9CE7" w14:textId="029196CE"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2B9C155F" w14:textId="2B1C0C4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DECB3FB" w14:textId="67983AA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29.06.2023</w:t>
            </w:r>
          </w:p>
        </w:tc>
        <w:tc>
          <w:tcPr>
            <w:tcW w:w="437" w:type="pct"/>
            <w:tcBorders>
              <w:top w:val="nil"/>
              <w:left w:val="nil"/>
              <w:bottom w:val="single" w:sz="8" w:space="0" w:color="0F14D2"/>
              <w:right w:val="single" w:sz="8" w:space="0" w:color="0F14D2"/>
            </w:tcBorders>
            <w:vAlign w:val="center"/>
            <w:hideMark/>
          </w:tcPr>
          <w:p w14:paraId="1CC16F30" w14:textId="7BA42BF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31.12.2024</w:t>
            </w:r>
          </w:p>
        </w:tc>
        <w:tc>
          <w:tcPr>
            <w:tcW w:w="485" w:type="pct"/>
            <w:tcBorders>
              <w:top w:val="nil"/>
              <w:left w:val="nil"/>
              <w:bottom w:val="single" w:sz="8" w:space="0" w:color="0F14D2"/>
              <w:right w:val="single" w:sz="8" w:space="0" w:color="0F14D2"/>
            </w:tcBorders>
            <w:vAlign w:val="center"/>
            <w:hideMark/>
          </w:tcPr>
          <w:p w14:paraId="43D3577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9 371 000,00</w:t>
            </w:r>
          </w:p>
        </w:tc>
      </w:tr>
      <w:tr w:rsidR="000B435E" w:rsidRPr="003E3BD7" w14:paraId="33A951A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A55599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14</w:t>
            </w:r>
          </w:p>
        </w:tc>
        <w:tc>
          <w:tcPr>
            <w:tcW w:w="436" w:type="pct"/>
            <w:tcBorders>
              <w:top w:val="nil"/>
              <w:left w:val="single" w:sz="8" w:space="0" w:color="0F14D2"/>
              <w:bottom w:val="single" w:sz="8" w:space="0" w:color="0F14D2"/>
              <w:right w:val="nil"/>
            </w:tcBorders>
            <w:vAlign w:val="center"/>
            <w:hideMark/>
          </w:tcPr>
          <w:p w14:paraId="275A088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FEKP.02.09-IZ.00-070/23</w:t>
            </w:r>
          </w:p>
        </w:tc>
        <w:tc>
          <w:tcPr>
            <w:tcW w:w="340" w:type="pct"/>
            <w:tcBorders>
              <w:top w:val="nil"/>
              <w:left w:val="single" w:sz="8" w:space="0" w:color="0F14D2"/>
              <w:bottom w:val="single" w:sz="8" w:space="0" w:color="0F14D2"/>
              <w:right w:val="single" w:sz="8" w:space="0" w:color="0F14D2"/>
            </w:tcBorders>
            <w:noWrap/>
            <w:vAlign w:val="center"/>
            <w:hideMark/>
          </w:tcPr>
          <w:p w14:paraId="440649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402E984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56939F1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784C5A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242E477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małej retencji – projekt grantowy</w:t>
            </w:r>
          </w:p>
        </w:tc>
        <w:tc>
          <w:tcPr>
            <w:tcW w:w="388" w:type="pct"/>
            <w:tcBorders>
              <w:top w:val="nil"/>
              <w:left w:val="nil"/>
              <w:bottom w:val="single" w:sz="8" w:space="0" w:color="0F14D2"/>
              <w:right w:val="single" w:sz="8" w:space="0" w:color="0F14D2"/>
            </w:tcBorders>
            <w:vAlign w:val="center"/>
            <w:hideMark/>
          </w:tcPr>
          <w:p w14:paraId="1E78D6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1CB9B76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1BBDA0BE" w14:textId="0B38D2A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4CC66F3" w14:textId="609EC39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30.11.2023</w:t>
            </w:r>
          </w:p>
        </w:tc>
        <w:tc>
          <w:tcPr>
            <w:tcW w:w="437" w:type="pct"/>
            <w:tcBorders>
              <w:top w:val="nil"/>
              <w:left w:val="nil"/>
              <w:bottom w:val="single" w:sz="8" w:space="0" w:color="0F14D2"/>
              <w:right w:val="single" w:sz="8" w:space="0" w:color="0F14D2"/>
            </w:tcBorders>
            <w:vAlign w:val="center"/>
            <w:hideMark/>
          </w:tcPr>
          <w:p w14:paraId="40964E85" w14:textId="5D37B6D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29.04.2024</w:t>
            </w:r>
          </w:p>
        </w:tc>
        <w:tc>
          <w:tcPr>
            <w:tcW w:w="485" w:type="pct"/>
            <w:tcBorders>
              <w:top w:val="nil"/>
              <w:left w:val="nil"/>
              <w:bottom w:val="single" w:sz="8" w:space="0" w:color="0F14D2"/>
              <w:right w:val="single" w:sz="8" w:space="0" w:color="0F14D2"/>
            </w:tcBorders>
            <w:vAlign w:val="center"/>
            <w:hideMark/>
          </w:tcPr>
          <w:p w14:paraId="614F20C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65 597 000,00</w:t>
            </w:r>
          </w:p>
        </w:tc>
      </w:tr>
      <w:tr w:rsidR="000B435E" w:rsidRPr="003E3BD7" w14:paraId="3C80FF6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1AF3C7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15</w:t>
            </w:r>
          </w:p>
        </w:tc>
        <w:tc>
          <w:tcPr>
            <w:tcW w:w="436" w:type="pct"/>
            <w:tcBorders>
              <w:top w:val="nil"/>
              <w:left w:val="single" w:sz="8" w:space="0" w:color="0F14D2"/>
              <w:bottom w:val="single" w:sz="8" w:space="0" w:color="0F14D2"/>
              <w:right w:val="nil"/>
            </w:tcBorders>
            <w:vAlign w:val="center"/>
            <w:hideMark/>
          </w:tcPr>
          <w:p w14:paraId="3AAF097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FEKP.02.09-IZ.00-116/24</w:t>
            </w:r>
          </w:p>
        </w:tc>
        <w:tc>
          <w:tcPr>
            <w:tcW w:w="340" w:type="pct"/>
            <w:tcBorders>
              <w:top w:val="nil"/>
              <w:left w:val="single" w:sz="8" w:space="0" w:color="0F14D2"/>
              <w:bottom w:val="single" w:sz="8" w:space="0" w:color="0F14D2"/>
              <w:right w:val="single" w:sz="8" w:space="0" w:color="0F14D2"/>
            </w:tcBorders>
            <w:noWrap/>
            <w:vAlign w:val="center"/>
            <w:hideMark/>
          </w:tcPr>
          <w:p w14:paraId="680B774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1AEB7C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02.09 (EFRR)</w:t>
            </w:r>
          </w:p>
        </w:tc>
        <w:tc>
          <w:tcPr>
            <w:tcW w:w="291" w:type="pct"/>
            <w:tcBorders>
              <w:top w:val="nil"/>
              <w:left w:val="nil"/>
              <w:bottom w:val="single" w:sz="8" w:space="0" w:color="0F14D2"/>
              <w:right w:val="single" w:sz="8" w:space="0" w:color="0F14D2"/>
            </w:tcBorders>
            <w:noWrap/>
            <w:vAlign w:val="center"/>
            <w:hideMark/>
          </w:tcPr>
          <w:p w14:paraId="571E37D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3D519F6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7F5E14C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małej retencji</w:t>
            </w:r>
          </w:p>
        </w:tc>
        <w:tc>
          <w:tcPr>
            <w:tcW w:w="388" w:type="pct"/>
            <w:tcBorders>
              <w:top w:val="nil"/>
              <w:left w:val="nil"/>
              <w:bottom w:val="single" w:sz="8" w:space="0" w:color="0F14D2"/>
              <w:right w:val="single" w:sz="8" w:space="0" w:color="0F14D2"/>
            </w:tcBorders>
            <w:vAlign w:val="center"/>
            <w:hideMark/>
          </w:tcPr>
          <w:p w14:paraId="574F092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E1E08BD"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3141F4A8" w14:textId="6B39765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A539B23" w14:textId="5B48A13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29.05.2024</w:t>
            </w:r>
          </w:p>
        </w:tc>
        <w:tc>
          <w:tcPr>
            <w:tcW w:w="437" w:type="pct"/>
            <w:tcBorders>
              <w:top w:val="nil"/>
              <w:left w:val="nil"/>
              <w:bottom w:val="single" w:sz="8" w:space="0" w:color="0F14D2"/>
              <w:right w:val="single" w:sz="8" w:space="0" w:color="0F14D2"/>
            </w:tcBorders>
            <w:vAlign w:val="center"/>
            <w:hideMark/>
          </w:tcPr>
          <w:p w14:paraId="047359D9" w14:textId="078BB61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08.07.2024</w:t>
            </w:r>
          </w:p>
        </w:tc>
        <w:tc>
          <w:tcPr>
            <w:tcW w:w="485" w:type="pct"/>
            <w:tcBorders>
              <w:top w:val="nil"/>
              <w:left w:val="nil"/>
              <w:bottom w:val="single" w:sz="8" w:space="0" w:color="0F14D2"/>
              <w:right w:val="single" w:sz="8" w:space="0" w:color="0F14D2"/>
            </w:tcBorders>
            <w:vAlign w:val="center"/>
            <w:hideMark/>
          </w:tcPr>
          <w:p w14:paraId="584A7B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86 186 000,00</w:t>
            </w:r>
          </w:p>
        </w:tc>
      </w:tr>
      <w:tr w:rsidR="000B435E" w:rsidRPr="003E3BD7" w14:paraId="785C0B20"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BD1DC4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16</w:t>
            </w:r>
          </w:p>
        </w:tc>
        <w:tc>
          <w:tcPr>
            <w:tcW w:w="436" w:type="pct"/>
            <w:tcBorders>
              <w:top w:val="nil"/>
              <w:left w:val="single" w:sz="8" w:space="0" w:color="0F14D2"/>
              <w:bottom w:val="single" w:sz="8" w:space="0" w:color="0F14D2"/>
              <w:right w:val="nil"/>
            </w:tcBorders>
            <w:vAlign w:val="center"/>
            <w:hideMark/>
          </w:tcPr>
          <w:p w14:paraId="7CFC07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FEKP.02.12-IZ.00-001/23</w:t>
            </w:r>
          </w:p>
        </w:tc>
        <w:tc>
          <w:tcPr>
            <w:tcW w:w="340" w:type="pct"/>
            <w:tcBorders>
              <w:top w:val="nil"/>
              <w:left w:val="single" w:sz="8" w:space="0" w:color="0F14D2"/>
              <w:bottom w:val="single" w:sz="8" w:space="0" w:color="0F14D2"/>
              <w:right w:val="single" w:sz="8" w:space="0" w:color="0F14D2"/>
            </w:tcBorders>
            <w:noWrap/>
            <w:vAlign w:val="center"/>
            <w:hideMark/>
          </w:tcPr>
          <w:p w14:paraId="6BA9479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582C28E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02.12 (EFRR)</w:t>
            </w:r>
          </w:p>
        </w:tc>
        <w:tc>
          <w:tcPr>
            <w:tcW w:w="291" w:type="pct"/>
            <w:tcBorders>
              <w:top w:val="nil"/>
              <w:left w:val="nil"/>
              <w:bottom w:val="single" w:sz="8" w:space="0" w:color="0F14D2"/>
              <w:right w:val="single" w:sz="8" w:space="0" w:color="0F14D2"/>
            </w:tcBorders>
            <w:noWrap/>
            <w:vAlign w:val="center"/>
            <w:hideMark/>
          </w:tcPr>
          <w:p w14:paraId="312AC1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Woda i ścieki</w:t>
            </w:r>
          </w:p>
        </w:tc>
        <w:tc>
          <w:tcPr>
            <w:tcW w:w="486" w:type="pct"/>
            <w:tcBorders>
              <w:top w:val="nil"/>
              <w:left w:val="nil"/>
              <w:bottom w:val="single" w:sz="8" w:space="0" w:color="0F14D2"/>
              <w:right w:val="single" w:sz="8" w:space="0" w:color="0F14D2"/>
            </w:tcBorders>
            <w:vAlign w:val="center"/>
            <w:hideMark/>
          </w:tcPr>
          <w:p w14:paraId="503DB9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B01C41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Aglomeracje o wielkości od 10 tys. do poniżej 15 tys. RLM</w:t>
            </w:r>
          </w:p>
        </w:tc>
        <w:tc>
          <w:tcPr>
            <w:tcW w:w="388" w:type="pct"/>
            <w:tcBorders>
              <w:top w:val="nil"/>
              <w:left w:val="nil"/>
              <w:bottom w:val="single" w:sz="8" w:space="0" w:color="0F14D2"/>
              <w:right w:val="single" w:sz="8" w:space="0" w:color="0F14D2"/>
            </w:tcBorders>
            <w:vAlign w:val="center"/>
            <w:hideMark/>
          </w:tcPr>
          <w:p w14:paraId="3DCD158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FBFAE16" w14:textId="5B3583C7"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77867E38" w14:textId="57C63F3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7DA530D6" w14:textId="22B19FA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12.06.2023</w:t>
            </w:r>
          </w:p>
        </w:tc>
        <w:tc>
          <w:tcPr>
            <w:tcW w:w="437" w:type="pct"/>
            <w:tcBorders>
              <w:top w:val="nil"/>
              <w:left w:val="nil"/>
              <w:bottom w:val="single" w:sz="8" w:space="0" w:color="0F14D2"/>
              <w:right w:val="single" w:sz="8" w:space="0" w:color="0F14D2"/>
            </w:tcBorders>
            <w:vAlign w:val="center"/>
            <w:hideMark/>
          </w:tcPr>
          <w:p w14:paraId="454F83BE" w14:textId="2C5139B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31.08.2023</w:t>
            </w:r>
          </w:p>
        </w:tc>
        <w:tc>
          <w:tcPr>
            <w:tcW w:w="485" w:type="pct"/>
            <w:tcBorders>
              <w:top w:val="nil"/>
              <w:left w:val="nil"/>
              <w:bottom w:val="single" w:sz="8" w:space="0" w:color="0F14D2"/>
              <w:right w:val="single" w:sz="8" w:space="0" w:color="0F14D2"/>
            </w:tcBorders>
            <w:vAlign w:val="center"/>
            <w:hideMark/>
          </w:tcPr>
          <w:p w14:paraId="167DEF8F"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46 855 000,00</w:t>
            </w:r>
          </w:p>
        </w:tc>
      </w:tr>
      <w:tr w:rsidR="000B435E" w:rsidRPr="003E3BD7" w14:paraId="3EF1010F"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E23C415"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17</w:t>
            </w:r>
          </w:p>
        </w:tc>
        <w:tc>
          <w:tcPr>
            <w:tcW w:w="436" w:type="pct"/>
            <w:tcBorders>
              <w:top w:val="nil"/>
              <w:left w:val="single" w:sz="8" w:space="0" w:color="0F14D2"/>
              <w:bottom w:val="single" w:sz="8" w:space="0" w:color="0F14D2"/>
              <w:right w:val="nil"/>
            </w:tcBorders>
            <w:vAlign w:val="center"/>
            <w:hideMark/>
          </w:tcPr>
          <w:p w14:paraId="3D26446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FEKP.02.12-IZ.00-095/24</w:t>
            </w:r>
          </w:p>
        </w:tc>
        <w:tc>
          <w:tcPr>
            <w:tcW w:w="340" w:type="pct"/>
            <w:tcBorders>
              <w:top w:val="nil"/>
              <w:left w:val="single" w:sz="8" w:space="0" w:color="0F14D2"/>
              <w:bottom w:val="single" w:sz="8" w:space="0" w:color="0F14D2"/>
              <w:right w:val="single" w:sz="8" w:space="0" w:color="0F14D2"/>
            </w:tcBorders>
            <w:noWrap/>
            <w:vAlign w:val="center"/>
            <w:hideMark/>
          </w:tcPr>
          <w:p w14:paraId="001AF71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586E94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02.12 (EFRR)</w:t>
            </w:r>
          </w:p>
        </w:tc>
        <w:tc>
          <w:tcPr>
            <w:tcW w:w="291" w:type="pct"/>
            <w:tcBorders>
              <w:top w:val="nil"/>
              <w:left w:val="nil"/>
              <w:bottom w:val="single" w:sz="8" w:space="0" w:color="0F14D2"/>
              <w:right w:val="single" w:sz="8" w:space="0" w:color="0F14D2"/>
            </w:tcBorders>
            <w:noWrap/>
            <w:vAlign w:val="center"/>
            <w:hideMark/>
          </w:tcPr>
          <w:p w14:paraId="43AF34A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Woda i ścieki</w:t>
            </w:r>
          </w:p>
        </w:tc>
        <w:tc>
          <w:tcPr>
            <w:tcW w:w="486" w:type="pct"/>
            <w:tcBorders>
              <w:top w:val="nil"/>
              <w:left w:val="nil"/>
              <w:bottom w:val="single" w:sz="8" w:space="0" w:color="0F14D2"/>
              <w:right w:val="single" w:sz="8" w:space="0" w:color="0F14D2"/>
            </w:tcBorders>
            <w:vAlign w:val="center"/>
            <w:hideMark/>
          </w:tcPr>
          <w:p w14:paraId="33841B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E258A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Aglomeracje o wielkości od 2 tys. do poniżej 10 tys. RLM</w:t>
            </w:r>
          </w:p>
        </w:tc>
        <w:tc>
          <w:tcPr>
            <w:tcW w:w="388" w:type="pct"/>
            <w:tcBorders>
              <w:top w:val="nil"/>
              <w:left w:val="nil"/>
              <w:bottom w:val="single" w:sz="8" w:space="0" w:color="0F14D2"/>
              <w:right w:val="single" w:sz="8" w:space="0" w:color="0F14D2"/>
            </w:tcBorders>
            <w:vAlign w:val="center"/>
            <w:hideMark/>
          </w:tcPr>
          <w:p w14:paraId="313EDF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41BFDF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50EA74F9" w14:textId="5E3AE146"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D964D8C" w14:textId="174D5C5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15.02.2024</w:t>
            </w:r>
          </w:p>
        </w:tc>
        <w:tc>
          <w:tcPr>
            <w:tcW w:w="437" w:type="pct"/>
            <w:tcBorders>
              <w:top w:val="nil"/>
              <w:left w:val="nil"/>
              <w:bottom w:val="single" w:sz="8" w:space="0" w:color="0F14D2"/>
              <w:right w:val="single" w:sz="8" w:space="0" w:color="0F14D2"/>
            </w:tcBorders>
            <w:vAlign w:val="center"/>
            <w:hideMark/>
          </w:tcPr>
          <w:p w14:paraId="1A29CC94" w14:textId="659C1BE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28.03.2024</w:t>
            </w:r>
          </w:p>
        </w:tc>
        <w:tc>
          <w:tcPr>
            <w:tcW w:w="485" w:type="pct"/>
            <w:tcBorders>
              <w:top w:val="nil"/>
              <w:left w:val="nil"/>
              <w:bottom w:val="single" w:sz="8" w:space="0" w:color="0F14D2"/>
              <w:right w:val="single" w:sz="8" w:space="0" w:color="0F14D2"/>
            </w:tcBorders>
            <w:vAlign w:val="center"/>
            <w:hideMark/>
          </w:tcPr>
          <w:p w14:paraId="5099FFA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86 710 000,00</w:t>
            </w:r>
          </w:p>
        </w:tc>
      </w:tr>
      <w:tr w:rsidR="000B435E" w:rsidRPr="003E3BD7" w14:paraId="5BF21B74"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EC2650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18</w:t>
            </w:r>
          </w:p>
        </w:tc>
        <w:tc>
          <w:tcPr>
            <w:tcW w:w="436" w:type="pct"/>
            <w:tcBorders>
              <w:top w:val="nil"/>
              <w:left w:val="single" w:sz="8" w:space="0" w:color="0F14D2"/>
              <w:bottom w:val="single" w:sz="8" w:space="0" w:color="0F14D2"/>
              <w:right w:val="nil"/>
            </w:tcBorders>
            <w:vAlign w:val="center"/>
            <w:hideMark/>
          </w:tcPr>
          <w:p w14:paraId="42ABA44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FEKP.02.13-IZ.00-052/23</w:t>
            </w:r>
          </w:p>
        </w:tc>
        <w:tc>
          <w:tcPr>
            <w:tcW w:w="340" w:type="pct"/>
            <w:tcBorders>
              <w:top w:val="nil"/>
              <w:left w:val="single" w:sz="8" w:space="0" w:color="0F14D2"/>
              <w:bottom w:val="single" w:sz="8" w:space="0" w:color="0F14D2"/>
              <w:right w:val="single" w:sz="8" w:space="0" w:color="0F14D2"/>
            </w:tcBorders>
            <w:noWrap/>
            <w:vAlign w:val="center"/>
            <w:hideMark/>
          </w:tcPr>
          <w:p w14:paraId="4DCAEC1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CD14C6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02.13 (EFRR)</w:t>
            </w:r>
          </w:p>
        </w:tc>
        <w:tc>
          <w:tcPr>
            <w:tcW w:w="291" w:type="pct"/>
            <w:tcBorders>
              <w:top w:val="nil"/>
              <w:left w:val="nil"/>
              <w:bottom w:val="single" w:sz="8" w:space="0" w:color="0F14D2"/>
              <w:right w:val="single" w:sz="8" w:space="0" w:color="0F14D2"/>
            </w:tcBorders>
            <w:noWrap/>
            <w:vAlign w:val="center"/>
            <w:hideMark/>
          </w:tcPr>
          <w:p w14:paraId="046D283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Odpady i GOZ</w:t>
            </w:r>
          </w:p>
        </w:tc>
        <w:tc>
          <w:tcPr>
            <w:tcW w:w="486" w:type="pct"/>
            <w:tcBorders>
              <w:top w:val="nil"/>
              <w:left w:val="nil"/>
              <w:bottom w:val="single" w:sz="8" w:space="0" w:color="0F14D2"/>
              <w:right w:val="single" w:sz="8" w:space="0" w:color="0F14D2"/>
            </w:tcBorders>
            <w:vAlign w:val="center"/>
            <w:hideMark/>
          </w:tcPr>
          <w:p w14:paraId="6AADB31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24BCF1D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Punkty selektywnego zbierania odpadów komunalnych</w:t>
            </w:r>
          </w:p>
        </w:tc>
        <w:tc>
          <w:tcPr>
            <w:tcW w:w="388" w:type="pct"/>
            <w:tcBorders>
              <w:top w:val="nil"/>
              <w:left w:val="nil"/>
              <w:bottom w:val="single" w:sz="8" w:space="0" w:color="0F14D2"/>
              <w:right w:val="single" w:sz="8" w:space="0" w:color="0F14D2"/>
            </w:tcBorders>
            <w:vAlign w:val="center"/>
            <w:hideMark/>
          </w:tcPr>
          <w:p w14:paraId="7F95C50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FB573AB" w14:textId="2F4D4D8E"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4</w:t>
            </w:r>
          </w:p>
        </w:tc>
        <w:tc>
          <w:tcPr>
            <w:tcW w:w="292" w:type="pct"/>
            <w:tcBorders>
              <w:top w:val="nil"/>
              <w:left w:val="nil"/>
              <w:bottom w:val="single" w:sz="8" w:space="0" w:color="0F14D2"/>
              <w:right w:val="single" w:sz="8" w:space="0" w:color="0F14D2"/>
            </w:tcBorders>
            <w:vAlign w:val="center"/>
            <w:hideMark/>
          </w:tcPr>
          <w:p w14:paraId="5F2328FB" w14:textId="541BF6E7"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44</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2E8186C" w14:textId="4E1500C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18.09.2023</w:t>
            </w:r>
          </w:p>
        </w:tc>
        <w:tc>
          <w:tcPr>
            <w:tcW w:w="437" w:type="pct"/>
            <w:tcBorders>
              <w:top w:val="nil"/>
              <w:left w:val="nil"/>
              <w:bottom w:val="single" w:sz="8" w:space="0" w:color="0F14D2"/>
              <w:right w:val="single" w:sz="8" w:space="0" w:color="0F14D2"/>
            </w:tcBorders>
            <w:vAlign w:val="center"/>
            <w:hideMark/>
          </w:tcPr>
          <w:p w14:paraId="7CFDCF02" w14:textId="4EAEDC1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20.11.2023</w:t>
            </w:r>
          </w:p>
        </w:tc>
        <w:tc>
          <w:tcPr>
            <w:tcW w:w="485" w:type="pct"/>
            <w:tcBorders>
              <w:top w:val="nil"/>
              <w:left w:val="nil"/>
              <w:bottom w:val="single" w:sz="8" w:space="0" w:color="0F14D2"/>
              <w:right w:val="single" w:sz="8" w:space="0" w:color="0F14D2"/>
            </w:tcBorders>
            <w:vAlign w:val="center"/>
            <w:hideMark/>
          </w:tcPr>
          <w:p w14:paraId="2FFB6F8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16 399 250,00</w:t>
            </w:r>
          </w:p>
        </w:tc>
      </w:tr>
      <w:tr w:rsidR="000B435E" w:rsidRPr="003E3BD7" w14:paraId="453993FA"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2141EA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lastRenderedPageBreak/>
              <w:t>19</w:t>
            </w:r>
          </w:p>
        </w:tc>
        <w:tc>
          <w:tcPr>
            <w:tcW w:w="436" w:type="pct"/>
            <w:tcBorders>
              <w:top w:val="nil"/>
              <w:left w:val="single" w:sz="8" w:space="0" w:color="0F14D2"/>
              <w:bottom w:val="single" w:sz="8" w:space="0" w:color="0F14D2"/>
              <w:right w:val="nil"/>
            </w:tcBorders>
            <w:vAlign w:val="center"/>
            <w:hideMark/>
          </w:tcPr>
          <w:p w14:paraId="08EA0ED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FEKP.02.18-IZ.00-022/23</w:t>
            </w:r>
          </w:p>
        </w:tc>
        <w:tc>
          <w:tcPr>
            <w:tcW w:w="340" w:type="pct"/>
            <w:tcBorders>
              <w:top w:val="nil"/>
              <w:left w:val="single" w:sz="8" w:space="0" w:color="0F14D2"/>
              <w:bottom w:val="single" w:sz="8" w:space="0" w:color="0F14D2"/>
              <w:right w:val="single" w:sz="8" w:space="0" w:color="0F14D2"/>
            </w:tcBorders>
            <w:noWrap/>
            <w:vAlign w:val="center"/>
            <w:hideMark/>
          </w:tcPr>
          <w:p w14:paraId="1648444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6D6FCFB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02.18 (EFRR)</w:t>
            </w:r>
          </w:p>
        </w:tc>
        <w:tc>
          <w:tcPr>
            <w:tcW w:w="291" w:type="pct"/>
            <w:tcBorders>
              <w:top w:val="nil"/>
              <w:left w:val="nil"/>
              <w:bottom w:val="single" w:sz="8" w:space="0" w:color="0F14D2"/>
              <w:right w:val="single" w:sz="8" w:space="0" w:color="0F14D2"/>
            </w:tcBorders>
            <w:noWrap/>
            <w:vAlign w:val="center"/>
            <w:hideMark/>
          </w:tcPr>
          <w:p w14:paraId="757FEE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47EF800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4A102AB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Wymiana i modernizacja źródeł ciepła</w:t>
            </w:r>
          </w:p>
        </w:tc>
        <w:tc>
          <w:tcPr>
            <w:tcW w:w="388" w:type="pct"/>
            <w:tcBorders>
              <w:top w:val="nil"/>
              <w:left w:val="nil"/>
              <w:bottom w:val="single" w:sz="8" w:space="0" w:color="0F14D2"/>
              <w:right w:val="single" w:sz="8" w:space="0" w:color="0F14D2"/>
            </w:tcBorders>
            <w:vAlign w:val="center"/>
            <w:hideMark/>
          </w:tcPr>
          <w:p w14:paraId="6942BC7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4044035B" w14:textId="2B8CCBF8"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0C419EC4" w14:textId="6F92995B"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C747D79" w14:textId="0C69FCB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07.07.2023</w:t>
            </w:r>
          </w:p>
        </w:tc>
        <w:tc>
          <w:tcPr>
            <w:tcW w:w="437" w:type="pct"/>
            <w:tcBorders>
              <w:top w:val="nil"/>
              <w:left w:val="nil"/>
              <w:bottom w:val="single" w:sz="8" w:space="0" w:color="0F14D2"/>
              <w:right w:val="single" w:sz="8" w:space="0" w:color="0F14D2"/>
            </w:tcBorders>
            <w:vAlign w:val="center"/>
            <w:hideMark/>
          </w:tcPr>
          <w:p w14:paraId="2BFE749C" w14:textId="7250A8C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29.03.2024</w:t>
            </w:r>
          </w:p>
        </w:tc>
        <w:tc>
          <w:tcPr>
            <w:tcW w:w="485" w:type="pct"/>
            <w:tcBorders>
              <w:top w:val="nil"/>
              <w:left w:val="nil"/>
              <w:bottom w:val="single" w:sz="8" w:space="0" w:color="0F14D2"/>
              <w:right w:val="single" w:sz="8" w:space="0" w:color="0F14D2"/>
            </w:tcBorders>
            <w:vAlign w:val="center"/>
            <w:hideMark/>
          </w:tcPr>
          <w:p w14:paraId="5BCC3C7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14 993 600,00</w:t>
            </w:r>
          </w:p>
        </w:tc>
      </w:tr>
      <w:tr w:rsidR="000B435E" w:rsidRPr="003E3BD7" w14:paraId="79DC0D57"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CEEAE5E"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20</w:t>
            </w:r>
          </w:p>
        </w:tc>
        <w:tc>
          <w:tcPr>
            <w:tcW w:w="436" w:type="pct"/>
            <w:tcBorders>
              <w:top w:val="nil"/>
              <w:left w:val="single" w:sz="8" w:space="0" w:color="0F14D2"/>
              <w:bottom w:val="single" w:sz="8" w:space="0" w:color="0F14D2"/>
              <w:right w:val="nil"/>
            </w:tcBorders>
            <w:vAlign w:val="center"/>
            <w:hideMark/>
          </w:tcPr>
          <w:p w14:paraId="7BA430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FEKP.02.18-IZ.00-090/24</w:t>
            </w:r>
          </w:p>
        </w:tc>
        <w:tc>
          <w:tcPr>
            <w:tcW w:w="340" w:type="pct"/>
            <w:tcBorders>
              <w:top w:val="nil"/>
              <w:left w:val="single" w:sz="8" w:space="0" w:color="0F14D2"/>
              <w:bottom w:val="single" w:sz="8" w:space="0" w:color="0F14D2"/>
              <w:right w:val="single" w:sz="8" w:space="0" w:color="0F14D2"/>
            </w:tcBorders>
            <w:noWrap/>
            <w:vAlign w:val="center"/>
            <w:hideMark/>
          </w:tcPr>
          <w:p w14:paraId="64D63B1F"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9A700D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02.18 (EFRR)</w:t>
            </w:r>
          </w:p>
        </w:tc>
        <w:tc>
          <w:tcPr>
            <w:tcW w:w="291" w:type="pct"/>
            <w:tcBorders>
              <w:top w:val="nil"/>
              <w:left w:val="nil"/>
              <w:bottom w:val="single" w:sz="8" w:space="0" w:color="0F14D2"/>
              <w:right w:val="single" w:sz="8" w:space="0" w:color="0F14D2"/>
            </w:tcBorders>
            <w:noWrap/>
            <w:vAlign w:val="center"/>
            <w:hideMark/>
          </w:tcPr>
          <w:p w14:paraId="66D7CC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Efektywność energetyczna</w:t>
            </w:r>
          </w:p>
        </w:tc>
        <w:tc>
          <w:tcPr>
            <w:tcW w:w="486" w:type="pct"/>
            <w:tcBorders>
              <w:top w:val="nil"/>
              <w:left w:val="nil"/>
              <w:bottom w:val="single" w:sz="8" w:space="0" w:color="0F14D2"/>
              <w:right w:val="single" w:sz="8" w:space="0" w:color="0F14D2"/>
            </w:tcBorders>
            <w:vAlign w:val="center"/>
            <w:hideMark/>
          </w:tcPr>
          <w:p w14:paraId="7FD819F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206884C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Ciepłownie, sieci ciepłownicze i efektywność energetyczna budynków komunalnych OPPT</w:t>
            </w:r>
          </w:p>
        </w:tc>
        <w:tc>
          <w:tcPr>
            <w:tcW w:w="388" w:type="pct"/>
            <w:tcBorders>
              <w:top w:val="nil"/>
              <w:left w:val="nil"/>
              <w:bottom w:val="single" w:sz="8" w:space="0" w:color="0F14D2"/>
              <w:right w:val="single" w:sz="8" w:space="0" w:color="0F14D2"/>
            </w:tcBorders>
            <w:vAlign w:val="center"/>
            <w:hideMark/>
          </w:tcPr>
          <w:p w14:paraId="64BB7A5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750916E" w14:textId="7C08183E"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38E7E32E" w14:textId="09AF4AE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3033AB9" w14:textId="6505DFD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10.01.2024</w:t>
            </w:r>
          </w:p>
        </w:tc>
        <w:tc>
          <w:tcPr>
            <w:tcW w:w="437" w:type="pct"/>
            <w:tcBorders>
              <w:top w:val="nil"/>
              <w:left w:val="nil"/>
              <w:bottom w:val="single" w:sz="8" w:space="0" w:color="0F14D2"/>
              <w:right w:val="single" w:sz="8" w:space="0" w:color="0F14D2"/>
            </w:tcBorders>
            <w:vAlign w:val="center"/>
            <w:hideMark/>
          </w:tcPr>
          <w:p w14:paraId="1DF08AF9" w14:textId="3D11897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31.07.2024</w:t>
            </w:r>
          </w:p>
        </w:tc>
        <w:tc>
          <w:tcPr>
            <w:tcW w:w="485" w:type="pct"/>
            <w:tcBorders>
              <w:top w:val="nil"/>
              <w:left w:val="nil"/>
              <w:bottom w:val="single" w:sz="8" w:space="0" w:color="0F14D2"/>
              <w:right w:val="single" w:sz="8" w:space="0" w:color="0F14D2"/>
            </w:tcBorders>
            <w:vAlign w:val="center"/>
            <w:hideMark/>
          </w:tcPr>
          <w:p w14:paraId="30103C0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9 058 955,41</w:t>
            </w:r>
          </w:p>
        </w:tc>
      </w:tr>
      <w:tr w:rsidR="000B435E" w:rsidRPr="003E3BD7" w14:paraId="7699CC3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9F8CE4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21</w:t>
            </w:r>
          </w:p>
        </w:tc>
        <w:tc>
          <w:tcPr>
            <w:tcW w:w="436" w:type="pct"/>
            <w:tcBorders>
              <w:top w:val="nil"/>
              <w:left w:val="single" w:sz="8" w:space="0" w:color="0F14D2"/>
              <w:bottom w:val="single" w:sz="8" w:space="0" w:color="0F14D2"/>
              <w:right w:val="nil"/>
            </w:tcBorders>
            <w:vAlign w:val="center"/>
            <w:hideMark/>
          </w:tcPr>
          <w:p w14:paraId="290E1D1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FEKP.02.19-IZ.00-092/24</w:t>
            </w:r>
          </w:p>
        </w:tc>
        <w:tc>
          <w:tcPr>
            <w:tcW w:w="340" w:type="pct"/>
            <w:tcBorders>
              <w:top w:val="nil"/>
              <w:left w:val="single" w:sz="8" w:space="0" w:color="0F14D2"/>
              <w:bottom w:val="single" w:sz="8" w:space="0" w:color="0F14D2"/>
              <w:right w:val="single" w:sz="8" w:space="0" w:color="0F14D2"/>
            </w:tcBorders>
            <w:noWrap/>
            <w:vAlign w:val="center"/>
            <w:hideMark/>
          </w:tcPr>
          <w:p w14:paraId="1D7E9DAD"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D73B0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02.19 (EFRR)</w:t>
            </w:r>
          </w:p>
        </w:tc>
        <w:tc>
          <w:tcPr>
            <w:tcW w:w="291" w:type="pct"/>
            <w:tcBorders>
              <w:top w:val="nil"/>
              <w:left w:val="nil"/>
              <w:bottom w:val="single" w:sz="8" w:space="0" w:color="0F14D2"/>
              <w:right w:val="single" w:sz="8" w:space="0" w:color="0F14D2"/>
            </w:tcBorders>
            <w:noWrap/>
            <w:vAlign w:val="center"/>
            <w:hideMark/>
          </w:tcPr>
          <w:p w14:paraId="7A4D5A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w:t>
            </w:r>
          </w:p>
        </w:tc>
        <w:tc>
          <w:tcPr>
            <w:tcW w:w="486" w:type="pct"/>
            <w:tcBorders>
              <w:top w:val="nil"/>
              <w:left w:val="nil"/>
              <w:bottom w:val="single" w:sz="8" w:space="0" w:color="0F14D2"/>
              <w:right w:val="single" w:sz="8" w:space="0" w:color="0F14D2"/>
            </w:tcBorders>
            <w:vAlign w:val="center"/>
            <w:hideMark/>
          </w:tcPr>
          <w:p w14:paraId="04884F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7C58162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Adaptacja do zmian klimatu w miastach OPPT</w:t>
            </w:r>
          </w:p>
        </w:tc>
        <w:tc>
          <w:tcPr>
            <w:tcW w:w="388" w:type="pct"/>
            <w:tcBorders>
              <w:top w:val="nil"/>
              <w:left w:val="nil"/>
              <w:bottom w:val="single" w:sz="8" w:space="0" w:color="0F14D2"/>
              <w:right w:val="single" w:sz="8" w:space="0" w:color="0F14D2"/>
            </w:tcBorders>
            <w:vAlign w:val="center"/>
            <w:hideMark/>
          </w:tcPr>
          <w:p w14:paraId="5A57427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09EB1B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4314A06F" w14:textId="6D72D272"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95B8BD5" w14:textId="188154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18102520" w14:textId="73D6A8E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26.07.2024</w:t>
            </w:r>
          </w:p>
        </w:tc>
        <w:tc>
          <w:tcPr>
            <w:tcW w:w="485" w:type="pct"/>
            <w:tcBorders>
              <w:top w:val="nil"/>
              <w:left w:val="nil"/>
              <w:bottom w:val="single" w:sz="8" w:space="0" w:color="0F14D2"/>
              <w:right w:val="single" w:sz="8" w:space="0" w:color="0F14D2"/>
            </w:tcBorders>
            <w:vAlign w:val="center"/>
            <w:hideMark/>
          </w:tcPr>
          <w:p w14:paraId="3E6CFFB0"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28 546 928,74</w:t>
            </w:r>
          </w:p>
        </w:tc>
      </w:tr>
      <w:tr w:rsidR="000B435E" w:rsidRPr="003E3BD7" w14:paraId="688A0EAA"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53C4C8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22</w:t>
            </w:r>
          </w:p>
        </w:tc>
        <w:tc>
          <w:tcPr>
            <w:tcW w:w="436" w:type="pct"/>
            <w:tcBorders>
              <w:top w:val="nil"/>
              <w:left w:val="single" w:sz="8" w:space="0" w:color="0F14D2"/>
              <w:bottom w:val="single" w:sz="8" w:space="0" w:color="0F14D2"/>
              <w:right w:val="nil"/>
            </w:tcBorders>
            <w:vAlign w:val="center"/>
            <w:hideMark/>
          </w:tcPr>
          <w:p w14:paraId="755166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FEKP.03.01-IP.02-013/24</w:t>
            </w:r>
          </w:p>
        </w:tc>
        <w:tc>
          <w:tcPr>
            <w:tcW w:w="340" w:type="pct"/>
            <w:tcBorders>
              <w:top w:val="nil"/>
              <w:left w:val="single" w:sz="8" w:space="0" w:color="0F14D2"/>
              <w:bottom w:val="single" w:sz="8" w:space="0" w:color="0F14D2"/>
              <w:right w:val="single" w:sz="8" w:space="0" w:color="0F14D2"/>
            </w:tcBorders>
            <w:noWrap/>
            <w:vAlign w:val="center"/>
            <w:hideMark/>
          </w:tcPr>
          <w:p w14:paraId="4ED0A68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5921B8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03.01 (EFRR)</w:t>
            </w:r>
          </w:p>
        </w:tc>
        <w:tc>
          <w:tcPr>
            <w:tcW w:w="291" w:type="pct"/>
            <w:tcBorders>
              <w:top w:val="nil"/>
              <w:left w:val="nil"/>
              <w:bottom w:val="single" w:sz="8" w:space="0" w:color="0F14D2"/>
              <w:right w:val="single" w:sz="8" w:space="0" w:color="0F14D2"/>
            </w:tcBorders>
            <w:noWrap/>
            <w:vAlign w:val="center"/>
            <w:hideMark/>
          </w:tcPr>
          <w:p w14:paraId="41360B1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51553C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4E0EADA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przeznaczona dla rowerów (BydOF-IP)</w:t>
            </w:r>
          </w:p>
        </w:tc>
        <w:tc>
          <w:tcPr>
            <w:tcW w:w="388" w:type="pct"/>
            <w:tcBorders>
              <w:top w:val="nil"/>
              <w:left w:val="nil"/>
              <w:bottom w:val="single" w:sz="8" w:space="0" w:color="0F14D2"/>
              <w:right w:val="single" w:sz="8" w:space="0" w:color="0F14D2"/>
            </w:tcBorders>
            <w:vAlign w:val="center"/>
            <w:hideMark/>
          </w:tcPr>
          <w:p w14:paraId="2427E4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97271B4" w14:textId="031D04AB"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2680CCE6" w14:textId="6B2C46E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6416A79" w14:textId="721C379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31.05.2024</w:t>
            </w:r>
          </w:p>
        </w:tc>
        <w:tc>
          <w:tcPr>
            <w:tcW w:w="437" w:type="pct"/>
            <w:tcBorders>
              <w:top w:val="nil"/>
              <w:left w:val="nil"/>
              <w:bottom w:val="single" w:sz="8" w:space="0" w:color="0F14D2"/>
              <w:right w:val="single" w:sz="8" w:space="0" w:color="0F14D2"/>
            </w:tcBorders>
            <w:vAlign w:val="center"/>
            <w:hideMark/>
          </w:tcPr>
          <w:p w14:paraId="069E7269" w14:textId="2E28BF2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29.08.2024</w:t>
            </w:r>
          </w:p>
        </w:tc>
        <w:tc>
          <w:tcPr>
            <w:tcW w:w="485" w:type="pct"/>
            <w:tcBorders>
              <w:top w:val="nil"/>
              <w:left w:val="nil"/>
              <w:bottom w:val="single" w:sz="8" w:space="0" w:color="0F14D2"/>
              <w:right w:val="single" w:sz="8" w:space="0" w:color="0F14D2"/>
            </w:tcBorders>
            <w:vAlign w:val="center"/>
            <w:hideMark/>
          </w:tcPr>
          <w:p w14:paraId="0797E07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35 943 375,89</w:t>
            </w:r>
          </w:p>
        </w:tc>
      </w:tr>
      <w:tr w:rsidR="000B435E" w:rsidRPr="003E3BD7" w14:paraId="0D1588A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36171C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23</w:t>
            </w:r>
          </w:p>
        </w:tc>
        <w:tc>
          <w:tcPr>
            <w:tcW w:w="436" w:type="pct"/>
            <w:tcBorders>
              <w:top w:val="nil"/>
              <w:left w:val="single" w:sz="8" w:space="0" w:color="0F14D2"/>
              <w:bottom w:val="single" w:sz="8" w:space="0" w:color="0F14D2"/>
              <w:right w:val="nil"/>
            </w:tcBorders>
            <w:vAlign w:val="center"/>
            <w:hideMark/>
          </w:tcPr>
          <w:p w14:paraId="1C56362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FEKP.03.01-IP.02-014/24</w:t>
            </w:r>
          </w:p>
        </w:tc>
        <w:tc>
          <w:tcPr>
            <w:tcW w:w="340" w:type="pct"/>
            <w:tcBorders>
              <w:top w:val="nil"/>
              <w:left w:val="single" w:sz="8" w:space="0" w:color="0F14D2"/>
              <w:bottom w:val="single" w:sz="8" w:space="0" w:color="0F14D2"/>
              <w:right w:val="single" w:sz="8" w:space="0" w:color="0F14D2"/>
            </w:tcBorders>
            <w:noWrap/>
            <w:vAlign w:val="center"/>
            <w:hideMark/>
          </w:tcPr>
          <w:p w14:paraId="326881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6E2CF9B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03.01 (EFRR)</w:t>
            </w:r>
          </w:p>
        </w:tc>
        <w:tc>
          <w:tcPr>
            <w:tcW w:w="291" w:type="pct"/>
            <w:tcBorders>
              <w:top w:val="nil"/>
              <w:left w:val="nil"/>
              <w:bottom w:val="single" w:sz="8" w:space="0" w:color="0F14D2"/>
              <w:right w:val="single" w:sz="8" w:space="0" w:color="0F14D2"/>
            </w:tcBorders>
            <w:noWrap/>
            <w:vAlign w:val="center"/>
            <w:hideMark/>
          </w:tcPr>
          <w:p w14:paraId="4E73C6D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4A9F907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6675790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Projekty z zakresu rozwoju i usprawnienia systemu transportu miejskiego BydOF – IP</w:t>
            </w:r>
          </w:p>
        </w:tc>
        <w:tc>
          <w:tcPr>
            <w:tcW w:w="388" w:type="pct"/>
            <w:tcBorders>
              <w:top w:val="nil"/>
              <w:left w:val="nil"/>
              <w:bottom w:val="single" w:sz="8" w:space="0" w:color="0F14D2"/>
              <w:right w:val="single" w:sz="8" w:space="0" w:color="0F14D2"/>
            </w:tcBorders>
            <w:vAlign w:val="center"/>
            <w:hideMark/>
          </w:tcPr>
          <w:p w14:paraId="43B0AE9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C261D9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0D4ACC35" w14:textId="5683C561"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988BB57" w14:textId="261DAA2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14.06.2024</w:t>
            </w:r>
          </w:p>
        </w:tc>
        <w:tc>
          <w:tcPr>
            <w:tcW w:w="437" w:type="pct"/>
            <w:tcBorders>
              <w:top w:val="nil"/>
              <w:left w:val="nil"/>
              <w:bottom w:val="single" w:sz="8" w:space="0" w:color="0F14D2"/>
              <w:right w:val="single" w:sz="8" w:space="0" w:color="0F14D2"/>
            </w:tcBorders>
            <w:vAlign w:val="center"/>
            <w:hideMark/>
          </w:tcPr>
          <w:p w14:paraId="5D87A0EA" w14:textId="0A23295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12.09.2024</w:t>
            </w:r>
          </w:p>
        </w:tc>
        <w:tc>
          <w:tcPr>
            <w:tcW w:w="485" w:type="pct"/>
            <w:tcBorders>
              <w:top w:val="nil"/>
              <w:left w:val="nil"/>
              <w:bottom w:val="single" w:sz="8" w:space="0" w:color="0F14D2"/>
              <w:right w:val="single" w:sz="8" w:space="0" w:color="0F14D2"/>
            </w:tcBorders>
            <w:vAlign w:val="center"/>
            <w:hideMark/>
          </w:tcPr>
          <w:p w14:paraId="3735269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7 946 306,21</w:t>
            </w:r>
          </w:p>
        </w:tc>
      </w:tr>
      <w:tr w:rsidR="000B435E" w:rsidRPr="003E3BD7" w14:paraId="4048340A"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E2851C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24</w:t>
            </w:r>
          </w:p>
        </w:tc>
        <w:tc>
          <w:tcPr>
            <w:tcW w:w="436" w:type="pct"/>
            <w:tcBorders>
              <w:top w:val="nil"/>
              <w:left w:val="single" w:sz="8" w:space="0" w:color="0F14D2"/>
              <w:bottom w:val="single" w:sz="8" w:space="0" w:color="0F14D2"/>
              <w:right w:val="nil"/>
            </w:tcBorders>
            <w:vAlign w:val="center"/>
            <w:hideMark/>
          </w:tcPr>
          <w:p w14:paraId="3BD6E4D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FEKP.03.02-IZ.00-043/23</w:t>
            </w:r>
          </w:p>
        </w:tc>
        <w:tc>
          <w:tcPr>
            <w:tcW w:w="340" w:type="pct"/>
            <w:tcBorders>
              <w:top w:val="nil"/>
              <w:left w:val="single" w:sz="8" w:space="0" w:color="0F14D2"/>
              <w:bottom w:val="single" w:sz="8" w:space="0" w:color="0F14D2"/>
              <w:right w:val="single" w:sz="8" w:space="0" w:color="0F14D2"/>
            </w:tcBorders>
            <w:noWrap/>
            <w:vAlign w:val="center"/>
            <w:hideMark/>
          </w:tcPr>
          <w:p w14:paraId="3E16BF63"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9B90F4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1B8C209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69CAF5C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2A42D01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Tabor na potrzeby czystej komunikacji miejskiej</w:t>
            </w:r>
          </w:p>
        </w:tc>
        <w:tc>
          <w:tcPr>
            <w:tcW w:w="388" w:type="pct"/>
            <w:tcBorders>
              <w:top w:val="nil"/>
              <w:left w:val="nil"/>
              <w:bottom w:val="single" w:sz="8" w:space="0" w:color="0F14D2"/>
              <w:right w:val="single" w:sz="8" w:space="0" w:color="0F14D2"/>
            </w:tcBorders>
            <w:vAlign w:val="center"/>
            <w:hideMark/>
          </w:tcPr>
          <w:p w14:paraId="6036008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2BF5D1E" w14:textId="03689B63"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5263F71A" w14:textId="03FD075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00B8AEB" w14:textId="3652155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17.08.2023</w:t>
            </w:r>
          </w:p>
        </w:tc>
        <w:tc>
          <w:tcPr>
            <w:tcW w:w="437" w:type="pct"/>
            <w:tcBorders>
              <w:top w:val="nil"/>
              <w:left w:val="nil"/>
              <w:bottom w:val="single" w:sz="8" w:space="0" w:color="0F14D2"/>
              <w:right w:val="single" w:sz="8" w:space="0" w:color="0F14D2"/>
            </w:tcBorders>
            <w:vAlign w:val="center"/>
            <w:hideMark/>
          </w:tcPr>
          <w:p w14:paraId="35DD377B" w14:textId="51FDF19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11.03.2024</w:t>
            </w:r>
          </w:p>
        </w:tc>
        <w:tc>
          <w:tcPr>
            <w:tcW w:w="485" w:type="pct"/>
            <w:tcBorders>
              <w:top w:val="nil"/>
              <w:left w:val="nil"/>
              <w:bottom w:val="single" w:sz="8" w:space="0" w:color="0F14D2"/>
              <w:right w:val="single" w:sz="8" w:space="0" w:color="0F14D2"/>
            </w:tcBorders>
            <w:vAlign w:val="center"/>
            <w:hideMark/>
          </w:tcPr>
          <w:p w14:paraId="02A648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123 536 571,69</w:t>
            </w:r>
          </w:p>
        </w:tc>
      </w:tr>
      <w:tr w:rsidR="000B435E" w:rsidRPr="003E3BD7" w14:paraId="2F366447"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D014737"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lastRenderedPageBreak/>
              <w:t>25</w:t>
            </w:r>
          </w:p>
        </w:tc>
        <w:tc>
          <w:tcPr>
            <w:tcW w:w="436" w:type="pct"/>
            <w:tcBorders>
              <w:top w:val="nil"/>
              <w:left w:val="single" w:sz="8" w:space="0" w:color="0F14D2"/>
              <w:bottom w:val="single" w:sz="8" w:space="0" w:color="0F14D2"/>
              <w:right w:val="nil"/>
            </w:tcBorders>
            <w:vAlign w:val="center"/>
            <w:hideMark/>
          </w:tcPr>
          <w:p w14:paraId="2515E2D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FEKP.03.02-IZ.00-086/24</w:t>
            </w:r>
          </w:p>
        </w:tc>
        <w:tc>
          <w:tcPr>
            <w:tcW w:w="340" w:type="pct"/>
            <w:tcBorders>
              <w:top w:val="nil"/>
              <w:left w:val="single" w:sz="8" w:space="0" w:color="0F14D2"/>
              <w:bottom w:val="single" w:sz="8" w:space="0" w:color="0F14D2"/>
              <w:right w:val="single" w:sz="8" w:space="0" w:color="0F14D2"/>
            </w:tcBorders>
            <w:noWrap/>
            <w:vAlign w:val="center"/>
            <w:hideMark/>
          </w:tcPr>
          <w:p w14:paraId="53AB63F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126ADC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73E4B9B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28B4FA2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41ED297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Rozwój i usprawnienie mobilności miejskiej i podmiejskiej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425DAEA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F01008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047DEAB4" w14:textId="5B4726C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50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DA19C95" w14:textId="10ED34B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6C00EBE0" w14:textId="29A932F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7A65D20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52 632 646,00</w:t>
            </w:r>
          </w:p>
        </w:tc>
      </w:tr>
      <w:tr w:rsidR="000B435E" w:rsidRPr="003E3BD7" w14:paraId="511D831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4B1D1A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26</w:t>
            </w:r>
          </w:p>
        </w:tc>
        <w:tc>
          <w:tcPr>
            <w:tcW w:w="436" w:type="pct"/>
            <w:tcBorders>
              <w:top w:val="nil"/>
              <w:left w:val="single" w:sz="8" w:space="0" w:color="0F14D2"/>
              <w:bottom w:val="single" w:sz="8" w:space="0" w:color="0F14D2"/>
              <w:right w:val="nil"/>
            </w:tcBorders>
            <w:vAlign w:val="center"/>
            <w:hideMark/>
          </w:tcPr>
          <w:p w14:paraId="44C4058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FEKP.03.02-IZ.00-168/24</w:t>
            </w:r>
          </w:p>
        </w:tc>
        <w:tc>
          <w:tcPr>
            <w:tcW w:w="340" w:type="pct"/>
            <w:tcBorders>
              <w:top w:val="nil"/>
              <w:left w:val="single" w:sz="8" w:space="0" w:color="0F14D2"/>
              <w:bottom w:val="single" w:sz="8" w:space="0" w:color="0F14D2"/>
              <w:right w:val="single" w:sz="8" w:space="0" w:color="0F14D2"/>
            </w:tcBorders>
            <w:noWrap/>
            <w:vAlign w:val="center"/>
            <w:hideMark/>
          </w:tcPr>
          <w:p w14:paraId="2F14BF12"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49F2E3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03.02 (EFRR)</w:t>
            </w:r>
          </w:p>
        </w:tc>
        <w:tc>
          <w:tcPr>
            <w:tcW w:w="291" w:type="pct"/>
            <w:tcBorders>
              <w:top w:val="nil"/>
              <w:left w:val="nil"/>
              <w:bottom w:val="single" w:sz="8" w:space="0" w:color="0F14D2"/>
              <w:right w:val="single" w:sz="8" w:space="0" w:color="0F14D2"/>
            </w:tcBorders>
            <w:noWrap/>
            <w:vAlign w:val="center"/>
            <w:hideMark/>
          </w:tcPr>
          <w:p w14:paraId="0618A1F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7A09FFF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CAE21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przeznaczona dla rowerów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6F375D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A152B4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w:t>
            </w:r>
          </w:p>
        </w:tc>
        <w:tc>
          <w:tcPr>
            <w:tcW w:w="292" w:type="pct"/>
            <w:tcBorders>
              <w:top w:val="nil"/>
              <w:left w:val="nil"/>
              <w:bottom w:val="single" w:sz="8" w:space="0" w:color="0F14D2"/>
              <w:right w:val="single" w:sz="8" w:space="0" w:color="0F14D2"/>
            </w:tcBorders>
            <w:vAlign w:val="center"/>
            <w:hideMark/>
          </w:tcPr>
          <w:p w14:paraId="59292A9D" w14:textId="06527BA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B54A640" w14:textId="6F385F7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13.12.2024</w:t>
            </w:r>
          </w:p>
        </w:tc>
        <w:tc>
          <w:tcPr>
            <w:tcW w:w="437" w:type="pct"/>
            <w:tcBorders>
              <w:top w:val="nil"/>
              <w:left w:val="nil"/>
              <w:bottom w:val="single" w:sz="8" w:space="0" w:color="0F14D2"/>
              <w:right w:val="single" w:sz="8" w:space="0" w:color="0F14D2"/>
            </w:tcBorders>
            <w:vAlign w:val="center"/>
            <w:hideMark/>
          </w:tcPr>
          <w:p w14:paraId="197A973B" w14:textId="0416D69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22.01.2025</w:t>
            </w:r>
          </w:p>
        </w:tc>
        <w:tc>
          <w:tcPr>
            <w:tcW w:w="485" w:type="pct"/>
            <w:tcBorders>
              <w:top w:val="nil"/>
              <w:left w:val="nil"/>
              <w:bottom w:val="single" w:sz="8" w:space="0" w:color="0F14D2"/>
              <w:right w:val="single" w:sz="8" w:space="0" w:color="0F14D2"/>
            </w:tcBorders>
            <w:vAlign w:val="center"/>
            <w:hideMark/>
          </w:tcPr>
          <w:p w14:paraId="0F086BD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20 804 240,19</w:t>
            </w:r>
          </w:p>
        </w:tc>
      </w:tr>
      <w:tr w:rsidR="000B435E" w:rsidRPr="003E3BD7" w14:paraId="73B5D096"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43B432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27</w:t>
            </w:r>
          </w:p>
        </w:tc>
        <w:tc>
          <w:tcPr>
            <w:tcW w:w="436" w:type="pct"/>
            <w:tcBorders>
              <w:top w:val="nil"/>
              <w:left w:val="single" w:sz="8" w:space="0" w:color="0F14D2"/>
              <w:bottom w:val="single" w:sz="8" w:space="0" w:color="0F14D2"/>
              <w:right w:val="nil"/>
            </w:tcBorders>
            <w:vAlign w:val="center"/>
            <w:hideMark/>
          </w:tcPr>
          <w:p w14:paraId="208D012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FEKP.03.03-IZ.00-044/23</w:t>
            </w:r>
          </w:p>
        </w:tc>
        <w:tc>
          <w:tcPr>
            <w:tcW w:w="340" w:type="pct"/>
            <w:tcBorders>
              <w:top w:val="nil"/>
              <w:left w:val="single" w:sz="8" w:space="0" w:color="0F14D2"/>
              <w:bottom w:val="single" w:sz="8" w:space="0" w:color="0F14D2"/>
              <w:right w:val="single" w:sz="8" w:space="0" w:color="0F14D2"/>
            </w:tcBorders>
            <w:noWrap/>
            <w:vAlign w:val="center"/>
            <w:hideMark/>
          </w:tcPr>
          <w:p w14:paraId="5C72B72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37E8EF3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03.03 (EFRR)</w:t>
            </w:r>
          </w:p>
        </w:tc>
        <w:tc>
          <w:tcPr>
            <w:tcW w:w="291" w:type="pct"/>
            <w:tcBorders>
              <w:top w:val="nil"/>
              <w:left w:val="nil"/>
              <w:bottom w:val="single" w:sz="8" w:space="0" w:color="0F14D2"/>
              <w:right w:val="single" w:sz="8" w:space="0" w:color="0F14D2"/>
            </w:tcBorders>
            <w:noWrap/>
            <w:vAlign w:val="center"/>
            <w:hideMark/>
          </w:tcPr>
          <w:p w14:paraId="7E2D021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1FB61D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289C355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Tabor na potrzeby czystej komunikacji miejskiej</w:t>
            </w:r>
          </w:p>
        </w:tc>
        <w:tc>
          <w:tcPr>
            <w:tcW w:w="388" w:type="pct"/>
            <w:tcBorders>
              <w:top w:val="nil"/>
              <w:left w:val="nil"/>
              <w:bottom w:val="single" w:sz="8" w:space="0" w:color="0F14D2"/>
              <w:right w:val="single" w:sz="8" w:space="0" w:color="0F14D2"/>
            </w:tcBorders>
            <w:vAlign w:val="center"/>
            <w:hideMark/>
          </w:tcPr>
          <w:p w14:paraId="0BB7CB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5167A0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A54CE03" w14:textId="30314D03"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2703702" w14:textId="20A157B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17.08.2023</w:t>
            </w:r>
          </w:p>
        </w:tc>
        <w:tc>
          <w:tcPr>
            <w:tcW w:w="437" w:type="pct"/>
            <w:tcBorders>
              <w:top w:val="nil"/>
              <w:left w:val="nil"/>
              <w:bottom w:val="single" w:sz="8" w:space="0" w:color="0F14D2"/>
              <w:right w:val="single" w:sz="8" w:space="0" w:color="0F14D2"/>
            </w:tcBorders>
            <w:vAlign w:val="center"/>
            <w:hideMark/>
          </w:tcPr>
          <w:p w14:paraId="35FB3379" w14:textId="0374C56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11.03.2024</w:t>
            </w:r>
          </w:p>
        </w:tc>
        <w:tc>
          <w:tcPr>
            <w:tcW w:w="485" w:type="pct"/>
            <w:tcBorders>
              <w:top w:val="nil"/>
              <w:left w:val="nil"/>
              <w:bottom w:val="single" w:sz="8" w:space="0" w:color="0F14D2"/>
              <w:right w:val="single" w:sz="8" w:space="0" w:color="0F14D2"/>
            </w:tcBorders>
            <w:vAlign w:val="center"/>
            <w:hideMark/>
          </w:tcPr>
          <w:p w14:paraId="00F28A7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11 896 681,29</w:t>
            </w:r>
          </w:p>
        </w:tc>
      </w:tr>
      <w:tr w:rsidR="000B435E" w:rsidRPr="003E3BD7" w14:paraId="5357AD1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1100BE6"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28</w:t>
            </w:r>
          </w:p>
        </w:tc>
        <w:tc>
          <w:tcPr>
            <w:tcW w:w="436" w:type="pct"/>
            <w:tcBorders>
              <w:top w:val="nil"/>
              <w:left w:val="single" w:sz="8" w:space="0" w:color="0F14D2"/>
              <w:bottom w:val="single" w:sz="8" w:space="0" w:color="0F14D2"/>
              <w:right w:val="nil"/>
            </w:tcBorders>
            <w:vAlign w:val="center"/>
            <w:hideMark/>
          </w:tcPr>
          <w:p w14:paraId="7FA529E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FEKP.03.03-IZ.00-085/24</w:t>
            </w:r>
          </w:p>
        </w:tc>
        <w:tc>
          <w:tcPr>
            <w:tcW w:w="340" w:type="pct"/>
            <w:tcBorders>
              <w:top w:val="nil"/>
              <w:left w:val="single" w:sz="8" w:space="0" w:color="0F14D2"/>
              <w:bottom w:val="single" w:sz="8" w:space="0" w:color="0F14D2"/>
              <w:right w:val="single" w:sz="8" w:space="0" w:color="0F14D2"/>
            </w:tcBorders>
            <w:noWrap/>
            <w:vAlign w:val="center"/>
            <w:hideMark/>
          </w:tcPr>
          <w:p w14:paraId="7E4486D5"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5F5A16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03.03 (EFRR)</w:t>
            </w:r>
          </w:p>
        </w:tc>
        <w:tc>
          <w:tcPr>
            <w:tcW w:w="291" w:type="pct"/>
            <w:tcBorders>
              <w:top w:val="nil"/>
              <w:left w:val="nil"/>
              <w:bottom w:val="single" w:sz="8" w:space="0" w:color="0F14D2"/>
              <w:right w:val="single" w:sz="8" w:space="0" w:color="0F14D2"/>
            </w:tcBorders>
            <w:noWrap/>
            <w:vAlign w:val="center"/>
            <w:hideMark/>
          </w:tcPr>
          <w:p w14:paraId="5B3CAD6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Mobilność miejska</w:t>
            </w:r>
          </w:p>
        </w:tc>
        <w:tc>
          <w:tcPr>
            <w:tcW w:w="486" w:type="pct"/>
            <w:tcBorders>
              <w:top w:val="nil"/>
              <w:left w:val="nil"/>
              <w:bottom w:val="single" w:sz="8" w:space="0" w:color="0F14D2"/>
              <w:right w:val="single" w:sz="8" w:space="0" w:color="0F14D2"/>
            </w:tcBorders>
            <w:vAlign w:val="center"/>
            <w:hideMark/>
          </w:tcPr>
          <w:p w14:paraId="41D608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4B0BA2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 usprawnienie mobilności miejskiej i podmiejskiej OPPT</w:t>
            </w:r>
          </w:p>
        </w:tc>
        <w:tc>
          <w:tcPr>
            <w:tcW w:w="388" w:type="pct"/>
            <w:tcBorders>
              <w:top w:val="nil"/>
              <w:left w:val="nil"/>
              <w:bottom w:val="single" w:sz="8" w:space="0" w:color="0F14D2"/>
              <w:right w:val="single" w:sz="8" w:space="0" w:color="0F14D2"/>
            </w:tcBorders>
            <w:vAlign w:val="center"/>
            <w:hideMark/>
          </w:tcPr>
          <w:p w14:paraId="186572E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6F6959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w:t>
            </w:r>
          </w:p>
        </w:tc>
        <w:tc>
          <w:tcPr>
            <w:tcW w:w="292" w:type="pct"/>
            <w:tcBorders>
              <w:top w:val="nil"/>
              <w:left w:val="nil"/>
              <w:bottom w:val="single" w:sz="8" w:space="0" w:color="0F14D2"/>
              <w:right w:val="single" w:sz="8" w:space="0" w:color="0F14D2"/>
            </w:tcBorders>
            <w:vAlign w:val="center"/>
            <w:hideMark/>
          </w:tcPr>
          <w:p w14:paraId="3CD56AC4" w14:textId="73E2E43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26DC1C9" w14:textId="7617BEBB"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22.01.2024</w:t>
            </w:r>
          </w:p>
        </w:tc>
        <w:tc>
          <w:tcPr>
            <w:tcW w:w="437" w:type="pct"/>
            <w:tcBorders>
              <w:top w:val="nil"/>
              <w:left w:val="nil"/>
              <w:bottom w:val="single" w:sz="8" w:space="0" w:color="0F14D2"/>
              <w:right w:val="single" w:sz="8" w:space="0" w:color="0F14D2"/>
            </w:tcBorders>
            <w:vAlign w:val="center"/>
            <w:hideMark/>
          </w:tcPr>
          <w:p w14:paraId="27B01B08" w14:textId="10A7F96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85" w:type="pct"/>
            <w:tcBorders>
              <w:top w:val="nil"/>
              <w:left w:val="nil"/>
              <w:bottom w:val="single" w:sz="8" w:space="0" w:color="0F14D2"/>
              <w:right w:val="single" w:sz="8" w:space="0" w:color="0F14D2"/>
            </w:tcBorders>
            <w:vAlign w:val="center"/>
            <w:hideMark/>
          </w:tcPr>
          <w:p w14:paraId="2A09C1A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55 027 247,00</w:t>
            </w:r>
          </w:p>
        </w:tc>
      </w:tr>
      <w:tr w:rsidR="000B435E" w:rsidRPr="003E3BD7" w14:paraId="6EFF3465"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59726E3"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29</w:t>
            </w:r>
          </w:p>
        </w:tc>
        <w:tc>
          <w:tcPr>
            <w:tcW w:w="436" w:type="pct"/>
            <w:tcBorders>
              <w:top w:val="nil"/>
              <w:left w:val="single" w:sz="8" w:space="0" w:color="0F14D2"/>
              <w:bottom w:val="single" w:sz="8" w:space="0" w:color="0F14D2"/>
              <w:right w:val="nil"/>
            </w:tcBorders>
            <w:vAlign w:val="center"/>
            <w:hideMark/>
          </w:tcPr>
          <w:p w14:paraId="72BBB7C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FEKP.04.01-IZ.00-019/23</w:t>
            </w:r>
          </w:p>
        </w:tc>
        <w:tc>
          <w:tcPr>
            <w:tcW w:w="340" w:type="pct"/>
            <w:tcBorders>
              <w:top w:val="nil"/>
              <w:left w:val="single" w:sz="8" w:space="0" w:color="0F14D2"/>
              <w:bottom w:val="single" w:sz="8" w:space="0" w:color="0F14D2"/>
              <w:right w:val="single" w:sz="8" w:space="0" w:color="0F14D2"/>
            </w:tcBorders>
            <w:noWrap/>
            <w:vAlign w:val="center"/>
            <w:hideMark/>
          </w:tcPr>
          <w:p w14:paraId="2685CA39"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75ABB57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04.01 (EFRR)</w:t>
            </w:r>
          </w:p>
        </w:tc>
        <w:tc>
          <w:tcPr>
            <w:tcW w:w="291" w:type="pct"/>
            <w:tcBorders>
              <w:top w:val="nil"/>
              <w:left w:val="nil"/>
              <w:bottom w:val="single" w:sz="8" w:space="0" w:color="0F14D2"/>
              <w:right w:val="single" w:sz="8" w:space="0" w:color="0F14D2"/>
            </w:tcBorders>
            <w:noWrap/>
            <w:vAlign w:val="center"/>
            <w:hideMark/>
          </w:tcPr>
          <w:p w14:paraId="575D58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Kolej</w:t>
            </w:r>
          </w:p>
        </w:tc>
        <w:tc>
          <w:tcPr>
            <w:tcW w:w="486" w:type="pct"/>
            <w:tcBorders>
              <w:top w:val="nil"/>
              <w:left w:val="nil"/>
              <w:bottom w:val="single" w:sz="8" w:space="0" w:color="0F14D2"/>
              <w:right w:val="single" w:sz="8" w:space="0" w:color="0F14D2"/>
            </w:tcBorders>
            <w:vAlign w:val="center"/>
            <w:hideMark/>
          </w:tcPr>
          <w:p w14:paraId="33067D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1B17CDD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Zakup taboru kolejowego</w:t>
            </w:r>
          </w:p>
        </w:tc>
        <w:tc>
          <w:tcPr>
            <w:tcW w:w="388" w:type="pct"/>
            <w:tcBorders>
              <w:top w:val="nil"/>
              <w:left w:val="nil"/>
              <w:bottom w:val="single" w:sz="8" w:space="0" w:color="0F14D2"/>
              <w:right w:val="single" w:sz="8" w:space="0" w:color="0F14D2"/>
            </w:tcBorders>
            <w:vAlign w:val="center"/>
            <w:hideMark/>
          </w:tcPr>
          <w:p w14:paraId="7B40BEA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7DDE9E5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606DB770" w14:textId="73CC57C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C232E4F" w14:textId="78E9E5E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17.07.2023</w:t>
            </w:r>
          </w:p>
        </w:tc>
        <w:tc>
          <w:tcPr>
            <w:tcW w:w="437" w:type="pct"/>
            <w:tcBorders>
              <w:top w:val="nil"/>
              <w:left w:val="nil"/>
              <w:bottom w:val="single" w:sz="8" w:space="0" w:color="0F14D2"/>
              <w:right w:val="single" w:sz="8" w:space="0" w:color="0F14D2"/>
            </w:tcBorders>
            <w:vAlign w:val="center"/>
            <w:hideMark/>
          </w:tcPr>
          <w:p w14:paraId="1CB478C0" w14:textId="79029A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14.08.2023</w:t>
            </w:r>
          </w:p>
        </w:tc>
        <w:tc>
          <w:tcPr>
            <w:tcW w:w="485" w:type="pct"/>
            <w:tcBorders>
              <w:top w:val="nil"/>
              <w:left w:val="nil"/>
              <w:bottom w:val="single" w:sz="8" w:space="0" w:color="0F14D2"/>
              <w:right w:val="single" w:sz="8" w:space="0" w:color="0F14D2"/>
            </w:tcBorders>
            <w:vAlign w:val="center"/>
            <w:hideMark/>
          </w:tcPr>
          <w:p w14:paraId="52890E8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218 175 939,00</w:t>
            </w:r>
          </w:p>
        </w:tc>
      </w:tr>
      <w:tr w:rsidR="000B435E" w:rsidRPr="003E3BD7" w14:paraId="41FF7C6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F8A0159"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30</w:t>
            </w:r>
          </w:p>
        </w:tc>
        <w:tc>
          <w:tcPr>
            <w:tcW w:w="436" w:type="pct"/>
            <w:tcBorders>
              <w:top w:val="nil"/>
              <w:left w:val="single" w:sz="8" w:space="0" w:color="0F14D2"/>
              <w:bottom w:val="single" w:sz="8" w:space="0" w:color="0F14D2"/>
              <w:right w:val="nil"/>
            </w:tcBorders>
            <w:vAlign w:val="center"/>
            <w:hideMark/>
          </w:tcPr>
          <w:p w14:paraId="7C629A8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FEKP.04.02-IZ.00-110/24</w:t>
            </w:r>
          </w:p>
        </w:tc>
        <w:tc>
          <w:tcPr>
            <w:tcW w:w="340" w:type="pct"/>
            <w:tcBorders>
              <w:top w:val="nil"/>
              <w:left w:val="single" w:sz="8" w:space="0" w:color="0F14D2"/>
              <w:bottom w:val="single" w:sz="8" w:space="0" w:color="0F14D2"/>
              <w:right w:val="single" w:sz="8" w:space="0" w:color="0F14D2"/>
            </w:tcBorders>
            <w:noWrap/>
            <w:vAlign w:val="center"/>
            <w:hideMark/>
          </w:tcPr>
          <w:p w14:paraId="6DCE4BA2"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E3880F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04.02 (EFRR)</w:t>
            </w:r>
          </w:p>
        </w:tc>
        <w:tc>
          <w:tcPr>
            <w:tcW w:w="291" w:type="pct"/>
            <w:tcBorders>
              <w:top w:val="nil"/>
              <w:left w:val="nil"/>
              <w:bottom w:val="single" w:sz="8" w:space="0" w:color="0F14D2"/>
              <w:right w:val="single" w:sz="8" w:space="0" w:color="0F14D2"/>
            </w:tcBorders>
            <w:noWrap/>
            <w:vAlign w:val="center"/>
            <w:hideMark/>
          </w:tcPr>
          <w:p w14:paraId="78B821A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Transport multimodalny</w:t>
            </w:r>
          </w:p>
        </w:tc>
        <w:tc>
          <w:tcPr>
            <w:tcW w:w="486" w:type="pct"/>
            <w:tcBorders>
              <w:top w:val="nil"/>
              <w:left w:val="nil"/>
              <w:bottom w:val="single" w:sz="8" w:space="0" w:color="0F14D2"/>
              <w:right w:val="single" w:sz="8" w:space="0" w:color="0F14D2"/>
            </w:tcBorders>
            <w:vAlign w:val="center"/>
            <w:hideMark/>
          </w:tcPr>
          <w:p w14:paraId="4AEEE32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498DE62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i poprawa zrównoważonej mobilności na szczeblu regionalnym i lokalnym</w:t>
            </w:r>
          </w:p>
        </w:tc>
        <w:tc>
          <w:tcPr>
            <w:tcW w:w="388" w:type="pct"/>
            <w:tcBorders>
              <w:top w:val="nil"/>
              <w:left w:val="nil"/>
              <w:bottom w:val="single" w:sz="8" w:space="0" w:color="0F14D2"/>
              <w:right w:val="single" w:sz="8" w:space="0" w:color="0F14D2"/>
            </w:tcBorders>
            <w:vAlign w:val="center"/>
            <w:hideMark/>
          </w:tcPr>
          <w:p w14:paraId="63C23CF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DAA3D7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705586B" w14:textId="65AF67C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31DFEAE" w14:textId="6DE62D4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27.03.2024</w:t>
            </w:r>
          </w:p>
        </w:tc>
        <w:tc>
          <w:tcPr>
            <w:tcW w:w="437" w:type="pct"/>
            <w:tcBorders>
              <w:top w:val="nil"/>
              <w:left w:val="nil"/>
              <w:bottom w:val="single" w:sz="8" w:space="0" w:color="0F14D2"/>
              <w:right w:val="single" w:sz="8" w:space="0" w:color="0F14D2"/>
            </w:tcBorders>
            <w:vAlign w:val="center"/>
            <w:hideMark/>
          </w:tcPr>
          <w:p w14:paraId="50C00BC9" w14:textId="31B3C3C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21.06.2024</w:t>
            </w:r>
          </w:p>
        </w:tc>
        <w:tc>
          <w:tcPr>
            <w:tcW w:w="485" w:type="pct"/>
            <w:tcBorders>
              <w:top w:val="nil"/>
              <w:left w:val="nil"/>
              <w:bottom w:val="single" w:sz="8" w:space="0" w:color="0F14D2"/>
              <w:right w:val="single" w:sz="8" w:space="0" w:color="0F14D2"/>
            </w:tcBorders>
            <w:vAlign w:val="center"/>
            <w:hideMark/>
          </w:tcPr>
          <w:p w14:paraId="72910F2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21 809 000,00</w:t>
            </w:r>
          </w:p>
        </w:tc>
      </w:tr>
      <w:tr w:rsidR="000B435E" w:rsidRPr="003E3BD7" w14:paraId="165D935C"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15338A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31</w:t>
            </w:r>
          </w:p>
        </w:tc>
        <w:tc>
          <w:tcPr>
            <w:tcW w:w="436" w:type="pct"/>
            <w:tcBorders>
              <w:top w:val="nil"/>
              <w:left w:val="single" w:sz="8" w:space="0" w:color="0F14D2"/>
              <w:bottom w:val="single" w:sz="8" w:space="0" w:color="0F14D2"/>
              <w:right w:val="nil"/>
            </w:tcBorders>
            <w:vAlign w:val="center"/>
            <w:hideMark/>
          </w:tcPr>
          <w:p w14:paraId="70B241D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FEKP.04.03-IZ.00-082/24</w:t>
            </w:r>
          </w:p>
        </w:tc>
        <w:tc>
          <w:tcPr>
            <w:tcW w:w="340" w:type="pct"/>
            <w:tcBorders>
              <w:top w:val="nil"/>
              <w:left w:val="single" w:sz="8" w:space="0" w:color="0F14D2"/>
              <w:bottom w:val="single" w:sz="8" w:space="0" w:color="0F14D2"/>
              <w:right w:val="single" w:sz="8" w:space="0" w:color="0F14D2"/>
            </w:tcBorders>
            <w:noWrap/>
            <w:vAlign w:val="center"/>
            <w:hideMark/>
          </w:tcPr>
          <w:p w14:paraId="01943AF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2EA69F6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04.03 (EFRR)</w:t>
            </w:r>
          </w:p>
        </w:tc>
        <w:tc>
          <w:tcPr>
            <w:tcW w:w="291" w:type="pct"/>
            <w:tcBorders>
              <w:top w:val="nil"/>
              <w:left w:val="nil"/>
              <w:bottom w:val="single" w:sz="8" w:space="0" w:color="0F14D2"/>
              <w:right w:val="single" w:sz="8" w:space="0" w:color="0F14D2"/>
            </w:tcBorders>
            <w:noWrap/>
            <w:vAlign w:val="center"/>
            <w:hideMark/>
          </w:tcPr>
          <w:p w14:paraId="493DD01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drogowa</w:t>
            </w:r>
          </w:p>
        </w:tc>
        <w:tc>
          <w:tcPr>
            <w:tcW w:w="486" w:type="pct"/>
            <w:tcBorders>
              <w:top w:val="nil"/>
              <w:left w:val="nil"/>
              <w:bottom w:val="single" w:sz="8" w:space="0" w:color="0F14D2"/>
              <w:right w:val="single" w:sz="8" w:space="0" w:color="0F14D2"/>
            </w:tcBorders>
            <w:vAlign w:val="center"/>
            <w:hideMark/>
          </w:tcPr>
          <w:p w14:paraId="6364E4F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30B1FCA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Inwestycje w miejscach/skrzyżowaniach </w:t>
            </w:r>
            <w:r w:rsidRPr="00765A51">
              <w:rPr>
                <w:rFonts w:asciiTheme="minorHAnsi" w:eastAsia="Times New Roman" w:hAnsiTheme="minorHAnsi" w:cstheme="minorHAnsi"/>
                <w:color w:val="000000"/>
                <w:sz w:val="18"/>
                <w:szCs w:val="18"/>
                <w:lang w:eastAsia="pl-PL"/>
              </w:rPr>
              <w:lastRenderedPageBreak/>
              <w:t>niebezpiecznych</w:t>
            </w:r>
          </w:p>
        </w:tc>
        <w:tc>
          <w:tcPr>
            <w:tcW w:w="388" w:type="pct"/>
            <w:tcBorders>
              <w:top w:val="nil"/>
              <w:left w:val="nil"/>
              <w:bottom w:val="single" w:sz="8" w:space="0" w:color="0F14D2"/>
              <w:right w:val="single" w:sz="8" w:space="0" w:color="0F14D2"/>
            </w:tcBorders>
            <w:vAlign w:val="center"/>
            <w:hideMark/>
          </w:tcPr>
          <w:p w14:paraId="373764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NK</w:t>
            </w:r>
          </w:p>
        </w:tc>
        <w:tc>
          <w:tcPr>
            <w:tcW w:w="389" w:type="pct"/>
            <w:tcBorders>
              <w:top w:val="nil"/>
              <w:left w:val="nil"/>
              <w:bottom w:val="single" w:sz="8" w:space="0" w:color="0F14D2"/>
              <w:right w:val="single" w:sz="8" w:space="0" w:color="0F14D2"/>
            </w:tcBorders>
            <w:vAlign w:val="center"/>
            <w:hideMark/>
          </w:tcPr>
          <w:p w14:paraId="630C9D58" w14:textId="185DCD39"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75FD3379" w14:textId="6CA037A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0DACA87D" w14:textId="6002FB8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11.01.2024</w:t>
            </w:r>
          </w:p>
        </w:tc>
        <w:tc>
          <w:tcPr>
            <w:tcW w:w="437" w:type="pct"/>
            <w:tcBorders>
              <w:top w:val="nil"/>
              <w:left w:val="nil"/>
              <w:bottom w:val="single" w:sz="8" w:space="0" w:color="0F14D2"/>
              <w:right w:val="single" w:sz="8" w:space="0" w:color="0F14D2"/>
            </w:tcBorders>
            <w:vAlign w:val="center"/>
            <w:hideMark/>
          </w:tcPr>
          <w:p w14:paraId="33C87CE2" w14:textId="2F00E35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23.02.2024</w:t>
            </w:r>
          </w:p>
        </w:tc>
        <w:tc>
          <w:tcPr>
            <w:tcW w:w="485" w:type="pct"/>
            <w:tcBorders>
              <w:top w:val="nil"/>
              <w:left w:val="nil"/>
              <w:bottom w:val="single" w:sz="8" w:space="0" w:color="0F14D2"/>
              <w:right w:val="single" w:sz="8" w:space="0" w:color="0F14D2"/>
            </w:tcBorders>
            <w:vAlign w:val="center"/>
            <w:hideMark/>
          </w:tcPr>
          <w:p w14:paraId="2D6BA9C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30 317 047,63</w:t>
            </w:r>
          </w:p>
        </w:tc>
      </w:tr>
      <w:tr w:rsidR="000B435E" w:rsidRPr="003E3BD7" w14:paraId="5796F0E8"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EEAF64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32</w:t>
            </w:r>
          </w:p>
        </w:tc>
        <w:tc>
          <w:tcPr>
            <w:tcW w:w="436" w:type="pct"/>
            <w:tcBorders>
              <w:top w:val="nil"/>
              <w:left w:val="single" w:sz="8" w:space="0" w:color="0F14D2"/>
              <w:bottom w:val="single" w:sz="8" w:space="0" w:color="0F14D2"/>
              <w:right w:val="nil"/>
            </w:tcBorders>
            <w:vAlign w:val="center"/>
            <w:hideMark/>
          </w:tcPr>
          <w:p w14:paraId="36F6008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FEKP.05.03-IP.02-008/23</w:t>
            </w:r>
          </w:p>
        </w:tc>
        <w:tc>
          <w:tcPr>
            <w:tcW w:w="340" w:type="pct"/>
            <w:tcBorders>
              <w:top w:val="nil"/>
              <w:left w:val="single" w:sz="8" w:space="0" w:color="0F14D2"/>
              <w:bottom w:val="single" w:sz="8" w:space="0" w:color="0F14D2"/>
              <w:right w:val="single" w:sz="8" w:space="0" w:color="0F14D2"/>
            </w:tcBorders>
            <w:noWrap/>
            <w:vAlign w:val="center"/>
            <w:hideMark/>
          </w:tcPr>
          <w:p w14:paraId="167FA1AD"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96A20C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05.03 (EFRR)</w:t>
            </w:r>
          </w:p>
        </w:tc>
        <w:tc>
          <w:tcPr>
            <w:tcW w:w="291" w:type="pct"/>
            <w:tcBorders>
              <w:top w:val="nil"/>
              <w:left w:val="nil"/>
              <w:bottom w:val="single" w:sz="8" w:space="0" w:color="0F14D2"/>
              <w:right w:val="single" w:sz="8" w:space="0" w:color="0F14D2"/>
            </w:tcBorders>
            <w:noWrap/>
            <w:vAlign w:val="center"/>
            <w:hideMark/>
          </w:tcPr>
          <w:p w14:paraId="377804E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125FE1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ZIT BydOF</w:t>
            </w:r>
          </w:p>
        </w:tc>
        <w:tc>
          <w:tcPr>
            <w:tcW w:w="487" w:type="pct"/>
            <w:tcBorders>
              <w:top w:val="nil"/>
              <w:left w:val="nil"/>
              <w:bottom w:val="single" w:sz="8" w:space="0" w:color="0F14D2"/>
              <w:right w:val="single" w:sz="8" w:space="0" w:color="0F14D2"/>
            </w:tcBorders>
            <w:noWrap/>
            <w:vAlign w:val="center"/>
            <w:hideMark/>
          </w:tcPr>
          <w:p w14:paraId="03480F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rozwoju turystyki BydOF-IP</w:t>
            </w:r>
          </w:p>
        </w:tc>
        <w:tc>
          <w:tcPr>
            <w:tcW w:w="388" w:type="pct"/>
            <w:tcBorders>
              <w:top w:val="nil"/>
              <w:left w:val="nil"/>
              <w:bottom w:val="single" w:sz="8" w:space="0" w:color="0F14D2"/>
              <w:right w:val="single" w:sz="8" w:space="0" w:color="0F14D2"/>
            </w:tcBorders>
            <w:vAlign w:val="center"/>
            <w:hideMark/>
          </w:tcPr>
          <w:p w14:paraId="7E89576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5EC148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7CDCF388" w14:textId="0E4D914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3779CEB" w14:textId="11C64BA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5ECBCE98" w14:textId="37C7668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30.04.2024</w:t>
            </w:r>
          </w:p>
        </w:tc>
        <w:tc>
          <w:tcPr>
            <w:tcW w:w="485" w:type="pct"/>
            <w:tcBorders>
              <w:top w:val="nil"/>
              <w:left w:val="nil"/>
              <w:bottom w:val="single" w:sz="8" w:space="0" w:color="0F14D2"/>
              <w:right w:val="single" w:sz="8" w:space="0" w:color="0F14D2"/>
            </w:tcBorders>
            <w:vAlign w:val="center"/>
            <w:hideMark/>
          </w:tcPr>
          <w:p w14:paraId="4BC1744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16 197 412,72</w:t>
            </w:r>
          </w:p>
        </w:tc>
      </w:tr>
      <w:tr w:rsidR="000B435E" w:rsidRPr="003E3BD7" w14:paraId="4D534E4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4A4CCB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33</w:t>
            </w:r>
          </w:p>
        </w:tc>
        <w:tc>
          <w:tcPr>
            <w:tcW w:w="436" w:type="pct"/>
            <w:tcBorders>
              <w:top w:val="nil"/>
              <w:left w:val="single" w:sz="8" w:space="0" w:color="0F14D2"/>
              <w:bottom w:val="single" w:sz="8" w:space="0" w:color="0F14D2"/>
              <w:right w:val="nil"/>
            </w:tcBorders>
            <w:vAlign w:val="center"/>
            <w:hideMark/>
          </w:tcPr>
          <w:p w14:paraId="514DAF6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FEKP.05.04-IZ.00-057/23</w:t>
            </w:r>
          </w:p>
        </w:tc>
        <w:tc>
          <w:tcPr>
            <w:tcW w:w="340" w:type="pct"/>
            <w:tcBorders>
              <w:top w:val="nil"/>
              <w:left w:val="single" w:sz="8" w:space="0" w:color="0F14D2"/>
              <w:bottom w:val="single" w:sz="8" w:space="0" w:color="0F14D2"/>
              <w:right w:val="single" w:sz="8" w:space="0" w:color="0F14D2"/>
            </w:tcBorders>
            <w:noWrap/>
            <w:vAlign w:val="center"/>
            <w:hideMark/>
          </w:tcPr>
          <w:p w14:paraId="2C4E6A4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750865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05.04 (EFRR)</w:t>
            </w:r>
          </w:p>
        </w:tc>
        <w:tc>
          <w:tcPr>
            <w:tcW w:w="291" w:type="pct"/>
            <w:tcBorders>
              <w:top w:val="nil"/>
              <w:left w:val="nil"/>
              <w:bottom w:val="single" w:sz="8" w:space="0" w:color="0F14D2"/>
              <w:right w:val="single" w:sz="8" w:space="0" w:color="0F14D2"/>
            </w:tcBorders>
            <w:noWrap/>
            <w:vAlign w:val="center"/>
            <w:hideMark/>
          </w:tcPr>
          <w:p w14:paraId="473F12F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59C8947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7EF5165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Wsparcie rozwoju turystyki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1B66D1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527C7FD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w:t>
            </w:r>
          </w:p>
        </w:tc>
        <w:tc>
          <w:tcPr>
            <w:tcW w:w="292" w:type="pct"/>
            <w:tcBorders>
              <w:top w:val="nil"/>
              <w:left w:val="nil"/>
              <w:bottom w:val="single" w:sz="8" w:space="0" w:color="0F14D2"/>
              <w:right w:val="single" w:sz="8" w:space="0" w:color="0F14D2"/>
            </w:tcBorders>
            <w:vAlign w:val="center"/>
            <w:hideMark/>
          </w:tcPr>
          <w:p w14:paraId="0D4114A7" w14:textId="73BE638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4C21154" w14:textId="012F42E8"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741F8201" w14:textId="179EE8E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25.04.2024</w:t>
            </w:r>
          </w:p>
        </w:tc>
        <w:tc>
          <w:tcPr>
            <w:tcW w:w="485" w:type="pct"/>
            <w:tcBorders>
              <w:top w:val="nil"/>
              <w:left w:val="nil"/>
              <w:bottom w:val="single" w:sz="8" w:space="0" w:color="0F14D2"/>
              <w:right w:val="single" w:sz="8" w:space="0" w:color="0F14D2"/>
            </w:tcBorders>
            <w:vAlign w:val="center"/>
            <w:hideMark/>
          </w:tcPr>
          <w:p w14:paraId="77CB4CE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15 857 252,44</w:t>
            </w:r>
          </w:p>
        </w:tc>
      </w:tr>
      <w:tr w:rsidR="000B435E" w:rsidRPr="003E3BD7" w14:paraId="1E7E8A10"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FEFEC51"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34</w:t>
            </w:r>
          </w:p>
        </w:tc>
        <w:tc>
          <w:tcPr>
            <w:tcW w:w="436" w:type="pct"/>
            <w:tcBorders>
              <w:top w:val="nil"/>
              <w:left w:val="single" w:sz="8" w:space="0" w:color="0F14D2"/>
              <w:bottom w:val="single" w:sz="8" w:space="0" w:color="0F14D2"/>
              <w:right w:val="nil"/>
            </w:tcBorders>
            <w:vAlign w:val="center"/>
            <w:hideMark/>
          </w:tcPr>
          <w:p w14:paraId="02499B1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FEKP.05.07-IZ.00-033/23</w:t>
            </w:r>
          </w:p>
        </w:tc>
        <w:tc>
          <w:tcPr>
            <w:tcW w:w="340" w:type="pct"/>
            <w:tcBorders>
              <w:top w:val="nil"/>
              <w:left w:val="single" w:sz="8" w:space="0" w:color="0F14D2"/>
              <w:bottom w:val="single" w:sz="8" w:space="0" w:color="0F14D2"/>
              <w:right w:val="single" w:sz="8" w:space="0" w:color="0F14D2"/>
            </w:tcBorders>
            <w:noWrap/>
            <w:vAlign w:val="center"/>
            <w:hideMark/>
          </w:tcPr>
          <w:p w14:paraId="5CCECB7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0461855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05.07 (EFRR)</w:t>
            </w:r>
          </w:p>
        </w:tc>
        <w:tc>
          <w:tcPr>
            <w:tcW w:w="291" w:type="pct"/>
            <w:tcBorders>
              <w:top w:val="nil"/>
              <w:left w:val="nil"/>
              <w:bottom w:val="single" w:sz="8" w:space="0" w:color="0F14D2"/>
              <w:right w:val="single" w:sz="8" w:space="0" w:color="0F14D2"/>
            </w:tcBorders>
            <w:noWrap/>
            <w:vAlign w:val="center"/>
            <w:hideMark/>
          </w:tcPr>
          <w:p w14:paraId="2C44CF3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w:t>
            </w:r>
          </w:p>
        </w:tc>
        <w:tc>
          <w:tcPr>
            <w:tcW w:w="486" w:type="pct"/>
            <w:tcBorders>
              <w:top w:val="nil"/>
              <w:left w:val="nil"/>
              <w:bottom w:val="single" w:sz="8" w:space="0" w:color="0F14D2"/>
              <w:right w:val="single" w:sz="8" w:space="0" w:color="0F14D2"/>
            </w:tcBorders>
            <w:vAlign w:val="center"/>
            <w:hideMark/>
          </w:tcPr>
          <w:p w14:paraId="66CE59C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1558121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Odnowa przestrzeni publicznych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6EBB0FE3" w14:textId="03E5287F"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r w:rsidR="00F37F37">
              <w:rPr>
                <w:rFonts w:asciiTheme="minorHAnsi" w:eastAsia="Times New Roman" w:hAnsiTheme="minorHAnsi" w:cstheme="minorHAnsi"/>
                <w:color w:val="000000"/>
                <w:sz w:val="18"/>
                <w:szCs w:val="18"/>
                <w:lang w:eastAsia="pl-PL"/>
              </w:rPr>
              <w:t xml:space="preserve"> </w:t>
            </w:r>
          </w:p>
        </w:tc>
        <w:tc>
          <w:tcPr>
            <w:tcW w:w="389" w:type="pct"/>
            <w:tcBorders>
              <w:top w:val="nil"/>
              <w:left w:val="nil"/>
              <w:bottom w:val="single" w:sz="8" w:space="0" w:color="0F14D2"/>
              <w:right w:val="single" w:sz="8" w:space="0" w:color="0F14D2"/>
            </w:tcBorders>
            <w:vAlign w:val="center"/>
            <w:hideMark/>
          </w:tcPr>
          <w:p w14:paraId="195D6A42"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9</w:t>
            </w:r>
          </w:p>
        </w:tc>
        <w:tc>
          <w:tcPr>
            <w:tcW w:w="292" w:type="pct"/>
            <w:tcBorders>
              <w:top w:val="nil"/>
              <w:left w:val="nil"/>
              <w:bottom w:val="single" w:sz="8" w:space="0" w:color="0F14D2"/>
              <w:right w:val="single" w:sz="8" w:space="0" w:color="0F14D2"/>
            </w:tcBorders>
            <w:vAlign w:val="center"/>
            <w:hideMark/>
          </w:tcPr>
          <w:p w14:paraId="2FC223F2" w14:textId="2838C209"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5E9B6B5" w14:textId="50804D8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05.09.2023</w:t>
            </w:r>
          </w:p>
        </w:tc>
        <w:tc>
          <w:tcPr>
            <w:tcW w:w="437" w:type="pct"/>
            <w:tcBorders>
              <w:top w:val="nil"/>
              <w:left w:val="nil"/>
              <w:bottom w:val="single" w:sz="8" w:space="0" w:color="0F14D2"/>
              <w:right w:val="single" w:sz="8" w:space="0" w:color="0F14D2"/>
            </w:tcBorders>
            <w:vAlign w:val="center"/>
            <w:hideMark/>
          </w:tcPr>
          <w:p w14:paraId="321315A5" w14:textId="2D2B1EC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04.03.2024</w:t>
            </w:r>
          </w:p>
        </w:tc>
        <w:tc>
          <w:tcPr>
            <w:tcW w:w="485" w:type="pct"/>
            <w:tcBorders>
              <w:top w:val="nil"/>
              <w:left w:val="nil"/>
              <w:bottom w:val="single" w:sz="8" w:space="0" w:color="0F14D2"/>
              <w:right w:val="single" w:sz="8" w:space="0" w:color="0F14D2"/>
            </w:tcBorders>
            <w:vAlign w:val="center"/>
            <w:hideMark/>
          </w:tcPr>
          <w:p w14:paraId="21323741"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21 060 304,61</w:t>
            </w:r>
          </w:p>
        </w:tc>
      </w:tr>
      <w:tr w:rsidR="000B435E" w:rsidRPr="003E3BD7" w14:paraId="426B72A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7834C4B"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35</w:t>
            </w:r>
          </w:p>
        </w:tc>
        <w:tc>
          <w:tcPr>
            <w:tcW w:w="436" w:type="pct"/>
            <w:tcBorders>
              <w:top w:val="nil"/>
              <w:left w:val="single" w:sz="8" w:space="0" w:color="0F14D2"/>
              <w:bottom w:val="single" w:sz="8" w:space="0" w:color="0F14D2"/>
              <w:right w:val="nil"/>
            </w:tcBorders>
            <w:vAlign w:val="center"/>
            <w:hideMark/>
          </w:tcPr>
          <w:p w14:paraId="0312DA3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FEKP.05.12-IZ.00-099/24</w:t>
            </w:r>
          </w:p>
        </w:tc>
        <w:tc>
          <w:tcPr>
            <w:tcW w:w="340" w:type="pct"/>
            <w:tcBorders>
              <w:top w:val="nil"/>
              <w:left w:val="single" w:sz="8" w:space="0" w:color="0F14D2"/>
              <w:bottom w:val="single" w:sz="8" w:space="0" w:color="0F14D2"/>
              <w:right w:val="single" w:sz="8" w:space="0" w:color="0F14D2"/>
            </w:tcBorders>
            <w:noWrap/>
            <w:vAlign w:val="center"/>
            <w:hideMark/>
          </w:tcPr>
          <w:p w14:paraId="0549A13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74BB31F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05.12 (EFRR)</w:t>
            </w:r>
          </w:p>
        </w:tc>
        <w:tc>
          <w:tcPr>
            <w:tcW w:w="291" w:type="pct"/>
            <w:tcBorders>
              <w:top w:val="nil"/>
              <w:left w:val="nil"/>
              <w:bottom w:val="single" w:sz="8" w:space="0" w:color="0F14D2"/>
              <w:right w:val="single" w:sz="8" w:space="0" w:color="0F14D2"/>
            </w:tcBorders>
            <w:noWrap/>
            <w:vAlign w:val="center"/>
            <w:hideMark/>
          </w:tcPr>
          <w:p w14:paraId="4C77F5C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Kultura</w:t>
            </w:r>
          </w:p>
        </w:tc>
        <w:tc>
          <w:tcPr>
            <w:tcW w:w="486" w:type="pct"/>
            <w:tcBorders>
              <w:top w:val="nil"/>
              <w:left w:val="nil"/>
              <w:bottom w:val="single" w:sz="8" w:space="0" w:color="0F14D2"/>
              <w:right w:val="single" w:sz="8" w:space="0" w:color="0F14D2"/>
            </w:tcBorders>
            <w:vAlign w:val="center"/>
            <w:hideMark/>
          </w:tcPr>
          <w:p w14:paraId="311BF0E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7F607E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instytucji kultury OPPT</w:t>
            </w:r>
          </w:p>
        </w:tc>
        <w:tc>
          <w:tcPr>
            <w:tcW w:w="388" w:type="pct"/>
            <w:tcBorders>
              <w:top w:val="nil"/>
              <w:left w:val="nil"/>
              <w:bottom w:val="single" w:sz="8" w:space="0" w:color="0F14D2"/>
              <w:right w:val="single" w:sz="8" w:space="0" w:color="0F14D2"/>
            </w:tcBorders>
            <w:vAlign w:val="center"/>
            <w:hideMark/>
          </w:tcPr>
          <w:p w14:paraId="5499893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21322FEB"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w:t>
            </w:r>
          </w:p>
        </w:tc>
        <w:tc>
          <w:tcPr>
            <w:tcW w:w="292" w:type="pct"/>
            <w:tcBorders>
              <w:top w:val="nil"/>
              <w:left w:val="nil"/>
              <w:bottom w:val="single" w:sz="8" w:space="0" w:color="0F14D2"/>
              <w:right w:val="single" w:sz="8" w:space="0" w:color="0F14D2"/>
            </w:tcBorders>
            <w:vAlign w:val="center"/>
            <w:hideMark/>
          </w:tcPr>
          <w:p w14:paraId="1D65068A" w14:textId="1BDCE29A"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47B8B080" w14:textId="29C8917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15.02.2024</w:t>
            </w:r>
          </w:p>
        </w:tc>
        <w:tc>
          <w:tcPr>
            <w:tcW w:w="437" w:type="pct"/>
            <w:tcBorders>
              <w:top w:val="nil"/>
              <w:left w:val="nil"/>
              <w:bottom w:val="single" w:sz="8" w:space="0" w:color="0F14D2"/>
              <w:right w:val="single" w:sz="8" w:space="0" w:color="0F14D2"/>
            </w:tcBorders>
            <w:vAlign w:val="center"/>
            <w:hideMark/>
          </w:tcPr>
          <w:p w14:paraId="13580C93" w14:textId="68EB3D1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14.08.2024</w:t>
            </w:r>
          </w:p>
        </w:tc>
        <w:tc>
          <w:tcPr>
            <w:tcW w:w="485" w:type="pct"/>
            <w:tcBorders>
              <w:top w:val="nil"/>
              <w:left w:val="nil"/>
              <w:bottom w:val="single" w:sz="8" w:space="0" w:color="0F14D2"/>
              <w:right w:val="single" w:sz="8" w:space="0" w:color="0F14D2"/>
            </w:tcBorders>
            <w:vAlign w:val="center"/>
            <w:hideMark/>
          </w:tcPr>
          <w:p w14:paraId="33E7105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34 737 411,50</w:t>
            </w:r>
          </w:p>
        </w:tc>
      </w:tr>
      <w:tr w:rsidR="000B435E" w:rsidRPr="003E3BD7" w14:paraId="672518A1"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F1AA40C"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36</w:t>
            </w:r>
          </w:p>
        </w:tc>
        <w:tc>
          <w:tcPr>
            <w:tcW w:w="436" w:type="pct"/>
            <w:tcBorders>
              <w:top w:val="nil"/>
              <w:left w:val="single" w:sz="8" w:space="0" w:color="0F14D2"/>
              <w:bottom w:val="single" w:sz="8" w:space="0" w:color="0F14D2"/>
              <w:right w:val="nil"/>
            </w:tcBorders>
            <w:vAlign w:val="center"/>
            <w:hideMark/>
          </w:tcPr>
          <w:p w14:paraId="2C14345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FEKP.05.13-IZ.00-058/23</w:t>
            </w:r>
          </w:p>
        </w:tc>
        <w:tc>
          <w:tcPr>
            <w:tcW w:w="340" w:type="pct"/>
            <w:tcBorders>
              <w:top w:val="nil"/>
              <w:left w:val="single" w:sz="8" w:space="0" w:color="0F14D2"/>
              <w:bottom w:val="single" w:sz="8" w:space="0" w:color="0F14D2"/>
              <w:right w:val="single" w:sz="8" w:space="0" w:color="0F14D2"/>
            </w:tcBorders>
            <w:noWrap/>
            <w:vAlign w:val="center"/>
            <w:hideMark/>
          </w:tcPr>
          <w:p w14:paraId="1E29524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246A27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05.13 (EFRR)</w:t>
            </w:r>
          </w:p>
        </w:tc>
        <w:tc>
          <w:tcPr>
            <w:tcW w:w="291" w:type="pct"/>
            <w:tcBorders>
              <w:top w:val="nil"/>
              <w:left w:val="nil"/>
              <w:bottom w:val="single" w:sz="8" w:space="0" w:color="0F14D2"/>
              <w:right w:val="single" w:sz="8" w:space="0" w:color="0F14D2"/>
            </w:tcBorders>
            <w:noWrap/>
            <w:vAlign w:val="center"/>
            <w:hideMark/>
          </w:tcPr>
          <w:p w14:paraId="5AD2C6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Turystyka</w:t>
            </w:r>
          </w:p>
        </w:tc>
        <w:tc>
          <w:tcPr>
            <w:tcW w:w="486" w:type="pct"/>
            <w:tcBorders>
              <w:top w:val="nil"/>
              <w:left w:val="nil"/>
              <w:bottom w:val="single" w:sz="8" w:space="0" w:color="0F14D2"/>
              <w:right w:val="single" w:sz="8" w:space="0" w:color="0F14D2"/>
            </w:tcBorders>
            <w:vAlign w:val="center"/>
            <w:hideMark/>
          </w:tcPr>
          <w:p w14:paraId="6320B88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7954E78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Wsparcie rozwoju turystyki OPPT</w:t>
            </w:r>
          </w:p>
        </w:tc>
        <w:tc>
          <w:tcPr>
            <w:tcW w:w="388" w:type="pct"/>
            <w:tcBorders>
              <w:top w:val="nil"/>
              <w:left w:val="nil"/>
              <w:bottom w:val="single" w:sz="8" w:space="0" w:color="0F14D2"/>
              <w:right w:val="single" w:sz="8" w:space="0" w:color="0F14D2"/>
            </w:tcBorders>
            <w:vAlign w:val="center"/>
            <w:hideMark/>
          </w:tcPr>
          <w:p w14:paraId="49429B2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B4800A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8</w:t>
            </w:r>
          </w:p>
        </w:tc>
        <w:tc>
          <w:tcPr>
            <w:tcW w:w="292" w:type="pct"/>
            <w:tcBorders>
              <w:top w:val="nil"/>
              <w:left w:val="nil"/>
              <w:bottom w:val="single" w:sz="8" w:space="0" w:color="0F14D2"/>
              <w:right w:val="single" w:sz="8" w:space="0" w:color="0F14D2"/>
            </w:tcBorders>
            <w:vAlign w:val="center"/>
            <w:hideMark/>
          </w:tcPr>
          <w:p w14:paraId="344E4224" w14:textId="6EC8B7DC"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48</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94C2463" w14:textId="506A233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04.10.2023</w:t>
            </w:r>
          </w:p>
        </w:tc>
        <w:tc>
          <w:tcPr>
            <w:tcW w:w="437" w:type="pct"/>
            <w:tcBorders>
              <w:top w:val="nil"/>
              <w:left w:val="nil"/>
              <w:bottom w:val="single" w:sz="8" w:space="0" w:color="0F14D2"/>
              <w:right w:val="single" w:sz="8" w:space="0" w:color="0F14D2"/>
            </w:tcBorders>
            <w:vAlign w:val="center"/>
            <w:hideMark/>
          </w:tcPr>
          <w:p w14:paraId="391CC47B" w14:textId="26A1653A"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25.04.2024</w:t>
            </w:r>
          </w:p>
        </w:tc>
        <w:tc>
          <w:tcPr>
            <w:tcW w:w="485" w:type="pct"/>
            <w:tcBorders>
              <w:top w:val="nil"/>
              <w:left w:val="nil"/>
              <w:bottom w:val="single" w:sz="8" w:space="0" w:color="0F14D2"/>
              <w:right w:val="single" w:sz="8" w:space="0" w:color="0F14D2"/>
            </w:tcBorders>
            <w:vAlign w:val="center"/>
            <w:hideMark/>
          </w:tcPr>
          <w:p w14:paraId="1FAA665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32 142 200,61</w:t>
            </w:r>
          </w:p>
        </w:tc>
      </w:tr>
      <w:tr w:rsidR="000B435E" w:rsidRPr="003E3BD7" w14:paraId="37E29A1A"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52ED074"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37</w:t>
            </w:r>
          </w:p>
        </w:tc>
        <w:tc>
          <w:tcPr>
            <w:tcW w:w="436" w:type="pct"/>
            <w:tcBorders>
              <w:top w:val="nil"/>
              <w:left w:val="single" w:sz="8" w:space="0" w:color="0F14D2"/>
              <w:bottom w:val="single" w:sz="8" w:space="0" w:color="0F14D2"/>
              <w:right w:val="nil"/>
            </w:tcBorders>
            <w:vAlign w:val="center"/>
            <w:hideMark/>
          </w:tcPr>
          <w:p w14:paraId="3FFF9E3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FEKP.05.14-IZ.00-032/23</w:t>
            </w:r>
          </w:p>
        </w:tc>
        <w:tc>
          <w:tcPr>
            <w:tcW w:w="340" w:type="pct"/>
            <w:tcBorders>
              <w:top w:val="nil"/>
              <w:left w:val="single" w:sz="8" w:space="0" w:color="0F14D2"/>
              <w:bottom w:val="single" w:sz="8" w:space="0" w:color="0F14D2"/>
              <w:right w:val="single" w:sz="8" w:space="0" w:color="0F14D2"/>
            </w:tcBorders>
            <w:noWrap/>
            <w:vAlign w:val="center"/>
            <w:hideMark/>
          </w:tcPr>
          <w:p w14:paraId="4C64DCE0"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47A48C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05.14 (EFRR)</w:t>
            </w:r>
          </w:p>
        </w:tc>
        <w:tc>
          <w:tcPr>
            <w:tcW w:w="291" w:type="pct"/>
            <w:tcBorders>
              <w:top w:val="nil"/>
              <w:left w:val="nil"/>
              <w:bottom w:val="single" w:sz="8" w:space="0" w:color="0F14D2"/>
              <w:right w:val="single" w:sz="8" w:space="0" w:color="0F14D2"/>
            </w:tcBorders>
            <w:noWrap/>
            <w:vAlign w:val="center"/>
            <w:hideMark/>
          </w:tcPr>
          <w:p w14:paraId="7245E39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w:t>
            </w:r>
          </w:p>
        </w:tc>
        <w:tc>
          <w:tcPr>
            <w:tcW w:w="486" w:type="pct"/>
            <w:tcBorders>
              <w:top w:val="nil"/>
              <w:left w:val="nil"/>
              <w:bottom w:val="single" w:sz="8" w:space="0" w:color="0F14D2"/>
              <w:right w:val="single" w:sz="8" w:space="0" w:color="0F14D2"/>
            </w:tcBorders>
            <w:vAlign w:val="center"/>
            <w:hideMark/>
          </w:tcPr>
          <w:p w14:paraId="7E39CD2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0A80708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Odnowa przestrzeni publicznych OPPT</w:t>
            </w:r>
          </w:p>
        </w:tc>
        <w:tc>
          <w:tcPr>
            <w:tcW w:w="388" w:type="pct"/>
            <w:tcBorders>
              <w:top w:val="nil"/>
              <w:left w:val="nil"/>
              <w:bottom w:val="single" w:sz="8" w:space="0" w:color="0F14D2"/>
              <w:right w:val="single" w:sz="8" w:space="0" w:color="0F14D2"/>
            </w:tcBorders>
            <w:vAlign w:val="center"/>
            <w:hideMark/>
          </w:tcPr>
          <w:p w14:paraId="7C6A45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3F785DA" w14:textId="6F5A2818"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r w:rsidR="009D7737">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19D6C8DA" w14:textId="716DC053"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42</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FE3FFB3" w14:textId="769B06EF"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05.09.2023</w:t>
            </w:r>
          </w:p>
        </w:tc>
        <w:tc>
          <w:tcPr>
            <w:tcW w:w="437" w:type="pct"/>
            <w:tcBorders>
              <w:top w:val="nil"/>
              <w:left w:val="nil"/>
              <w:bottom w:val="single" w:sz="8" w:space="0" w:color="0F14D2"/>
              <w:right w:val="single" w:sz="8" w:space="0" w:color="0F14D2"/>
            </w:tcBorders>
            <w:vAlign w:val="center"/>
            <w:hideMark/>
          </w:tcPr>
          <w:p w14:paraId="48D5722F" w14:textId="452401AD"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25.03.2024</w:t>
            </w:r>
          </w:p>
        </w:tc>
        <w:tc>
          <w:tcPr>
            <w:tcW w:w="485" w:type="pct"/>
            <w:tcBorders>
              <w:top w:val="nil"/>
              <w:left w:val="nil"/>
              <w:bottom w:val="single" w:sz="8" w:space="0" w:color="0F14D2"/>
              <w:right w:val="single" w:sz="8" w:space="0" w:color="0F14D2"/>
            </w:tcBorders>
            <w:vAlign w:val="center"/>
            <w:hideMark/>
          </w:tcPr>
          <w:p w14:paraId="3F8A4E1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39 993 131,09</w:t>
            </w:r>
          </w:p>
        </w:tc>
      </w:tr>
      <w:tr w:rsidR="000B435E" w:rsidRPr="003E3BD7" w14:paraId="6A0B1B1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0B3EB7C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38</w:t>
            </w:r>
          </w:p>
        </w:tc>
        <w:tc>
          <w:tcPr>
            <w:tcW w:w="436" w:type="pct"/>
            <w:tcBorders>
              <w:top w:val="nil"/>
              <w:left w:val="single" w:sz="8" w:space="0" w:color="0F14D2"/>
              <w:bottom w:val="single" w:sz="8" w:space="0" w:color="0F14D2"/>
              <w:right w:val="nil"/>
            </w:tcBorders>
            <w:vAlign w:val="center"/>
            <w:hideMark/>
          </w:tcPr>
          <w:p w14:paraId="001E23F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FEKP.06.04-IZ.00-031/23</w:t>
            </w:r>
          </w:p>
        </w:tc>
        <w:tc>
          <w:tcPr>
            <w:tcW w:w="340" w:type="pct"/>
            <w:tcBorders>
              <w:top w:val="nil"/>
              <w:left w:val="single" w:sz="8" w:space="0" w:color="0F14D2"/>
              <w:bottom w:val="single" w:sz="8" w:space="0" w:color="0F14D2"/>
              <w:right w:val="single" w:sz="8" w:space="0" w:color="0F14D2"/>
            </w:tcBorders>
            <w:noWrap/>
            <w:vAlign w:val="center"/>
            <w:hideMark/>
          </w:tcPr>
          <w:p w14:paraId="1F55A0AE"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301FBA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06.04 (EFRR)</w:t>
            </w:r>
          </w:p>
        </w:tc>
        <w:tc>
          <w:tcPr>
            <w:tcW w:w="291" w:type="pct"/>
            <w:tcBorders>
              <w:top w:val="nil"/>
              <w:left w:val="nil"/>
              <w:bottom w:val="single" w:sz="8" w:space="0" w:color="0F14D2"/>
              <w:right w:val="single" w:sz="8" w:space="0" w:color="0F14D2"/>
            </w:tcBorders>
            <w:noWrap/>
            <w:vAlign w:val="center"/>
            <w:hideMark/>
          </w:tcPr>
          <w:p w14:paraId="6E20A9C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761E559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04C760E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Dostępność szkół wraz z edukacyjną bazą sportową</w:t>
            </w:r>
          </w:p>
        </w:tc>
        <w:tc>
          <w:tcPr>
            <w:tcW w:w="388" w:type="pct"/>
            <w:tcBorders>
              <w:top w:val="nil"/>
              <w:left w:val="nil"/>
              <w:bottom w:val="single" w:sz="8" w:space="0" w:color="0F14D2"/>
              <w:right w:val="single" w:sz="8" w:space="0" w:color="0F14D2"/>
            </w:tcBorders>
            <w:vAlign w:val="center"/>
            <w:hideMark/>
          </w:tcPr>
          <w:p w14:paraId="6FDD0A9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DEBC45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w:t>
            </w:r>
          </w:p>
        </w:tc>
        <w:tc>
          <w:tcPr>
            <w:tcW w:w="292" w:type="pct"/>
            <w:tcBorders>
              <w:top w:val="nil"/>
              <w:left w:val="nil"/>
              <w:bottom w:val="single" w:sz="8" w:space="0" w:color="0F14D2"/>
              <w:right w:val="single" w:sz="8" w:space="0" w:color="0F14D2"/>
            </w:tcBorders>
            <w:vAlign w:val="center"/>
            <w:hideMark/>
          </w:tcPr>
          <w:p w14:paraId="28D8A2D0" w14:textId="2519B6F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9EAD18B" w14:textId="565B0BD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24.07.2023</w:t>
            </w:r>
          </w:p>
        </w:tc>
        <w:tc>
          <w:tcPr>
            <w:tcW w:w="437" w:type="pct"/>
            <w:tcBorders>
              <w:top w:val="nil"/>
              <w:left w:val="nil"/>
              <w:bottom w:val="single" w:sz="8" w:space="0" w:color="0F14D2"/>
              <w:right w:val="single" w:sz="8" w:space="0" w:color="0F14D2"/>
            </w:tcBorders>
            <w:vAlign w:val="center"/>
            <w:hideMark/>
          </w:tcPr>
          <w:p w14:paraId="60757C03" w14:textId="689098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29.02.2024</w:t>
            </w:r>
          </w:p>
        </w:tc>
        <w:tc>
          <w:tcPr>
            <w:tcW w:w="485" w:type="pct"/>
            <w:tcBorders>
              <w:top w:val="nil"/>
              <w:left w:val="nil"/>
              <w:bottom w:val="single" w:sz="8" w:space="0" w:color="0F14D2"/>
              <w:right w:val="single" w:sz="8" w:space="0" w:color="0F14D2"/>
            </w:tcBorders>
            <w:vAlign w:val="center"/>
            <w:hideMark/>
          </w:tcPr>
          <w:p w14:paraId="162379F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15 514 854,71</w:t>
            </w:r>
          </w:p>
        </w:tc>
      </w:tr>
      <w:tr w:rsidR="000B435E" w:rsidRPr="003E3BD7" w14:paraId="538EF96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471B7F86"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39</w:t>
            </w:r>
          </w:p>
        </w:tc>
        <w:tc>
          <w:tcPr>
            <w:tcW w:w="436" w:type="pct"/>
            <w:tcBorders>
              <w:top w:val="nil"/>
              <w:left w:val="single" w:sz="8" w:space="0" w:color="0F14D2"/>
              <w:bottom w:val="single" w:sz="8" w:space="0" w:color="0F14D2"/>
              <w:right w:val="nil"/>
            </w:tcBorders>
            <w:vAlign w:val="center"/>
            <w:hideMark/>
          </w:tcPr>
          <w:p w14:paraId="04F811A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FEKP.06.08-IZ.00-112/24</w:t>
            </w:r>
          </w:p>
        </w:tc>
        <w:tc>
          <w:tcPr>
            <w:tcW w:w="340" w:type="pct"/>
            <w:tcBorders>
              <w:top w:val="nil"/>
              <w:left w:val="single" w:sz="8" w:space="0" w:color="0F14D2"/>
              <w:bottom w:val="single" w:sz="8" w:space="0" w:color="0F14D2"/>
              <w:right w:val="single" w:sz="8" w:space="0" w:color="0F14D2"/>
            </w:tcBorders>
            <w:noWrap/>
            <w:vAlign w:val="center"/>
            <w:hideMark/>
          </w:tcPr>
          <w:p w14:paraId="3BCAACB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6951531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06.08 (EFRR)</w:t>
            </w:r>
          </w:p>
        </w:tc>
        <w:tc>
          <w:tcPr>
            <w:tcW w:w="291" w:type="pct"/>
            <w:tcBorders>
              <w:top w:val="nil"/>
              <w:left w:val="nil"/>
              <w:bottom w:val="single" w:sz="8" w:space="0" w:color="0F14D2"/>
              <w:right w:val="single" w:sz="8" w:space="0" w:color="0F14D2"/>
            </w:tcBorders>
            <w:noWrap/>
            <w:vAlign w:val="center"/>
            <w:hideMark/>
          </w:tcPr>
          <w:p w14:paraId="6FED1B9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społeczna</w:t>
            </w:r>
          </w:p>
        </w:tc>
        <w:tc>
          <w:tcPr>
            <w:tcW w:w="486" w:type="pct"/>
            <w:tcBorders>
              <w:top w:val="nil"/>
              <w:left w:val="nil"/>
              <w:bottom w:val="single" w:sz="8" w:space="0" w:color="0F14D2"/>
              <w:right w:val="single" w:sz="8" w:space="0" w:color="0F14D2"/>
            </w:tcBorders>
            <w:vAlign w:val="center"/>
            <w:hideMark/>
          </w:tcPr>
          <w:p w14:paraId="7648CE0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2145F0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Inwestycje w infrastrukturę na potrzeby usług społecznych </w:t>
            </w:r>
            <w:r w:rsidRPr="00765A51">
              <w:rPr>
                <w:rFonts w:asciiTheme="minorHAnsi" w:eastAsia="Times New Roman" w:hAnsiTheme="minorHAnsi" w:cstheme="minorHAnsi"/>
                <w:color w:val="000000"/>
                <w:sz w:val="18"/>
                <w:szCs w:val="18"/>
                <w:lang w:eastAsia="pl-PL"/>
              </w:rPr>
              <w:lastRenderedPageBreak/>
              <w:t>świadczonych w środowisku – mieszkania treningowe lub wspomagane</w:t>
            </w:r>
          </w:p>
        </w:tc>
        <w:tc>
          <w:tcPr>
            <w:tcW w:w="388" w:type="pct"/>
            <w:tcBorders>
              <w:top w:val="nil"/>
              <w:left w:val="nil"/>
              <w:bottom w:val="single" w:sz="8" w:space="0" w:color="0F14D2"/>
              <w:right w:val="single" w:sz="8" w:space="0" w:color="0F14D2"/>
            </w:tcBorders>
            <w:vAlign w:val="center"/>
            <w:hideMark/>
          </w:tcPr>
          <w:p w14:paraId="428E2E7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K</w:t>
            </w:r>
          </w:p>
        </w:tc>
        <w:tc>
          <w:tcPr>
            <w:tcW w:w="389" w:type="pct"/>
            <w:tcBorders>
              <w:top w:val="nil"/>
              <w:left w:val="nil"/>
              <w:bottom w:val="single" w:sz="8" w:space="0" w:color="0F14D2"/>
              <w:right w:val="single" w:sz="8" w:space="0" w:color="0F14D2"/>
            </w:tcBorders>
            <w:vAlign w:val="center"/>
            <w:hideMark/>
          </w:tcPr>
          <w:p w14:paraId="639A4BE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w:t>
            </w:r>
          </w:p>
        </w:tc>
        <w:tc>
          <w:tcPr>
            <w:tcW w:w="292" w:type="pct"/>
            <w:tcBorders>
              <w:top w:val="nil"/>
              <w:left w:val="nil"/>
              <w:bottom w:val="single" w:sz="8" w:space="0" w:color="0F14D2"/>
              <w:right w:val="single" w:sz="8" w:space="0" w:color="0F14D2"/>
            </w:tcBorders>
            <w:vAlign w:val="center"/>
            <w:hideMark/>
          </w:tcPr>
          <w:p w14:paraId="315F86C2" w14:textId="3B042CD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5</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8C19B24" w14:textId="2A25962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15.04.2024</w:t>
            </w:r>
          </w:p>
        </w:tc>
        <w:tc>
          <w:tcPr>
            <w:tcW w:w="437" w:type="pct"/>
            <w:tcBorders>
              <w:top w:val="nil"/>
              <w:left w:val="nil"/>
              <w:bottom w:val="single" w:sz="8" w:space="0" w:color="0F14D2"/>
              <w:right w:val="single" w:sz="8" w:space="0" w:color="0F14D2"/>
            </w:tcBorders>
            <w:vAlign w:val="center"/>
            <w:hideMark/>
          </w:tcPr>
          <w:p w14:paraId="766985AC" w14:textId="77AFD7F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27.06.2024</w:t>
            </w:r>
          </w:p>
        </w:tc>
        <w:tc>
          <w:tcPr>
            <w:tcW w:w="485" w:type="pct"/>
            <w:tcBorders>
              <w:top w:val="nil"/>
              <w:left w:val="nil"/>
              <w:bottom w:val="single" w:sz="8" w:space="0" w:color="0F14D2"/>
              <w:right w:val="single" w:sz="8" w:space="0" w:color="0F14D2"/>
            </w:tcBorders>
            <w:vAlign w:val="center"/>
            <w:hideMark/>
          </w:tcPr>
          <w:p w14:paraId="493A104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31 212 808,82</w:t>
            </w:r>
          </w:p>
        </w:tc>
      </w:tr>
      <w:tr w:rsidR="000B435E" w:rsidRPr="003E3BD7" w14:paraId="1A6A56E6"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2F0322E3"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40</w:t>
            </w:r>
          </w:p>
        </w:tc>
        <w:tc>
          <w:tcPr>
            <w:tcW w:w="436" w:type="pct"/>
            <w:tcBorders>
              <w:top w:val="nil"/>
              <w:left w:val="single" w:sz="8" w:space="0" w:color="0F14D2"/>
              <w:bottom w:val="single" w:sz="8" w:space="0" w:color="0F14D2"/>
              <w:right w:val="nil"/>
            </w:tcBorders>
            <w:vAlign w:val="center"/>
            <w:hideMark/>
          </w:tcPr>
          <w:p w14:paraId="265E2DF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FEKP.06.09-IZ.00-132/24</w:t>
            </w:r>
          </w:p>
        </w:tc>
        <w:tc>
          <w:tcPr>
            <w:tcW w:w="340" w:type="pct"/>
            <w:tcBorders>
              <w:top w:val="nil"/>
              <w:left w:val="single" w:sz="8" w:space="0" w:color="0F14D2"/>
              <w:bottom w:val="single" w:sz="8" w:space="0" w:color="0F14D2"/>
              <w:right w:val="single" w:sz="8" w:space="0" w:color="0F14D2"/>
            </w:tcBorders>
            <w:noWrap/>
            <w:vAlign w:val="center"/>
            <w:hideMark/>
          </w:tcPr>
          <w:p w14:paraId="06162BD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tak</w:t>
            </w:r>
          </w:p>
        </w:tc>
        <w:tc>
          <w:tcPr>
            <w:tcW w:w="389" w:type="pct"/>
            <w:tcBorders>
              <w:top w:val="nil"/>
              <w:left w:val="nil"/>
              <w:bottom w:val="single" w:sz="8" w:space="0" w:color="0F14D2"/>
              <w:right w:val="single" w:sz="8" w:space="0" w:color="0F14D2"/>
            </w:tcBorders>
            <w:vAlign w:val="center"/>
            <w:hideMark/>
          </w:tcPr>
          <w:p w14:paraId="1B9D433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06.09 (EFRR)</w:t>
            </w:r>
          </w:p>
        </w:tc>
        <w:tc>
          <w:tcPr>
            <w:tcW w:w="291" w:type="pct"/>
            <w:tcBorders>
              <w:top w:val="nil"/>
              <w:left w:val="nil"/>
              <w:bottom w:val="single" w:sz="8" w:space="0" w:color="0F14D2"/>
              <w:right w:val="single" w:sz="8" w:space="0" w:color="0F14D2"/>
            </w:tcBorders>
            <w:noWrap/>
            <w:vAlign w:val="center"/>
            <w:hideMark/>
          </w:tcPr>
          <w:p w14:paraId="7B28092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zdrowotna</w:t>
            </w:r>
          </w:p>
        </w:tc>
        <w:tc>
          <w:tcPr>
            <w:tcW w:w="486" w:type="pct"/>
            <w:tcBorders>
              <w:top w:val="nil"/>
              <w:left w:val="nil"/>
              <w:bottom w:val="single" w:sz="8" w:space="0" w:color="0F14D2"/>
              <w:right w:val="single" w:sz="8" w:space="0" w:color="0F14D2"/>
            </w:tcBorders>
            <w:vAlign w:val="center"/>
            <w:hideMark/>
          </w:tcPr>
          <w:p w14:paraId="49F38F7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1FD34C3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ochrony zdrowia psychicznego w zakresie Centrów Zdrowia Psychicznego dla dorosłych</w:t>
            </w:r>
          </w:p>
        </w:tc>
        <w:tc>
          <w:tcPr>
            <w:tcW w:w="388" w:type="pct"/>
            <w:tcBorders>
              <w:top w:val="nil"/>
              <w:left w:val="nil"/>
              <w:bottom w:val="single" w:sz="8" w:space="0" w:color="0F14D2"/>
              <w:right w:val="single" w:sz="8" w:space="0" w:color="0F14D2"/>
            </w:tcBorders>
            <w:vAlign w:val="center"/>
            <w:hideMark/>
          </w:tcPr>
          <w:p w14:paraId="081F326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NK</w:t>
            </w:r>
          </w:p>
        </w:tc>
        <w:tc>
          <w:tcPr>
            <w:tcW w:w="389" w:type="pct"/>
            <w:tcBorders>
              <w:top w:val="nil"/>
              <w:left w:val="nil"/>
              <w:bottom w:val="single" w:sz="8" w:space="0" w:color="0F14D2"/>
              <w:right w:val="single" w:sz="8" w:space="0" w:color="0F14D2"/>
            </w:tcBorders>
            <w:vAlign w:val="center"/>
            <w:hideMark/>
          </w:tcPr>
          <w:p w14:paraId="2FDE104F" w14:textId="3C0A7034"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0</w:t>
            </w:r>
          </w:p>
        </w:tc>
        <w:tc>
          <w:tcPr>
            <w:tcW w:w="292" w:type="pct"/>
            <w:tcBorders>
              <w:top w:val="nil"/>
              <w:left w:val="nil"/>
              <w:bottom w:val="single" w:sz="8" w:space="0" w:color="0F14D2"/>
              <w:right w:val="single" w:sz="8" w:space="0" w:color="0F14D2"/>
            </w:tcBorders>
            <w:vAlign w:val="center"/>
            <w:hideMark/>
          </w:tcPr>
          <w:p w14:paraId="75246D94" w14:textId="20EF8485"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0</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118CC087" w14:textId="1C3C8CB6"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22.07.2024</w:t>
            </w:r>
          </w:p>
        </w:tc>
        <w:tc>
          <w:tcPr>
            <w:tcW w:w="437" w:type="pct"/>
            <w:tcBorders>
              <w:top w:val="nil"/>
              <w:left w:val="nil"/>
              <w:bottom w:val="single" w:sz="8" w:space="0" w:color="0F14D2"/>
              <w:right w:val="single" w:sz="8" w:space="0" w:color="0F14D2"/>
            </w:tcBorders>
            <w:vAlign w:val="center"/>
            <w:hideMark/>
          </w:tcPr>
          <w:p w14:paraId="5FC2B4F6" w14:textId="3E02F1A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21.08.2024</w:t>
            </w:r>
          </w:p>
        </w:tc>
        <w:tc>
          <w:tcPr>
            <w:tcW w:w="485" w:type="pct"/>
            <w:tcBorders>
              <w:top w:val="nil"/>
              <w:left w:val="nil"/>
              <w:bottom w:val="single" w:sz="8" w:space="0" w:color="0F14D2"/>
              <w:right w:val="single" w:sz="8" w:space="0" w:color="0F14D2"/>
            </w:tcBorders>
            <w:vAlign w:val="center"/>
            <w:hideMark/>
          </w:tcPr>
          <w:p w14:paraId="4BA52AD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22 204 585,58</w:t>
            </w:r>
          </w:p>
        </w:tc>
      </w:tr>
      <w:tr w:rsidR="000B435E" w:rsidRPr="003E3BD7" w14:paraId="63B2EAA4"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C947DA2"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41</w:t>
            </w:r>
          </w:p>
        </w:tc>
        <w:tc>
          <w:tcPr>
            <w:tcW w:w="436" w:type="pct"/>
            <w:tcBorders>
              <w:top w:val="nil"/>
              <w:left w:val="single" w:sz="8" w:space="0" w:color="0F14D2"/>
              <w:bottom w:val="single" w:sz="8" w:space="0" w:color="0F14D2"/>
              <w:right w:val="nil"/>
            </w:tcBorders>
            <w:vAlign w:val="center"/>
            <w:hideMark/>
          </w:tcPr>
          <w:p w14:paraId="67A4A603"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FEKP.06.14-IZ.00-048/23</w:t>
            </w:r>
          </w:p>
        </w:tc>
        <w:tc>
          <w:tcPr>
            <w:tcW w:w="340" w:type="pct"/>
            <w:tcBorders>
              <w:top w:val="nil"/>
              <w:left w:val="single" w:sz="8" w:space="0" w:color="0F14D2"/>
              <w:bottom w:val="single" w:sz="8" w:space="0" w:color="0F14D2"/>
              <w:right w:val="single" w:sz="8" w:space="0" w:color="0F14D2"/>
            </w:tcBorders>
            <w:noWrap/>
            <w:vAlign w:val="center"/>
            <w:hideMark/>
          </w:tcPr>
          <w:p w14:paraId="3281AC2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3B6906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06.14 (EFRR)</w:t>
            </w:r>
          </w:p>
        </w:tc>
        <w:tc>
          <w:tcPr>
            <w:tcW w:w="291" w:type="pct"/>
            <w:tcBorders>
              <w:top w:val="nil"/>
              <w:left w:val="nil"/>
              <w:bottom w:val="single" w:sz="8" w:space="0" w:color="0F14D2"/>
              <w:right w:val="single" w:sz="8" w:space="0" w:color="0F14D2"/>
            </w:tcBorders>
            <w:noWrap/>
            <w:vAlign w:val="center"/>
            <w:hideMark/>
          </w:tcPr>
          <w:p w14:paraId="7DCE0A9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647940E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1ABB0C0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Dostępność szkół wraz z edukacyjną bazą sportową</w:t>
            </w:r>
          </w:p>
        </w:tc>
        <w:tc>
          <w:tcPr>
            <w:tcW w:w="388" w:type="pct"/>
            <w:tcBorders>
              <w:top w:val="nil"/>
              <w:left w:val="nil"/>
              <w:bottom w:val="single" w:sz="8" w:space="0" w:color="0F14D2"/>
              <w:right w:val="single" w:sz="8" w:space="0" w:color="0F14D2"/>
            </w:tcBorders>
            <w:vAlign w:val="center"/>
            <w:hideMark/>
          </w:tcPr>
          <w:p w14:paraId="14C9079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F3400C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090F51A7" w14:textId="4917E08C"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BBC2858" w14:textId="5CB396A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24.08.2023</w:t>
            </w:r>
          </w:p>
        </w:tc>
        <w:tc>
          <w:tcPr>
            <w:tcW w:w="437" w:type="pct"/>
            <w:tcBorders>
              <w:top w:val="nil"/>
              <w:left w:val="nil"/>
              <w:bottom w:val="single" w:sz="8" w:space="0" w:color="0F14D2"/>
              <w:right w:val="single" w:sz="8" w:space="0" w:color="0F14D2"/>
            </w:tcBorders>
            <w:vAlign w:val="center"/>
            <w:hideMark/>
          </w:tcPr>
          <w:p w14:paraId="6C64860B" w14:textId="3DDE9AA0"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23.02.2024</w:t>
            </w:r>
          </w:p>
        </w:tc>
        <w:tc>
          <w:tcPr>
            <w:tcW w:w="485" w:type="pct"/>
            <w:tcBorders>
              <w:top w:val="nil"/>
              <w:left w:val="nil"/>
              <w:bottom w:val="single" w:sz="8" w:space="0" w:color="0F14D2"/>
              <w:right w:val="single" w:sz="8" w:space="0" w:color="0F14D2"/>
            </w:tcBorders>
            <w:vAlign w:val="center"/>
            <w:hideMark/>
          </w:tcPr>
          <w:p w14:paraId="6777382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7 210 754,08</w:t>
            </w:r>
          </w:p>
        </w:tc>
      </w:tr>
      <w:tr w:rsidR="000B435E" w:rsidRPr="003E3BD7" w14:paraId="11B1B1F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1E07CA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42</w:t>
            </w:r>
          </w:p>
        </w:tc>
        <w:tc>
          <w:tcPr>
            <w:tcW w:w="436" w:type="pct"/>
            <w:tcBorders>
              <w:top w:val="nil"/>
              <w:left w:val="single" w:sz="8" w:space="0" w:color="0F14D2"/>
              <w:bottom w:val="single" w:sz="8" w:space="0" w:color="0F14D2"/>
              <w:right w:val="nil"/>
            </w:tcBorders>
            <w:vAlign w:val="center"/>
            <w:hideMark/>
          </w:tcPr>
          <w:p w14:paraId="7C1BF6A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FEKP.06.15-IZ.00-066/23</w:t>
            </w:r>
          </w:p>
        </w:tc>
        <w:tc>
          <w:tcPr>
            <w:tcW w:w="340" w:type="pct"/>
            <w:tcBorders>
              <w:top w:val="nil"/>
              <w:left w:val="single" w:sz="8" w:space="0" w:color="0F14D2"/>
              <w:bottom w:val="single" w:sz="8" w:space="0" w:color="0F14D2"/>
              <w:right w:val="single" w:sz="8" w:space="0" w:color="0F14D2"/>
            </w:tcBorders>
            <w:noWrap/>
            <w:vAlign w:val="center"/>
            <w:hideMark/>
          </w:tcPr>
          <w:p w14:paraId="57D23D88"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378F74B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06.15 (EFRR)</w:t>
            </w:r>
          </w:p>
        </w:tc>
        <w:tc>
          <w:tcPr>
            <w:tcW w:w="291" w:type="pct"/>
            <w:tcBorders>
              <w:top w:val="nil"/>
              <w:left w:val="nil"/>
              <w:bottom w:val="single" w:sz="8" w:space="0" w:color="0F14D2"/>
              <w:right w:val="single" w:sz="8" w:space="0" w:color="0F14D2"/>
            </w:tcBorders>
            <w:noWrap/>
            <w:vAlign w:val="center"/>
            <w:hideMark/>
          </w:tcPr>
          <w:p w14:paraId="157DFA1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Infrastruktura edukacyjna</w:t>
            </w:r>
          </w:p>
        </w:tc>
        <w:tc>
          <w:tcPr>
            <w:tcW w:w="486" w:type="pct"/>
            <w:tcBorders>
              <w:top w:val="nil"/>
              <w:left w:val="nil"/>
              <w:bottom w:val="single" w:sz="8" w:space="0" w:color="0F14D2"/>
              <w:right w:val="single" w:sz="8" w:space="0" w:color="0F14D2"/>
            </w:tcBorders>
            <w:vAlign w:val="center"/>
            <w:hideMark/>
          </w:tcPr>
          <w:p w14:paraId="1CF0C54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OPPT</w:t>
            </w:r>
          </w:p>
        </w:tc>
        <w:tc>
          <w:tcPr>
            <w:tcW w:w="487" w:type="pct"/>
            <w:tcBorders>
              <w:top w:val="nil"/>
              <w:left w:val="nil"/>
              <w:bottom w:val="single" w:sz="8" w:space="0" w:color="0F14D2"/>
              <w:right w:val="single" w:sz="8" w:space="0" w:color="0F14D2"/>
            </w:tcBorders>
            <w:noWrap/>
            <w:vAlign w:val="center"/>
            <w:hideMark/>
          </w:tcPr>
          <w:p w14:paraId="5BCD557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Inwestycje w infrastrukturę kształcenia zawodowego OPPT</w:t>
            </w:r>
          </w:p>
        </w:tc>
        <w:tc>
          <w:tcPr>
            <w:tcW w:w="388" w:type="pct"/>
            <w:tcBorders>
              <w:top w:val="nil"/>
              <w:left w:val="nil"/>
              <w:bottom w:val="single" w:sz="8" w:space="0" w:color="0F14D2"/>
              <w:right w:val="single" w:sz="8" w:space="0" w:color="0F14D2"/>
            </w:tcBorders>
            <w:vAlign w:val="center"/>
            <w:hideMark/>
          </w:tcPr>
          <w:p w14:paraId="6F53944F"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746D86B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28D72488" w14:textId="52283124"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60A13279" w14:textId="427F8DD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27.10.2023</w:t>
            </w:r>
          </w:p>
        </w:tc>
        <w:tc>
          <w:tcPr>
            <w:tcW w:w="437" w:type="pct"/>
            <w:tcBorders>
              <w:top w:val="nil"/>
              <w:left w:val="nil"/>
              <w:bottom w:val="single" w:sz="8" w:space="0" w:color="0F14D2"/>
              <w:right w:val="single" w:sz="8" w:space="0" w:color="0F14D2"/>
            </w:tcBorders>
            <w:vAlign w:val="center"/>
            <w:hideMark/>
          </w:tcPr>
          <w:p w14:paraId="231A2739" w14:textId="316897F4"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26.04.2024</w:t>
            </w:r>
          </w:p>
        </w:tc>
        <w:tc>
          <w:tcPr>
            <w:tcW w:w="485" w:type="pct"/>
            <w:tcBorders>
              <w:top w:val="nil"/>
              <w:left w:val="nil"/>
              <w:bottom w:val="single" w:sz="8" w:space="0" w:color="0F14D2"/>
              <w:right w:val="single" w:sz="8" w:space="0" w:color="0F14D2"/>
            </w:tcBorders>
            <w:vAlign w:val="center"/>
            <w:hideMark/>
          </w:tcPr>
          <w:p w14:paraId="3D5F7253"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7 016 790,65</w:t>
            </w:r>
          </w:p>
        </w:tc>
      </w:tr>
      <w:tr w:rsidR="000B435E" w:rsidRPr="003E3BD7" w14:paraId="0E700B66"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69054C6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43</w:t>
            </w:r>
          </w:p>
        </w:tc>
        <w:tc>
          <w:tcPr>
            <w:tcW w:w="436" w:type="pct"/>
            <w:tcBorders>
              <w:top w:val="nil"/>
              <w:left w:val="single" w:sz="8" w:space="0" w:color="0F14D2"/>
              <w:bottom w:val="single" w:sz="8" w:space="0" w:color="0F14D2"/>
              <w:right w:val="nil"/>
            </w:tcBorders>
            <w:vAlign w:val="center"/>
            <w:hideMark/>
          </w:tcPr>
          <w:p w14:paraId="0B523A4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FEKP.08.10-IZ.00-025/23</w:t>
            </w:r>
          </w:p>
        </w:tc>
        <w:tc>
          <w:tcPr>
            <w:tcW w:w="340" w:type="pct"/>
            <w:tcBorders>
              <w:top w:val="nil"/>
              <w:left w:val="single" w:sz="8" w:space="0" w:color="0F14D2"/>
              <w:bottom w:val="single" w:sz="8" w:space="0" w:color="0F14D2"/>
              <w:right w:val="single" w:sz="8" w:space="0" w:color="0F14D2"/>
            </w:tcBorders>
            <w:noWrap/>
            <w:vAlign w:val="center"/>
            <w:hideMark/>
          </w:tcPr>
          <w:p w14:paraId="6C91BA16"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2D9CBC1B"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08.10 (EFS+)</w:t>
            </w:r>
          </w:p>
        </w:tc>
        <w:tc>
          <w:tcPr>
            <w:tcW w:w="291" w:type="pct"/>
            <w:tcBorders>
              <w:top w:val="nil"/>
              <w:left w:val="nil"/>
              <w:bottom w:val="single" w:sz="8" w:space="0" w:color="0F14D2"/>
              <w:right w:val="single" w:sz="8" w:space="0" w:color="0F14D2"/>
            </w:tcBorders>
            <w:noWrap/>
            <w:vAlign w:val="center"/>
            <w:hideMark/>
          </w:tcPr>
          <w:p w14:paraId="70E910A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3831B7E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6668167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Wychowanie przedszkolne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4232CA5E"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318A4AA5" w14:textId="6A4162D8"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8</w:t>
            </w:r>
          </w:p>
        </w:tc>
        <w:tc>
          <w:tcPr>
            <w:tcW w:w="292" w:type="pct"/>
            <w:tcBorders>
              <w:top w:val="nil"/>
              <w:left w:val="nil"/>
              <w:bottom w:val="single" w:sz="8" w:space="0" w:color="0F14D2"/>
              <w:right w:val="single" w:sz="8" w:space="0" w:color="0F14D2"/>
            </w:tcBorders>
            <w:vAlign w:val="center"/>
            <w:hideMark/>
          </w:tcPr>
          <w:p w14:paraId="215E7542" w14:textId="3F94D518"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39</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FC52C3C" w14:textId="78C246E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14.07.2023</w:t>
            </w:r>
          </w:p>
        </w:tc>
        <w:tc>
          <w:tcPr>
            <w:tcW w:w="437" w:type="pct"/>
            <w:tcBorders>
              <w:top w:val="nil"/>
              <w:left w:val="nil"/>
              <w:bottom w:val="single" w:sz="8" w:space="0" w:color="0F14D2"/>
              <w:right w:val="single" w:sz="8" w:space="0" w:color="0F14D2"/>
            </w:tcBorders>
            <w:vAlign w:val="center"/>
            <w:hideMark/>
          </w:tcPr>
          <w:p w14:paraId="0A3EC9AD" w14:textId="766FFB21"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30.04.2024</w:t>
            </w:r>
          </w:p>
        </w:tc>
        <w:tc>
          <w:tcPr>
            <w:tcW w:w="485" w:type="pct"/>
            <w:tcBorders>
              <w:top w:val="nil"/>
              <w:left w:val="nil"/>
              <w:bottom w:val="single" w:sz="8" w:space="0" w:color="0F14D2"/>
              <w:right w:val="single" w:sz="8" w:space="0" w:color="0F14D2"/>
            </w:tcBorders>
            <w:vAlign w:val="center"/>
            <w:hideMark/>
          </w:tcPr>
          <w:p w14:paraId="25CB9717"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13 395 017,65</w:t>
            </w:r>
          </w:p>
        </w:tc>
      </w:tr>
      <w:tr w:rsidR="000B435E" w:rsidRPr="003E3BD7" w14:paraId="61A052AF"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7B720AD0"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44</w:t>
            </w:r>
          </w:p>
        </w:tc>
        <w:tc>
          <w:tcPr>
            <w:tcW w:w="436" w:type="pct"/>
            <w:tcBorders>
              <w:top w:val="nil"/>
              <w:left w:val="single" w:sz="8" w:space="0" w:color="0F14D2"/>
              <w:bottom w:val="single" w:sz="8" w:space="0" w:color="0F14D2"/>
              <w:right w:val="nil"/>
            </w:tcBorders>
            <w:vAlign w:val="center"/>
            <w:hideMark/>
          </w:tcPr>
          <w:p w14:paraId="6115C7B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FEKP.08.11-IZ.00-149/24</w:t>
            </w:r>
          </w:p>
        </w:tc>
        <w:tc>
          <w:tcPr>
            <w:tcW w:w="340" w:type="pct"/>
            <w:tcBorders>
              <w:top w:val="nil"/>
              <w:left w:val="single" w:sz="8" w:space="0" w:color="0F14D2"/>
              <w:bottom w:val="single" w:sz="8" w:space="0" w:color="0F14D2"/>
              <w:right w:val="single" w:sz="8" w:space="0" w:color="0F14D2"/>
            </w:tcBorders>
            <w:noWrap/>
            <w:vAlign w:val="center"/>
            <w:hideMark/>
          </w:tcPr>
          <w:p w14:paraId="1B9AD481"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1DD70E5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08.11 (EFS+)</w:t>
            </w:r>
          </w:p>
        </w:tc>
        <w:tc>
          <w:tcPr>
            <w:tcW w:w="291" w:type="pct"/>
            <w:tcBorders>
              <w:top w:val="nil"/>
              <w:left w:val="nil"/>
              <w:bottom w:val="single" w:sz="8" w:space="0" w:color="0F14D2"/>
              <w:right w:val="single" w:sz="8" w:space="0" w:color="0F14D2"/>
            </w:tcBorders>
            <w:noWrap/>
            <w:vAlign w:val="center"/>
            <w:hideMark/>
          </w:tcPr>
          <w:p w14:paraId="5E4ED3C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111FA33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05C5E6C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Tworzenie nowych miejsc wychowania przedszkolnego</w:t>
            </w:r>
          </w:p>
        </w:tc>
        <w:tc>
          <w:tcPr>
            <w:tcW w:w="388" w:type="pct"/>
            <w:tcBorders>
              <w:top w:val="nil"/>
              <w:left w:val="nil"/>
              <w:bottom w:val="single" w:sz="8" w:space="0" w:color="0F14D2"/>
              <w:right w:val="single" w:sz="8" w:space="0" w:color="0F14D2"/>
            </w:tcBorders>
            <w:vAlign w:val="center"/>
            <w:hideMark/>
          </w:tcPr>
          <w:p w14:paraId="143319B1"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076D5406"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4</w:t>
            </w:r>
          </w:p>
        </w:tc>
        <w:tc>
          <w:tcPr>
            <w:tcW w:w="292" w:type="pct"/>
            <w:tcBorders>
              <w:top w:val="nil"/>
              <w:left w:val="nil"/>
              <w:bottom w:val="single" w:sz="8" w:space="0" w:color="0F14D2"/>
              <w:right w:val="single" w:sz="8" w:space="0" w:color="0F14D2"/>
            </w:tcBorders>
            <w:vAlign w:val="center"/>
            <w:hideMark/>
          </w:tcPr>
          <w:p w14:paraId="083D30EA" w14:textId="1C86178F"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26</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2E8A4678" w14:textId="08B4D2A7"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31.10.2024</w:t>
            </w:r>
          </w:p>
        </w:tc>
        <w:tc>
          <w:tcPr>
            <w:tcW w:w="437" w:type="pct"/>
            <w:tcBorders>
              <w:top w:val="nil"/>
              <w:left w:val="nil"/>
              <w:bottom w:val="single" w:sz="8" w:space="0" w:color="0F14D2"/>
              <w:right w:val="single" w:sz="8" w:space="0" w:color="0F14D2"/>
            </w:tcBorders>
            <w:vAlign w:val="center"/>
            <w:hideMark/>
          </w:tcPr>
          <w:p w14:paraId="09BE2BAF" w14:textId="165CDA7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11.12.2024</w:t>
            </w:r>
          </w:p>
        </w:tc>
        <w:tc>
          <w:tcPr>
            <w:tcW w:w="485" w:type="pct"/>
            <w:tcBorders>
              <w:top w:val="nil"/>
              <w:left w:val="nil"/>
              <w:bottom w:val="single" w:sz="8" w:space="0" w:color="0F14D2"/>
              <w:right w:val="single" w:sz="8" w:space="0" w:color="0F14D2"/>
            </w:tcBorders>
            <w:vAlign w:val="center"/>
            <w:hideMark/>
          </w:tcPr>
          <w:p w14:paraId="5F9E93FE"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6 773 433,09</w:t>
            </w:r>
          </w:p>
        </w:tc>
      </w:tr>
      <w:tr w:rsidR="000B435E" w:rsidRPr="003E3BD7" w14:paraId="2F6B0038" w14:textId="77777777" w:rsidTr="0076709A">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5E90F47D"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45</w:t>
            </w:r>
          </w:p>
        </w:tc>
        <w:tc>
          <w:tcPr>
            <w:tcW w:w="436" w:type="pct"/>
            <w:tcBorders>
              <w:top w:val="nil"/>
              <w:left w:val="single" w:sz="8" w:space="0" w:color="0F14D2"/>
              <w:bottom w:val="single" w:sz="8" w:space="0" w:color="0F14D2"/>
              <w:right w:val="nil"/>
            </w:tcBorders>
            <w:vAlign w:val="center"/>
            <w:hideMark/>
          </w:tcPr>
          <w:p w14:paraId="7A005558"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FEKP.08.13-IZ.00-026/23</w:t>
            </w:r>
          </w:p>
        </w:tc>
        <w:tc>
          <w:tcPr>
            <w:tcW w:w="340" w:type="pct"/>
            <w:tcBorders>
              <w:top w:val="nil"/>
              <w:left w:val="single" w:sz="8" w:space="0" w:color="0F14D2"/>
              <w:bottom w:val="single" w:sz="8" w:space="0" w:color="0F14D2"/>
              <w:right w:val="single" w:sz="8" w:space="0" w:color="0F14D2"/>
            </w:tcBorders>
            <w:noWrap/>
            <w:vAlign w:val="center"/>
            <w:hideMark/>
          </w:tcPr>
          <w:p w14:paraId="79D70D6C"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4A2ADD32"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08.13 (EFS+)</w:t>
            </w:r>
          </w:p>
        </w:tc>
        <w:tc>
          <w:tcPr>
            <w:tcW w:w="291" w:type="pct"/>
            <w:tcBorders>
              <w:top w:val="nil"/>
              <w:left w:val="nil"/>
              <w:bottom w:val="single" w:sz="8" w:space="0" w:color="0F14D2"/>
              <w:right w:val="single" w:sz="8" w:space="0" w:color="0F14D2"/>
            </w:tcBorders>
            <w:noWrap/>
            <w:vAlign w:val="center"/>
            <w:hideMark/>
          </w:tcPr>
          <w:p w14:paraId="6974B5D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Edukacja</w:t>
            </w:r>
          </w:p>
        </w:tc>
        <w:tc>
          <w:tcPr>
            <w:tcW w:w="486" w:type="pct"/>
            <w:tcBorders>
              <w:top w:val="nil"/>
              <w:left w:val="nil"/>
              <w:bottom w:val="single" w:sz="8" w:space="0" w:color="0F14D2"/>
              <w:right w:val="single" w:sz="8" w:space="0" w:color="0F14D2"/>
            </w:tcBorders>
            <w:vAlign w:val="center"/>
            <w:hideMark/>
          </w:tcPr>
          <w:p w14:paraId="3D70911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487" w:type="pct"/>
            <w:tcBorders>
              <w:top w:val="nil"/>
              <w:left w:val="nil"/>
              <w:bottom w:val="single" w:sz="8" w:space="0" w:color="0F14D2"/>
              <w:right w:val="single" w:sz="8" w:space="0" w:color="0F14D2"/>
            </w:tcBorders>
            <w:noWrap/>
            <w:vAlign w:val="center"/>
            <w:hideMark/>
          </w:tcPr>
          <w:p w14:paraId="227AB144"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Kształcenie ogólne </w:t>
            </w:r>
            <w:proofErr w:type="spellStart"/>
            <w:r w:rsidRPr="00765A51">
              <w:rPr>
                <w:rFonts w:asciiTheme="minorHAnsi" w:eastAsia="Times New Roman" w:hAnsiTheme="minorHAnsi" w:cstheme="minorHAnsi"/>
                <w:color w:val="000000"/>
                <w:sz w:val="18"/>
                <w:szCs w:val="18"/>
                <w:lang w:eastAsia="pl-PL"/>
              </w:rPr>
              <w:t>ZITy</w:t>
            </w:r>
            <w:proofErr w:type="spellEnd"/>
            <w:r w:rsidRPr="00765A51">
              <w:rPr>
                <w:rFonts w:asciiTheme="minorHAnsi" w:eastAsia="Times New Roman" w:hAnsiTheme="minorHAnsi" w:cstheme="minorHAnsi"/>
                <w:color w:val="000000"/>
                <w:sz w:val="18"/>
                <w:szCs w:val="18"/>
                <w:lang w:eastAsia="pl-PL"/>
              </w:rPr>
              <w:t xml:space="preserve"> regionalne</w:t>
            </w:r>
          </w:p>
        </w:tc>
        <w:tc>
          <w:tcPr>
            <w:tcW w:w="388" w:type="pct"/>
            <w:tcBorders>
              <w:top w:val="nil"/>
              <w:left w:val="nil"/>
              <w:bottom w:val="single" w:sz="8" w:space="0" w:color="0F14D2"/>
              <w:right w:val="single" w:sz="8" w:space="0" w:color="0F14D2"/>
            </w:tcBorders>
            <w:vAlign w:val="center"/>
            <w:hideMark/>
          </w:tcPr>
          <w:p w14:paraId="57EF40F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109D0819" w14:textId="07512FA5" w:rsidR="00F40BE0" w:rsidRPr="00765A51" w:rsidRDefault="009D7737" w:rsidP="00F40BE0">
            <w:pPr>
              <w:spacing w:before="0" w:after="0" w:line="240" w:lineRule="auto"/>
              <w:jc w:val="right"/>
              <w:rPr>
                <w:rFonts w:asciiTheme="minorHAnsi" w:eastAsia="Times New Roman" w:hAnsiTheme="minorHAnsi" w:cstheme="minorHAnsi"/>
                <w:color w:val="000000"/>
                <w:sz w:val="18"/>
                <w:szCs w:val="18"/>
                <w:lang w:eastAsia="pl-PL"/>
              </w:rPr>
            </w:pPr>
            <w:r>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734C66EB" w14:textId="1763A7A9"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3</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5153C48" w14:textId="5D1E0BC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17.07.2023</w:t>
            </w:r>
          </w:p>
        </w:tc>
        <w:tc>
          <w:tcPr>
            <w:tcW w:w="437" w:type="pct"/>
            <w:tcBorders>
              <w:top w:val="nil"/>
              <w:left w:val="nil"/>
              <w:bottom w:val="single" w:sz="8" w:space="0" w:color="0F14D2"/>
              <w:right w:val="single" w:sz="8" w:space="0" w:color="0F14D2"/>
            </w:tcBorders>
            <w:vAlign w:val="center"/>
            <w:hideMark/>
          </w:tcPr>
          <w:p w14:paraId="2AB67A30" w14:textId="7A52CAE3"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16.01.2024</w:t>
            </w:r>
          </w:p>
        </w:tc>
        <w:tc>
          <w:tcPr>
            <w:tcW w:w="485" w:type="pct"/>
            <w:tcBorders>
              <w:top w:val="nil"/>
              <w:left w:val="nil"/>
              <w:bottom w:val="single" w:sz="8" w:space="0" w:color="0F14D2"/>
              <w:right w:val="single" w:sz="8" w:space="0" w:color="0F14D2"/>
            </w:tcBorders>
            <w:vAlign w:val="center"/>
            <w:hideMark/>
          </w:tcPr>
          <w:p w14:paraId="357A49B9"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33 239 488,24</w:t>
            </w:r>
          </w:p>
        </w:tc>
      </w:tr>
      <w:tr w:rsidR="000B435E" w:rsidRPr="003E3BD7" w14:paraId="784F58B9"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36F43F28"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46</w:t>
            </w:r>
          </w:p>
        </w:tc>
        <w:tc>
          <w:tcPr>
            <w:tcW w:w="436" w:type="pct"/>
            <w:tcBorders>
              <w:top w:val="nil"/>
              <w:left w:val="single" w:sz="8" w:space="0" w:color="0F14D2"/>
              <w:bottom w:val="single" w:sz="8" w:space="0" w:color="0F14D2"/>
              <w:right w:val="nil"/>
            </w:tcBorders>
            <w:vAlign w:val="center"/>
            <w:hideMark/>
          </w:tcPr>
          <w:p w14:paraId="5327C1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FEKP.08.23-IZ.00-030/23</w:t>
            </w:r>
          </w:p>
        </w:tc>
        <w:tc>
          <w:tcPr>
            <w:tcW w:w="340" w:type="pct"/>
            <w:tcBorders>
              <w:top w:val="nil"/>
              <w:left w:val="single" w:sz="8" w:space="0" w:color="0F14D2"/>
              <w:bottom w:val="single" w:sz="8" w:space="0" w:color="0F14D2"/>
              <w:right w:val="single" w:sz="8" w:space="0" w:color="0F14D2"/>
            </w:tcBorders>
            <w:noWrap/>
            <w:vAlign w:val="center"/>
            <w:hideMark/>
          </w:tcPr>
          <w:p w14:paraId="3726735B"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w:t>
            </w:r>
          </w:p>
        </w:tc>
        <w:tc>
          <w:tcPr>
            <w:tcW w:w="389" w:type="pct"/>
            <w:tcBorders>
              <w:top w:val="nil"/>
              <w:left w:val="nil"/>
              <w:bottom w:val="single" w:sz="8" w:space="0" w:color="0F14D2"/>
              <w:right w:val="single" w:sz="8" w:space="0" w:color="0F14D2"/>
            </w:tcBorders>
            <w:vAlign w:val="center"/>
            <w:hideMark/>
          </w:tcPr>
          <w:p w14:paraId="59243D2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08.23 (EFS+)</w:t>
            </w:r>
          </w:p>
        </w:tc>
        <w:tc>
          <w:tcPr>
            <w:tcW w:w="291" w:type="pct"/>
            <w:tcBorders>
              <w:top w:val="nil"/>
              <w:left w:val="nil"/>
              <w:bottom w:val="single" w:sz="8" w:space="0" w:color="0F14D2"/>
              <w:right w:val="single" w:sz="8" w:space="0" w:color="0F14D2"/>
            </w:tcBorders>
            <w:noWrap/>
            <w:vAlign w:val="center"/>
            <w:hideMark/>
          </w:tcPr>
          <w:p w14:paraId="5E4AEBDD"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Włączenie </w:t>
            </w:r>
            <w:r w:rsidRPr="00765A51">
              <w:rPr>
                <w:rFonts w:asciiTheme="minorHAnsi" w:eastAsia="Times New Roman" w:hAnsiTheme="minorHAnsi" w:cstheme="minorHAnsi"/>
                <w:color w:val="000000"/>
                <w:sz w:val="18"/>
                <w:szCs w:val="18"/>
                <w:lang w:eastAsia="pl-PL"/>
              </w:rPr>
              <w:lastRenderedPageBreak/>
              <w:t>społeczne</w:t>
            </w:r>
          </w:p>
        </w:tc>
        <w:tc>
          <w:tcPr>
            <w:tcW w:w="486" w:type="pct"/>
            <w:tcBorders>
              <w:top w:val="nil"/>
              <w:left w:val="nil"/>
              <w:bottom w:val="single" w:sz="8" w:space="0" w:color="0F14D2"/>
              <w:right w:val="single" w:sz="8" w:space="0" w:color="0F14D2"/>
            </w:tcBorders>
            <w:vAlign w:val="center"/>
            <w:hideMark/>
          </w:tcPr>
          <w:p w14:paraId="7B47704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nie dotyczy PT</w:t>
            </w:r>
          </w:p>
        </w:tc>
        <w:tc>
          <w:tcPr>
            <w:tcW w:w="487" w:type="pct"/>
            <w:tcBorders>
              <w:top w:val="nil"/>
              <w:left w:val="nil"/>
              <w:bottom w:val="single" w:sz="8" w:space="0" w:color="0F14D2"/>
              <w:right w:val="single" w:sz="8" w:space="0" w:color="0F14D2"/>
            </w:tcBorders>
            <w:noWrap/>
            <w:vAlign w:val="center"/>
            <w:hideMark/>
          </w:tcPr>
          <w:p w14:paraId="7EAC0CD7"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Wspieranie integracji zawodowej </w:t>
            </w:r>
            <w:r w:rsidRPr="00765A51">
              <w:rPr>
                <w:rFonts w:asciiTheme="minorHAnsi" w:eastAsia="Times New Roman" w:hAnsiTheme="minorHAnsi" w:cstheme="minorHAnsi"/>
                <w:color w:val="000000"/>
                <w:sz w:val="18"/>
                <w:szCs w:val="18"/>
                <w:lang w:eastAsia="pl-PL"/>
              </w:rPr>
              <w:lastRenderedPageBreak/>
              <w:t>obywateli państw trzecich przez Wojewódzki Urząd Pracy w Toruniu</w:t>
            </w:r>
          </w:p>
        </w:tc>
        <w:tc>
          <w:tcPr>
            <w:tcW w:w="388" w:type="pct"/>
            <w:tcBorders>
              <w:top w:val="nil"/>
              <w:left w:val="nil"/>
              <w:bottom w:val="single" w:sz="8" w:space="0" w:color="0F14D2"/>
              <w:right w:val="single" w:sz="8" w:space="0" w:color="0F14D2"/>
            </w:tcBorders>
            <w:vAlign w:val="center"/>
            <w:hideMark/>
          </w:tcPr>
          <w:p w14:paraId="2975906A"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lastRenderedPageBreak/>
              <w:t>NK</w:t>
            </w:r>
          </w:p>
        </w:tc>
        <w:tc>
          <w:tcPr>
            <w:tcW w:w="389" w:type="pct"/>
            <w:tcBorders>
              <w:top w:val="nil"/>
              <w:left w:val="nil"/>
              <w:bottom w:val="single" w:sz="8" w:space="0" w:color="0F14D2"/>
              <w:right w:val="single" w:sz="8" w:space="0" w:color="0F14D2"/>
            </w:tcBorders>
            <w:vAlign w:val="center"/>
            <w:hideMark/>
          </w:tcPr>
          <w:p w14:paraId="1E31F32C"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7D4AAF74" w14:textId="146EE35E"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47</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3539F87E" w14:textId="530A217E"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21.07.2023</w:t>
            </w:r>
          </w:p>
        </w:tc>
        <w:tc>
          <w:tcPr>
            <w:tcW w:w="437" w:type="pct"/>
            <w:tcBorders>
              <w:top w:val="nil"/>
              <w:left w:val="nil"/>
              <w:bottom w:val="single" w:sz="8" w:space="0" w:color="0F14D2"/>
              <w:right w:val="single" w:sz="8" w:space="0" w:color="0F14D2"/>
            </w:tcBorders>
            <w:vAlign w:val="center"/>
            <w:hideMark/>
          </w:tcPr>
          <w:p w14:paraId="0BFEBD4A" w14:textId="7850CA1C"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10.08.2023</w:t>
            </w:r>
          </w:p>
        </w:tc>
        <w:tc>
          <w:tcPr>
            <w:tcW w:w="485" w:type="pct"/>
            <w:tcBorders>
              <w:top w:val="nil"/>
              <w:left w:val="nil"/>
              <w:bottom w:val="single" w:sz="8" w:space="0" w:color="0F14D2"/>
              <w:right w:val="single" w:sz="8" w:space="0" w:color="0F14D2"/>
            </w:tcBorders>
            <w:vAlign w:val="center"/>
            <w:hideMark/>
          </w:tcPr>
          <w:p w14:paraId="46B0663F"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10 473 470,59</w:t>
            </w:r>
          </w:p>
        </w:tc>
      </w:tr>
      <w:tr w:rsidR="000B435E" w:rsidRPr="003E3BD7" w14:paraId="559D504E" w14:textId="77777777" w:rsidTr="00EF7A36">
        <w:trPr>
          <w:trHeight w:val="465"/>
        </w:trPr>
        <w:tc>
          <w:tcPr>
            <w:tcW w:w="143" w:type="pct"/>
            <w:tcBorders>
              <w:top w:val="nil"/>
              <w:left w:val="single" w:sz="8" w:space="0" w:color="0F14D2"/>
              <w:bottom w:val="single" w:sz="8" w:space="0" w:color="0F14D2"/>
              <w:right w:val="nil"/>
            </w:tcBorders>
            <w:shd w:val="clear" w:color="000000" w:fill="FFFFFF"/>
            <w:vAlign w:val="center"/>
            <w:hideMark/>
          </w:tcPr>
          <w:p w14:paraId="170BA93F" w14:textId="77777777" w:rsidR="00F40BE0" w:rsidRPr="00765A51" w:rsidRDefault="00F40BE0" w:rsidP="00F40BE0">
            <w:pPr>
              <w:spacing w:before="0" w:after="0" w:line="240" w:lineRule="auto"/>
              <w:jc w:val="right"/>
              <w:rPr>
                <w:rFonts w:asciiTheme="minorHAnsi" w:eastAsia="Times New Roman" w:hAnsiTheme="minorHAnsi" w:cstheme="minorHAnsi"/>
                <w:b/>
                <w:bCs/>
                <w:color w:val="000000"/>
                <w:sz w:val="18"/>
                <w:szCs w:val="18"/>
                <w:lang w:eastAsia="pl-PL"/>
              </w:rPr>
            </w:pPr>
            <w:r w:rsidRPr="00765A51">
              <w:rPr>
                <w:rFonts w:asciiTheme="minorHAnsi" w:eastAsia="Times New Roman" w:hAnsiTheme="minorHAnsi" w:cstheme="minorHAnsi"/>
                <w:b/>
                <w:bCs/>
                <w:color w:val="000000"/>
                <w:sz w:val="18"/>
                <w:szCs w:val="18"/>
                <w:lang w:eastAsia="pl-PL"/>
              </w:rPr>
              <w:t>47</w:t>
            </w:r>
          </w:p>
        </w:tc>
        <w:tc>
          <w:tcPr>
            <w:tcW w:w="436" w:type="pct"/>
            <w:tcBorders>
              <w:top w:val="nil"/>
              <w:left w:val="single" w:sz="8" w:space="0" w:color="0F14D2"/>
              <w:bottom w:val="single" w:sz="8" w:space="0" w:color="0F14D2"/>
              <w:right w:val="nil"/>
            </w:tcBorders>
            <w:vAlign w:val="center"/>
            <w:hideMark/>
          </w:tcPr>
          <w:p w14:paraId="35688910"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FEKP.08.24-IZ.00-144/24</w:t>
            </w:r>
          </w:p>
        </w:tc>
        <w:tc>
          <w:tcPr>
            <w:tcW w:w="340" w:type="pct"/>
            <w:tcBorders>
              <w:top w:val="nil"/>
              <w:left w:val="single" w:sz="8" w:space="0" w:color="0F14D2"/>
              <w:bottom w:val="single" w:sz="8" w:space="0" w:color="0F14D2"/>
              <w:right w:val="single" w:sz="8" w:space="0" w:color="0F14D2"/>
            </w:tcBorders>
            <w:noWrap/>
            <w:vAlign w:val="center"/>
            <w:hideMark/>
          </w:tcPr>
          <w:p w14:paraId="065F06FA" w14:textId="77777777" w:rsidR="00F40BE0" w:rsidRPr="00765A51" w:rsidRDefault="00F40BE0" w:rsidP="00EF7A36">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 xml:space="preserve">nie </w:t>
            </w:r>
          </w:p>
        </w:tc>
        <w:tc>
          <w:tcPr>
            <w:tcW w:w="389" w:type="pct"/>
            <w:tcBorders>
              <w:top w:val="nil"/>
              <w:left w:val="nil"/>
              <w:bottom w:val="single" w:sz="8" w:space="0" w:color="0F14D2"/>
              <w:right w:val="single" w:sz="8" w:space="0" w:color="0F14D2"/>
            </w:tcBorders>
            <w:vAlign w:val="center"/>
            <w:hideMark/>
          </w:tcPr>
          <w:p w14:paraId="069B685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08.24 (EFS+)</w:t>
            </w:r>
          </w:p>
        </w:tc>
        <w:tc>
          <w:tcPr>
            <w:tcW w:w="291" w:type="pct"/>
            <w:tcBorders>
              <w:top w:val="nil"/>
              <w:left w:val="nil"/>
              <w:bottom w:val="single" w:sz="8" w:space="0" w:color="0F14D2"/>
              <w:right w:val="single" w:sz="8" w:space="0" w:color="0F14D2"/>
            </w:tcBorders>
            <w:noWrap/>
            <w:vAlign w:val="center"/>
            <w:hideMark/>
          </w:tcPr>
          <w:p w14:paraId="12FE519C"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Włączenie społeczne</w:t>
            </w:r>
          </w:p>
        </w:tc>
        <w:tc>
          <w:tcPr>
            <w:tcW w:w="486" w:type="pct"/>
            <w:tcBorders>
              <w:top w:val="nil"/>
              <w:left w:val="nil"/>
              <w:bottom w:val="single" w:sz="8" w:space="0" w:color="0F14D2"/>
              <w:right w:val="single" w:sz="8" w:space="0" w:color="0F14D2"/>
            </w:tcBorders>
            <w:vAlign w:val="center"/>
            <w:hideMark/>
          </w:tcPr>
          <w:p w14:paraId="418D8126"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nie dotyczy PT</w:t>
            </w:r>
          </w:p>
        </w:tc>
        <w:tc>
          <w:tcPr>
            <w:tcW w:w="487" w:type="pct"/>
            <w:tcBorders>
              <w:top w:val="nil"/>
              <w:left w:val="nil"/>
              <w:bottom w:val="single" w:sz="8" w:space="0" w:color="0F14D2"/>
              <w:right w:val="single" w:sz="8" w:space="0" w:color="0F14D2"/>
            </w:tcBorders>
            <w:noWrap/>
            <w:vAlign w:val="center"/>
            <w:hideMark/>
          </w:tcPr>
          <w:p w14:paraId="6CA06079"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Rozwój usług w mieszkaniach treningowych i wspomaganych</w:t>
            </w:r>
          </w:p>
        </w:tc>
        <w:tc>
          <w:tcPr>
            <w:tcW w:w="388" w:type="pct"/>
            <w:tcBorders>
              <w:top w:val="nil"/>
              <w:left w:val="nil"/>
              <w:bottom w:val="single" w:sz="8" w:space="0" w:color="0F14D2"/>
              <w:right w:val="single" w:sz="8" w:space="0" w:color="0F14D2"/>
            </w:tcBorders>
            <w:vAlign w:val="center"/>
            <w:hideMark/>
          </w:tcPr>
          <w:p w14:paraId="5FA201B5" w14:textId="77777777" w:rsidR="00F40BE0" w:rsidRPr="00765A51" w:rsidRDefault="00F40BE0" w:rsidP="00F40BE0">
            <w:pPr>
              <w:spacing w:before="0" w:after="0" w:line="240" w:lineRule="auto"/>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K</w:t>
            </w:r>
          </w:p>
        </w:tc>
        <w:tc>
          <w:tcPr>
            <w:tcW w:w="389" w:type="pct"/>
            <w:tcBorders>
              <w:top w:val="nil"/>
              <w:left w:val="nil"/>
              <w:bottom w:val="single" w:sz="8" w:space="0" w:color="0F14D2"/>
              <w:right w:val="single" w:sz="8" w:space="0" w:color="0F14D2"/>
            </w:tcBorders>
            <w:vAlign w:val="center"/>
            <w:hideMark/>
          </w:tcPr>
          <w:p w14:paraId="6528716A"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1</w:t>
            </w:r>
          </w:p>
        </w:tc>
        <w:tc>
          <w:tcPr>
            <w:tcW w:w="292" w:type="pct"/>
            <w:tcBorders>
              <w:top w:val="nil"/>
              <w:left w:val="nil"/>
              <w:bottom w:val="single" w:sz="8" w:space="0" w:color="0F14D2"/>
              <w:right w:val="single" w:sz="8" w:space="0" w:color="0F14D2"/>
            </w:tcBorders>
            <w:vAlign w:val="center"/>
            <w:hideMark/>
          </w:tcPr>
          <w:p w14:paraId="5B93E897" w14:textId="5E97FCAE" w:rsidR="00F40BE0" w:rsidRPr="00765A51" w:rsidRDefault="00BE3BE3" w:rsidP="00F40BE0">
            <w:pPr>
              <w:spacing w:before="0" w:after="0" w:line="240" w:lineRule="auto"/>
              <w:jc w:val="right"/>
              <w:rPr>
                <w:rFonts w:asciiTheme="minorHAnsi" w:eastAsia="Times New Roman" w:hAnsiTheme="minorHAnsi" w:cstheme="minorHAnsi"/>
                <w:color w:val="000000"/>
                <w:sz w:val="18"/>
                <w:szCs w:val="18"/>
                <w:lang w:eastAsia="pl-PL"/>
              </w:rPr>
            </w:pPr>
            <w:r w:rsidRPr="00077CA0">
              <w:rPr>
                <w:sz w:val="18"/>
                <w:szCs w:val="18"/>
              </w:rPr>
              <w:t>1</w:t>
            </w:r>
            <w:r w:rsidR="00F40BE0" w:rsidRPr="00077CA0">
              <w:rPr>
                <w:sz w:val="18"/>
                <w:szCs w:val="18"/>
              </w:rPr>
              <w:t>%</w:t>
            </w:r>
          </w:p>
        </w:tc>
        <w:tc>
          <w:tcPr>
            <w:tcW w:w="437" w:type="pct"/>
            <w:tcBorders>
              <w:top w:val="nil"/>
              <w:left w:val="nil"/>
              <w:bottom w:val="single" w:sz="8" w:space="0" w:color="0F14D2"/>
              <w:right w:val="single" w:sz="8" w:space="0" w:color="0F14D2"/>
            </w:tcBorders>
            <w:vAlign w:val="center"/>
            <w:hideMark/>
          </w:tcPr>
          <w:p w14:paraId="544ED713" w14:textId="4D857902"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16.09.2024</w:t>
            </w:r>
          </w:p>
        </w:tc>
        <w:tc>
          <w:tcPr>
            <w:tcW w:w="437" w:type="pct"/>
            <w:tcBorders>
              <w:top w:val="nil"/>
              <w:left w:val="nil"/>
              <w:bottom w:val="single" w:sz="8" w:space="0" w:color="0F14D2"/>
              <w:right w:val="single" w:sz="8" w:space="0" w:color="0F14D2"/>
            </w:tcBorders>
            <w:vAlign w:val="center"/>
            <w:hideMark/>
          </w:tcPr>
          <w:p w14:paraId="6F9DD528" w14:textId="11667E95" w:rsidR="00F40BE0" w:rsidRPr="00765A51" w:rsidRDefault="00F40BE0" w:rsidP="00EF7A36">
            <w:pPr>
              <w:spacing w:before="0" w:after="0" w:line="240" w:lineRule="auto"/>
              <w:jc w:val="right"/>
              <w:rPr>
                <w:rFonts w:asciiTheme="minorHAnsi" w:eastAsia="Times New Roman" w:hAnsiTheme="minorHAnsi" w:cstheme="minorHAnsi"/>
                <w:color w:val="000000"/>
                <w:sz w:val="18"/>
                <w:szCs w:val="18"/>
                <w:lang w:eastAsia="pl-PL"/>
              </w:rPr>
            </w:pPr>
            <w:r w:rsidRPr="003E3BD7">
              <w:rPr>
                <w:rFonts w:asciiTheme="minorHAnsi" w:hAnsiTheme="minorHAnsi" w:cstheme="minorHAnsi"/>
                <w:sz w:val="18"/>
                <w:szCs w:val="18"/>
              </w:rPr>
              <w:t>12.11.2024</w:t>
            </w:r>
          </w:p>
        </w:tc>
        <w:tc>
          <w:tcPr>
            <w:tcW w:w="485" w:type="pct"/>
            <w:tcBorders>
              <w:top w:val="nil"/>
              <w:left w:val="nil"/>
              <w:bottom w:val="single" w:sz="8" w:space="0" w:color="0F14D2"/>
              <w:right w:val="single" w:sz="8" w:space="0" w:color="0F14D2"/>
            </w:tcBorders>
            <w:vAlign w:val="center"/>
            <w:hideMark/>
          </w:tcPr>
          <w:p w14:paraId="150756E5" w14:textId="77777777" w:rsidR="00F40BE0" w:rsidRPr="00765A51" w:rsidRDefault="00F40BE0" w:rsidP="00F40BE0">
            <w:pPr>
              <w:spacing w:before="0" w:after="0" w:line="240" w:lineRule="auto"/>
              <w:jc w:val="right"/>
              <w:rPr>
                <w:rFonts w:asciiTheme="minorHAnsi" w:eastAsia="Times New Roman" w:hAnsiTheme="minorHAnsi" w:cstheme="minorHAnsi"/>
                <w:color w:val="000000"/>
                <w:sz w:val="18"/>
                <w:szCs w:val="18"/>
                <w:lang w:eastAsia="pl-PL"/>
              </w:rPr>
            </w:pPr>
            <w:r w:rsidRPr="00765A51">
              <w:rPr>
                <w:rFonts w:asciiTheme="minorHAnsi" w:eastAsia="Times New Roman" w:hAnsiTheme="minorHAnsi" w:cstheme="minorHAnsi"/>
                <w:color w:val="000000"/>
                <w:sz w:val="18"/>
                <w:szCs w:val="18"/>
                <w:lang w:eastAsia="pl-PL"/>
              </w:rPr>
              <w:t>33 514 435,29</w:t>
            </w:r>
          </w:p>
        </w:tc>
      </w:tr>
    </w:tbl>
    <w:p w14:paraId="372534E5" w14:textId="13C0BB4C" w:rsidR="0038635F" w:rsidRDefault="0038635F" w:rsidP="00B77CE8">
      <w:pPr>
        <w:rPr>
          <w:rFonts w:cstheme="minorHAnsi"/>
        </w:rPr>
      </w:pPr>
      <w:r w:rsidRPr="0038635F">
        <w:rPr>
          <w:rFonts w:cstheme="minorHAnsi"/>
        </w:rPr>
        <w:t>Sposób wyboru projektów</w:t>
      </w:r>
      <w:r>
        <w:rPr>
          <w:rFonts w:cstheme="minorHAnsi"/>
        </w:rPr>
        <w:t xml:space="preserve">: K – konkurencyjny, NK – niekonkurencyjny </w:t>
      </w:r>
    </w:p>
    <w:p w14:paraId="4A09AB31" w14:textId="437B1FE4" w:rsidR="00B77CE8" w:rsidRDefault="00B77CE8" w:rsidP="005A2787">
      <w:pPr>
        <w:pStyle w:val="rdo"/>
      </w:pPr>
      <w:r>
        <w:t xml:space="preserve">Źródło: </w:t>
      </w:r>
      <w:r w:rsidR="00486EE5" w:rsidRPr="00486EE5">
        <w:t>Zestawienie sporządzone na podstawie danych zebranych i opracowanych przez BAFE oraz pochodzących z CST 2021, stan na 31.03.2025 r.</w:t>
      </w:r>
    </w:p>
    <w:p w14:paraId="6D479911" w14:textId="421E7B0E" w:rsidR="009F2C11" w:rsidRDefault="009F2C11" w:rsidP="009F2C11">
      <w:pPr>
        <w:rPr>
          <w:rFonts w:cstheme="minorHAnsi"/>
        </w:rPr>
      </w:pPr>
    </w:p>
    <w:p w14:paraId="073274E0" w14:textId="77777777" w:rsidR="003C5B97" w:rsidRDefault="003C5B97" w:rsidP="009F2C11">
      <w:pPr>
        <w:rPr>
          <w:rFonts w:cstheme="minorHAnsi"/>
        </w:rPr>
        <w:sectPr w:rsidR="003C5B97" w:rsidSect="00BA4BB9">
          <w:pgSz w:w="16838" w:h="11906" w:orient="landscape"/>
          <w:pgMar w:top="1417" w:right="1417" w:bottom="1417" w:left="1417" w:header="708" w:footer="708" w:gutter="0"/>
          <w:cols w:space="708"/>
          <w:docGrid w:linePitch="360"/>
        </w:sectPr>
      </w:pPr>
    </w:p>
    <w:p w14:paraId="46755B78" w14:textId="336C442C" w:rsidR="00022C58" w:rsidRPr="00D47CB9" w:rsidRDefault="00684145" w:rsidP="00D47CB9">
      <w:pPr>
        <w:rPr>
          <w:rFonts w:cstheme="minorHAnsi"/>
          <w:b/>
          <w:bCs/>
          <w:color w:val="640B68" w:themeColor="accent3" w:themeShade="BF"/>
        </w:rPr>
      </w:pPr>
      <w:r>
        <w:rPr>
          <w:rFonts w:cstheme="minorHAnsi"/>
          <w:b/>
          <w:bCs/>
          <w:color w:val="640B68" w:themeColor="accent3" w:themeShade="BF"/>
        </w:rPr>
        <w:lastRenderedPageBreak/>
        <w:t>Charakterystyka naborów</w:t>
      </w:r>
      <w:r w:rsidR="00376203">
        <w:rPr>
          <w:rFonts w:cstheme="minorHAnsi"/>
          <w:b/>
          <w:bCs/>
          <w:color w:val="640B68" w:themeColor="accent3" w:themeShade="BF"/>
        </w:rPr>
        <w:t xml:space="preserve"> wg funduszu, sposobu wyboru projektów oraz polityki terytorialnej</w:t>
      </w:r>
    </w:p>
    <w:p w14:paraId="3918A4F7" w14:textId="3A2CBC52" w:rsidR="00684145" w:rsidRDefault="00684145" w:rsidP="00684145">
      <w:r w:rsidRPr="008339E0">
        <w:t xml:space="preserve">W puli naborów charakteryzujących się niskim zainteresowaniem znalazły się zarówno nabory </w:t>
      </w:r>
      <w:r w:rsidR="0003420C">
        <w:t xml:space="preserve">z </w:t>
      </w:r>
      <w:r w:rsidRPr="008339E0">
        <w:rPr>
          <w:b/>
          <w:bCs/>
        </w:rPr>
        <w:t>konkurenc</w:t>
      </w:r>
      <w:r w:rsidR="0003420C">
        <w:rPr>
          <w:b/>
          <w:bCs/>
        </w:rPr>
        <w:t>yjnym</w:t>
      </w:r>
      <w:r w:rsidRPr="008339E0">
        <w:t xml:space="preserve"> (41) jak i </w:t>
      </w:r>
      <w:r w:rsidRPr="008339E0">
        <w:rPr>
          <w:b/>
          <w:bCs/>
        </w:rPr>
        <w:t>niekonkurency</w:t>
      </w:r>
      <w:r w:rsidR="0003420C">
        <w:rPr>
          <w:b/>
          <w:bCs/>
        </w:rPr>
        <w:t>jnym sposobem wyboru</w:t>
      </w:r>
      <w:r w:rsidRPr="008339E0">
        <w:t xml:space="preserve"> (6).</w:t>
      </w:r>
    </w:p>
    <w:p w14:paraId="1CAB20C1" w14:textId="666E027A" w:rsidR="007157DA" w:rsidRDefault="00A071A0" w:rsidP="00680D13">
      <w:r w:rsidRPr="00A071A0">
        <w:t>Większość naborów</w:t>
      </w:r>
      <w:r w:rsidR="00454E58">
        <w:t xml:space="preserve"> </w:t>
      </w:r>
      <w:r w:rsidR="00454E58" w:rsidRPr="00A071A0">
        <w:t>(42)</w:t>
      </w:r>
      <w:r w:rsidRPr="00A071A0">
        <w:t xml:space="preserve"> z niskim zainteresowaniem dotyczył</w:t>
      </w:r>
      <w:r w:rsidR="00454E58">
        <w:t>o</w:t>
      </w:r>
      <w:r w:rsidRPr="00A071A0">
        <w:t xml:space="preserve"> </w:t>
      </w:r>
      <w:r w:rsidRPr="008339E0">
        <w:rPr>
          <w:b/>
          <w:bCs/>
        </w:rPr>
        <w:t>EFRR</w:t>
      </w:r>
      <w:r w:rsidRPr="00A071A0">
        <w:t>, który jest związany z bardziej złożonymi projektami infrastrukturalnymi, większym poziomem skomplikowania projektów oraz koniecznością spełnienia licznych wymagań formalnych.</w:t>
      </w:r>
      <w:r w:rsidR="0076740B">
        <w:t xml:space="preserve"> </w:t>
      </w:r>
      <w:r w:rsidR="00902DDB">
        <w:t>Wśród tych</w:t>
      </w:r>
      <w:r w:rsidR="0076740B" w:rsidRPr="00A071A0">
        <w:t xml:space="preserve"> </w:t>
      </w:r>
      <w:r w:rsidR="0076740B">
        <w:t>42 naborów EFRR</w:t>
      </w:r>
      <w:r w:rsidR="00902DDB">
        <w:t>, 5</w:t>
      </w:r>
      <w:r w:rsidR="0076740B">
        <w:t xml:space="preserve"> to </w:t>
      </w:r>
      <w:r w:rsidR="0076740B" w:rsidRPr="00A071A0">
        <w:t>nabor</w:t>
      </w:r>
      <w:r w:rsidR="0076740B">
        <w:t>y</w:t>
      </w:r>
      <w:r w:rsidR="0076740B" w:rsidRPr="00A071A0">
        <w:t xml:space="preserve"> </w:t>
      </w:r>
      <w:r w:rsidR="0076740B">
        <w:t xml:space="preserve">z </w:t>
      </w:r>
      <w:r w:rsidR="0076740B" w:rsidRPr="00A071A0">
        <w:t>niekonkurencyjn</w:t>
      </w:r>
      <w:r w:rsidR="0076740B">
        <w:t>ym sposobem wyboru projektów.</w:t>
      </w:r>
      <w:r w:rsidRPr="00A071A0">
        <w:t xml:space="preserve"> </w:t>
      </w:r>
      <w:r w:rsidR="00004CFC" w:rsidRPr="00004CFC">
        <w:t>Wśród 47 naborów objętych badaniem</w:t>
      </w:r>
      <w:r w:rsidR="00004CFC">
        <w:t>,</w:t>
      </w:r>
      <w:r w:rsidR="00004CFC" w:rsidRPr="00004CFC">
        <w:t xml:space="preserve"> 5 dotyczyło funduszu</w:t>
      </w:r>
      <w:r w:rsidRPr="00A071A0">
        <w:t xml:space="preserve"> </w:t>
      </w:r>
      <w:r w:rsidRPr="001B3EA1">
        <w:rPr>
          <w:b/>
          <w:bCs/>
        </w:rPr>
        <w:t>EFS</w:t>
      </w:r>
      <w:r w:rsidR="00FC410F" w:rsidRPr="001B3EA1">
        <w:rPr>
          <w:b/>
          <w:bCs/>
        </w:rPr>
        <w:t>+</w:t>
      </w:r>
      <w:r w:rsidR="0076740B" w:rsidRPr="00077CA0">
        <w:t xml:space="preserve">, w tym </w:t>
      </w:r>
      <w:r w:rsidR="005011BA" w:rsidRPr="00077CA0">
        <w:t xml:space="preserve">1 </w:t>
      </w:r>
      <w:r w:rsidR="00175863">
        <w:t>to</w:t>
      </w:r>
      <w:r w:rsidR="005011BA" w:rsidRPr="00077CA0">
        <w:t xml:space="preserve"> </w:t>
      </w:r>
      <w:r w:rsidR="005011BA" w:rsidRPr="00A071A0">
        <w:t>nab</w:t>
      </w:r>
      <w:r w:rsidR="00175863">
        <w:t>ór</w:t>
      </w:r>
      <w:r w:rsidR="005011BA" w:rsidRPr="00A071A0">
        <w:t xml:space="preserve"> </w:t>
      </w:r>
      <w:r w:rsidR="005011BA">
        <w:t xml:space="preserve">z </w:t>
      </w:r>
      <w:r w:rsidR="005011BA" w:rsidRPr="00A071A0">
        <w:t>niekonkurencyjnym</w:t>
      </w:r>
      <w:r w:rsidR="005011BA">
        <w:t xml:space="preserve"> sposobem wyboru projektów</w:t>
      </w:r>
      <w:r w:rsidR="00FC410F">
        <w:t>.</w:t>
      </w:r>
      <w:r w:rsidR="00706055">
        <w:t xml:space="preserve"> </w:t>
      </w:r>
    </w:p>
    <w:p w14:paraId="25B87AAD" w14:textId="3331F1C5" w:rsidR="00680D13" w:rsidRDefault="000C256D" w:rsidP="00680D13">
      <w:r>
        <w:t xml:space="preserve">Wśród naborów </w:t>
      </w:r>
      <w:r w:rsidRPr="0029243C">
        <w:rPr>
          <w:b/>
          <w:bCs/>
        </w:rPr>
        <w:t>EFRR</w:t>
      </w:r>
      <w:r w:rsidR="00EA5889" w:rsidRPr="00077CA0">
        <w:t>, 25</w:t>
      </w:r>
      <w:r>
        <w:t xml:space="preserve"> </w:t>
      </w:r>
      <w:r w:rsidR="00685BD4">
        <w:t>dotyczyło</w:t>
      </w:r>
      <w:r>
        <w:t xml:space="preserve"> instrumentów terytorialnych: 10 naborów w ramach ZIT, 11 OPPT</w:t>
      </w:r>
      <w:r w:rsidR="00896C1F">
        <w:t xml:space="preserve"> oraz 4 </w:t>
      </w:r>
      <w:r w:rsidR="005E793F" w:rsidRPr="005E793F">
        <w:t>BydOF-IP</w:t>
      </w:r>
      <w:r w:rsidR="00896C1F">
        <w:t>.</w:t>
      </w:r>
      <w:r w:rsidR="00896C1F" w:rsidRPr="00A071A0">
        <w:t xml:space="preserve"> </w:t>
      </w:r>
      <w:r w:rsidR="00175863">
        <w:t>Wśród</w:t>
      </w:r>
      <w:r w:rsidR="00A071A0" w:rsidRPr="00A071A0">
        <w:t xml:space="preserve"> </w:t>
      </w:r>
      <w:r w:rsidR="00FC410F">
        <w:t xml:space="preserve">naborów </w:t>
      </w:r>
      <w:r w:rsidR="00FC410F" w:rsidRPr="0029243C">
        <w:rPr>
          <w:b/>
          <w:bCs/>
        </w:rPr>
        <w:t>EFS+</w:t>
      </w:r>
      <w:r w:rsidR="00175863">
        <w:rPr>
          <w:b/>
          <w:bCs/>
        </w:rPr>
        <w:t>,</w:t>
      </w:r>
      <w:r w:rsidR="00A071A0" w:rsidRPr="00A071A0">
        <w:t xml:space="preserve"> </w:t>
      </w:r>
      <w:r w:rsidR="00175863">
        <w:t>d</w:t>
      </w:r>
      <w:r w:rsidR="00B80899">
        <w:t>wa dotyczyły</w:t>
      </w:r>
      <w:r w:rsidR="009C0F17">
        <w:t xml:space="preserve"> instrumentu terytorialnego</w:t>
      </w:r>
      <w:r w:rsidR="00972315">
        <w:t xml:space="preserve"> ZIT.</w:t>
      </w:r>
      <w:r w:rsidR="007E3CFA">
        <w:t xml:space="preserve"> </w:t>
      </w:r>
      <w:r w:rsidR="007E2727">
        <w:t>P</w:t>
      </w:r>
      <w:r w:rsidR="007E2727" w:rsidRPr="007E2727">
        <w:t>ozostałe 20 naborów (EFRR i EFS+) było realizowanych poza polityką terytorialną</w:t>
      </w:r>
      <w:r w:rsidR="007E2727">
        <w:t>.</w:t>
      </w:r>
    </w:p>
    <w:p w14:paraId="7CDD27E0" w14:textId="3139CACF" w:rsidR="00DB7C53" w:rsidRDefault="00DB7C53" w:rsidP="00DB7C53">
      <w:pPr>
        <w:pStyle w:val="Legenda"/>
      </w:pPr>
      <w:r>
        <w:t xml:space="preserve">Tabela </w:t>
      </w:r>
      <w:r>
        <w:fldChar w:fldCharType="begin"/>
      </w:r>
      <w:r>
        <w:instrText>SEQ Tabela \* ARABIC</w:instrText>
      </w:r>
      <w:r>
        <w:fldChar w:fldCharType="separate"/>
      </w:r>
      <w:r w:rsidR="00541DFA">
        <w:rPr>
          <w:noProof/>
        </w:rPr>
        <w:t>4</w:t>
      </w:r>
      <w:r>
        <w:fldChar w:fldCharType="end"/>
      </w:r>
      <w:r w:rsidR="001E1AAC">
        <w:t>.</w:t>
      </w:r>
      <w:r>
        <w:t xml:space="preserve"> Liczba naborów</w:t>
      </w:r>
      <w:r w:rsidR="0088612E">
        <w:rPr>
          <w:rStyle w:val="Odwoanieprzypisudolnego"/>
        </w:rPr>
        <w:footnoteReference w:id="7"/>
      </w:r>
      <w:r>
        <w:t xml:space="preserve"> </w:t>
      </w:r>
      <w:r w:rsidR="00BA673E">
        <w:t xml:space="preserve">z </w:t>
      </w:r>
      <w:r>
        <w:t>niekonkurencyjny</w:t>
      </w:r>
      <w:r w:rsidR="00BA673E">
        <w:t>m sposobem wyboru</w:t>
      </w:r>
      <w:r>
        <w:t xml:space="preserve"> </w:t>
      </w:r>
      <w:r w:rsidR="005C1E37">
        <w:t xml:space="preserve">oraz </w:t>
      </w:r>
      <w:r>
        <w:t>w ramach instrumentów terytorialnych w podziale na EFRR i EFS+</w:t>
      </w:r>
    </w:p>
    <w:tbl>
      <w:tblPr>
        <w:tblStyle w:val="Tabelasiatki4akcent11"/>
        <w:tblW w:w="0" w:type="auto"/>
        <w:tblLook w:val="04A0" w:firstRow="1" w:lastRow="0" w:firstColumn="1" w:lastColumn="0" w:noHBand="0" w:noVBand="1"/>
        <w:tblCaption w:val="Liczba naborów  niekonkurencyjnych i w ramach instrumentów terytorialnych w podziale na EFRR i EFS+"/>
        <w:tblDescription w:val="Tabela przedstawia liczbę naborów prowadzonych w trybie niekonkurencyjnym oraz w ramach poszczególnych instrumentów terytorialnych, z podziałem na fundusze EFRR i EFS+.&#10;&#10;Niekonkurencyjny sposób wyboru projektów: 5 naborów w ramach EFRR oraz 1 nabór w ramach EFS+.&#10;&#10;Instrument terytorialny ZIT: 10 naborów w ramach EFRR i 2 w ramach EFS+.&#10;&#10;Instrument terytorialny OPPT: 11 naborów w ramach EFRR, brak naborów w EFS+.&#10;&#10;Instrument terytorialny BydOF: 4 nabory w ramach EFRR, brak naborów w EFS+.&#10;&#10;Dane pokazują, że największa liczba naborów w EFRR została przeprowadzona w formule instrumentów terytorialnych OPPT (11), a w EFS+ – w ramach ZIT (2)."/>
      </w:tblPr>
      <w:tblGrid>
        <w:gridCol w:w="4390"/>
        <w:gridCol w:w="2336"/>
        <w:gridCol w:w="2336"/>
      </w:tblGrid>
      <w:tr w:rsidR="006C2560" w:rsidRPr="00EF3FB2" w14:paraId="0B13BA09" w14:textId="77777777" w:rsidTr="003013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7FB47AAE" w14:textId="77777777" w:rsidR="006C2560" w:rsidRPr="00EF3FB2" w:rsidRDefault="006C2560" w:rsidP="00680D13">
            <w:pPr>
              <w:rPr>
                <w:szCs w:val="24"/>
              </w:rPr>
            </w:pPr>
          </w:p>
        </w:tc>
        <w:tc>
          <w:tcPr>
            <w:tcW w:w="2336" w:type="dxa"/>
          </w:tcPr>
          <w:p w14:paraId="49D36351" w14:textId="1A90C977" w:rsidR="006C2560" w:rsidRPr="00EF3FB2" w:rsidRDefault="006C2560" w:rsidP="00680D13">
            <w:pPr>
              <w:cnfStyle w:val="100000000000" w:firstRow="1" w:lastRow="0" w:firstColumn="0" w:lastColumn="0" w:oddVBand="0" w:evenVBand="0" w:oddHBand="0" w:evenHBand="0" w:firstRowFirstColumn="0" w:firstRowLastColumn="0" w:lastRowFirstColumn="0" w:lastRowLastColumn="0"/>
              <w:rPr>
                <w:szCs w:val="24"/>
              </w:rPr>
            </w:pPr>
            <w:r w:rsidRPr="00EF3FB2">
              <w:rPr>
                <w:szCs w:val="24"/>
              </w:rPr>
              <w:t>EFRR</w:t>
            </w:r>
          </w:p>
        </w:tc>
        <w:tc>
          <w:tcPr>
            <w:tcW w:w="2336" w:type="dxa"/>
          </w:tcPr>
          <w:p w14:paraId="4D95E8E0" w14:textId="542FED13" w:rsidR="006C2560" w:rsidRPr="00EF3FB2" w:rsidRDefault="006C2560" w:rsidP="00680D13">
            <w:pPr>
              <w:cnfStyle w:val="100000000000" w:firstRow="1" w:lastRow="0" w:firstColumn="0" w:lastColumn="0" w:oddVBand="0" w:evenVBand="0" w:oddHBand="0" w:evenHBand="0" w:firstRowFirstColumn="0" w:firstRowLastColumn="0" w:lastRowFirstColumn="0" w:lastRowLastColumn="0"/>
              <w:rPr>
                <w:szCs w:val="24"/>
              </w:rPr>
            </w:pPr>
            <w:r w:rsidRPr="00EF3FB2">
              <w:rPr>
                <w:szCs w:val="24"/>
              </w:rPr>
              <w:t>EFS+</w:t>
            </w:r>
          </w:p>
        </w:tc>
      </w:tr>
      <w:tr w:rsidR="006C2560" w:rsidRPr="00EF3FB2" w14:paraId="1E114E2E" w14:textId="77777777" w:rsidTr="00301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0ED4AAE3" w14:textId="060AF11A" w:rsidR="006C2560" w:rsidRPr="00EF3FB2" w:rsidRDefault="003D2C96" w:rsidP="00F93CA7">
            <w:pPr>
              <w:rPr>
                <w:szCs w:val="24"/>
              </w:rPr>
            </w:pPr>
            <w:r w:rsidRPr="00EF3FB2">
              <w:rPr>
                <w:szCs w:val="24"/>
              </w:rPr>
              <w:t>Niekonkurencyjny s</w:t>
            </w:r>
            <w:r w:rsidR="00776056" w:rsidRPr="00EF3FB2">
              <w:rPr>
                <w:szCs w:val="24"/>
              </w:rPr>
              <w:t xml:space="preserve">posób wyboru projektów </w:t>
            </w:r>
          </w:p>
        </w:tc>
        <w:tc>
          <w:tcPr>
            <w:tcW w:w="2336" w:type="dxa"/>
          </w:tcPr>
          <w:p w14:paraId="0FAC821C" w14:textId="086F0360" w:rsidR="006C2560" w:rsidRPr="00EF3FB2" w:rsidRDefault="00776056"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5</w:t>
            </w:r>
          </w:p>
        </w:tc>
        <w:tc>
          <w:tcPr>
            <w:tcW w:w="2336" w:type="dxa"/>
          </w:tcPr>
          <w:p w14:paraId="68083620" w14:textId="25E13538" w:rsidR="006C2560" w:rsidRPr="00EF3FB2" w:rsidRDefault="00776056"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1</w:t>
            </w:r>
          </w:p>
        </w:tc>
      </w:tr>
      <w:tr w:rsidR="006C2560" w:rsidRPr="00EF3FB2" w14:paraId="6B031EEC" w14:textId="77777777" w:rsidTr="00301372">
        <w:tc>
          <w:tcPr>
            <w:cnfStyle w:val="001000000000" w:firstRow="0" w:lastRow="0" w:firstColumn="1" w:lastColumn="0" w:oddVBand="0" w:evenVBand="0" w:oddHBand="0" w:evenHBand="0" w:firstRowFirstColumn="0" w:firstRowLastColumn="0" w:lastRowFirstColumn="0" w:lastRowLastColumn="0"/>
            <w:tcW w:w="4390" w:type="dxa"/>
          </w:tcPr>
          <w:p w14:paraId="63E70DBD" w14:textId="5B315A19" w:rsidR="006C2560" w:rsidRPr="00EF3FB2" w:rsidRDefault="005E793F" w:rsidP="00F93CA7">
            <w:pPr>
              <w:rPr>
                <w:szCs w:val="24"/>
              </w:rPr>
            </w:pPr>
            <w:r w:rsidRPr="00EF3FB2">
              <w:rPr>
                <w:szCs w:val="24"/>
              </w:rPr>
              <w:t>Instrument terytorialny</w:t>
            </w:r>
            <w:r w:rsidR="004523F4" w:rsidRPr="00EF3FB2">
              <w:rPr>
                <w:szCs w:val="24"/>
              </w:rPr>
              <w:t xml:space="preserve"> ZIT</w:t>
            </w:r>
          </w:p>
        </w:tc>
        <w:tc>
          <w:tcPr>
            <w:tcW w:w="2336" w:type="dxa"/>
          </w:tcPr>
          <w:p w14:paraId="3206EEB7" w14:textId="39E7E0CF" w:rsidR="00C13457" w:rsidRPr="00EF3FB2" w:rsidRDefault="005E793F"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10</w:t>
            </w:r>
          </w:p>
        </w:tc>
        <w:tc>
          <w:tcPr>
            <w:tcW w:w="2336" w:type="dxa"/>
          </w:tcPr>
          <w:p w14:paraId="4F00C144" w14:textId="0FA83BE5" w:rsidR="006C2560" w:rsidRPr="00EF3FB2" w:rsidRDefault="00AF1BF9"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2</w:t>
            </w:r>
          </w:p>
        </w:tc>
      </w:tr>
      <w:tr w:rsidR="004523F4" w:rsidRPr="00EF3FB2" w14:paraId="59D27ED3" w14:textId="77777777" w:rsidTr="00301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0" w:type="dxa"/>
          </w:tcPr>
          <w:p w14:paraId="1F6D337C" w14:textId="028FFD01" w:rsidR="004523F4" w:rsidRPr="00EF3FB2" w:rsidRDefault="004523F4" w:rsidP="00F93CA7">
            <w:pPr>
              <w:rPr>
                <w:szCs w:val="24"/>
              </w:rPr>
            </w:pPr>
            <w:r w:rsidRPr="00EF3FB2">
              <w:rPr>
                <w:szCs w:val="24"/>
              </w:rPr>
              <w:t>Instrument terytorialny OPPT</w:t>
            </w:r>
          </w:p>
        </w:tc>
        <w:tc>
          <w:tcPr>
            <w:tcW w:w="2336" w:type="dxa"/>
          </w:tcPr>
          <w:p w14:paraId="3B5CDC09" w14:textId="6B350028" w:rsidR="004523F4" w:rsidRPr="00EF3FB2" w:rsidRDefault="004523F4"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11</w:t>
            </w:r>
          </w:p>
        </w:tc>
        <w:tc>
          <w:tcPr>
            <w:tcW w:w="2336" w:type="dxa"/>
          </w:tcPr>
          <w:p w14:paraId="747223C0" w14:textId="6B53EE9F" w:rsidR="004523F4" w:rsidRPr="00EF3FB2" w:rsidRDefault="004523F4" w:rsidP="00F93CA7">
            <w:pPr>
              <w:spacing w:before="0"/>
              <w:jc w:val="right"/>
              <w:cnfStyle w:val="000000100000" w:firstRow="0" w:lastRow="0" w:firstColumn="0" w:lastColumn="0" w:oddVBand="0" w:evenVBand="0" w:oddHBand="1" w:evenHBand="0" w:firstRowFirstColumn="0" w:firstRowLastColumn="0" w:lastRowFirstColumn="0" w:lastRowLastColumn="0"/>
              <w:rPr>
                <w:szCs w:val="24"/>
              </w:rPr>
            </w:pPr>
            <w:r w:rsidRPr="00EF3FB2">
              <w:rPr>
                <w:szCs w:val="24"/>
              </w:rPr>
              <w:t>-</w:t>
            </w:r>
          </w:p>
        </w:tc>
      </w:tr>
      <w:tr w:rsidR="004523F4" w:rsidRPr="00EF3FB2" w14:paraId="1C8D4B3D" w14:textId="77777777" w:rsidTr="00301372">
        <w:tc>
          <w:tcPr>
            <w:cnfStyle w:val="001000000000" w:firstRow="0" w:lastRow="0" w:firstColumn="1" w:lastColumn="0" w:oddVBand="0" w:evenVBand="0" w:oddHBand="0" w:evenHBand="0" w:firstRowFirstColumn="0" w:firstRowLastColumn="0" w:lastRowFirstColumn="0" w:lastRowLastColumn="0"/>
            <w:tcW w:w="4390" w:type="dxa"/>
          </w:tcPr>
          <w:p w14:paraId="43AD45DE" w14:textId="3E1673BD" w:rsidR="004523F4" w:rsidRPr="00EF3FB2" w:rsidRDefault="004523F4" w:rsidP="00F93CA7">
            <w:pPr>
              <w:rPr>
                <w:szCs w:val="24"/>
              </w:rPr>
            </w:pPr>
            <w:r w:rsidRPr="00EF3FB2">
              <w:rPr>
                <w:szCs w:val="24"/>
              </w:rPr>
              <w:t xml:space="preserve">Instrument terytorialny </w:t>
            </w:r>
            <w:r w:rsidR="00E05FFC" w:rsidRPr="00EF3FB2">
              <w:rPr>
                <w:szCs w:val="24"/>
              </w:rPr>
              <w:t xml:space="preserve">ZIT </w:t>
            </w:r>
            <w:r w:rsidR="005E793F" w:rsidRPr="00EF3FB2">
              <w:rPr>
                <w:szCs w:val="24"/>
              </w:rPr>
              <w:t>BydOF</w:t>
            </w:r>
          </w:p>
        </w:tc>
        <w:tc>
          <w:tcPr>
            <w:tcW w:w="2336" w:type="dxa"/>
          </w:tcPr>
          <w:p w14:paraId="695E2F56" w14:textId="7E62F85E" w:rsidR="004523F4" w:rsidRPr="00EF3FB2" w:rsidRDefault="004523F4"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4</w:t>
            </w:r>
          </w:p>
        </w:tc>
        <w:tc>
          <w:tcPr>
            <w:tcW w:w="2336" w:type="dxa"/>
          </w:tcPr>
          <w:p w14:paraId="5D4AE057" w14:textId="35DF1EC4" w:rsidR="004523F4" w:rsidRPr="00EF3FB2" w:rsidRDefault="004523F4" w:rsidP="00F93CA7">
            <w:pPr>
              <w:spacing w:before="0"/>
              <w:jc w:val="right"/>
              <w:cnfStyle w:val="000000000000" w:firstRow="0" w:lastRow="0" w:firstColumn="0" w:lastColumn="0" w:oddVBand="0" w:evenVBand="0" w:oddHBand="0" w:evenHBand="0" w:firstRowFirstColumn="0" w:firstRowLastColumn="0" w:lastRowFirstColumn="0" w:lastRowLastColumn="0"/>
              <w:rPr>
                <w:szCs w:val="24"/>
              </w:rPr>
            </w:pPr>
            <w:r w:rsidRPr="00EF3FB2">
              <w:rPr>
                <w:szCs w:val="24"/>
              </w:rPr>
              <w:t>-</w:t>
            </w:r>
          </w:p>
        </w:tc>
      </w:tr>
    </w:tbl>
    <w:p w14:paraId="4316B5C5" w14:textId="5E66BAE8" w:rsidR="00115A9A" w:rsidRPr="008570E4" w:rsidRDefault="00DB7C53" w:rsidP="005A2787">
      <w:pPr>
        <w:pStyle w:val="rdo"/>
        <w:rPr>
          <w:i/>
        </w:rPr>
      </w:pPr>
      <w:r>
        <w:t xml:space="preserve">Źródło: </w:t>
      </w:r>
      <w:r w:rsidR="00794EDA" w:rsidRPr="00794EDA">
        <w:t>Zestawienie sporządzone na podstawie danych zebranych i opracowanych przez BAFE oraz pochodzących z CST 2021, stan na 31.03.2025 r.</w:t>
      </w:r>
    </w:p>
    <w:p w14:paraId="550B9532" w14:textId="6AA233A8" w:rsidR="00E64A9D" w:rsidRPr="00C635FB" w:rsidRDefault="00D86694" w:rsidP="00680D13">
      <w:r w:rsidRPr="00D86694">
        <w:rPr>
          <w:rFonts w:cstheme="minorHAnsi"/>
        </w:rPr>
        <w:t xml:space="preserve">Łącznie 27 naborów w ramach funduszy EFRR i EFS+ </w:t>
      </w:r>
      <w:r>
        <w:rPr>
          <w:rFonts w:cstheme="minorHAnsi"/>
        </w:rPr>
        <w:t>było</w:t>
      </w:r>
      <w:r w:rsidRPr="00D86694">
        <w:rPr>
          <w:rFonts w:cstheme="minorHAnsi"/>
        </w:rPr>
        <w:t xml:space="preserve"> realizowanych przy wykorzystaniu instrumentów terytorialnych</w:t>
      </w:r>
      <w:r w:rsidR="00145817" w:rsidRPr="00145817">
        <w:rPr>
          <w:rFonts w:cstheme="minorHAnsi"/>
        </w:rPr>
        <w:t xml:space="preserve">: 12 naborów w ramach ZIT, 11 naborów w ramach OPPT, 4 nabory dotyczyły </w:t>
      </w:r>
      <w:r w:rsidR="00E05FFC">
        <w:rPr>
          <w:rFonts w:cstheme="minorHAnsi"/>
        </w:rPr>
        <w:t xml:space="preserve">ZIT </w:t>
      </w:r>
      <w:r w:rsidR="00145817" w:rsidRPr="00145817">
        <w:rPr>
          <w:rFonts w:cstheme="minorHAnsi"/>
        </w:rPr>
        <w:t xml:space="preserve">Bydgoskiego Obszaru Funkcjonalnego. Wszystkie nabory w ramach instrumentów terytorialnych odbywały się </w:t>
      </w:r>
      <w:r w:rsidR="00524CC0">
        <w:rPr>
          <w:rFonts w:cstheme="minorHAnsi"/>
        </w:rPr>
        <w:t>zgodnie z</w:t>
      </w:r>
      <w:r w:rsidR="00145817" w:rsidRPr="00145817">
        <w:rPr>
          <w:rFonts w:cstheme="minorHAnsi"/>
        </w:rPr>
        <w:t xml:space="preserve"> konkurencyjnym</w:t>
      </w:r>
      <w:r w:rsidR="00524CC0">
        <w:rPr>
          <w:rFonts w:cstheme="minorHAnsi"/>
        </w:rPr>
        <w:t xml:space="preserve"> sposobem wyboru</w:t>
      </w:r>
      <w:r w:rsidR="00145817" w:rsidRPr="00145817">
        <w:rPr>
          <w:rFonts w:cstheme="minorHAnsi"/>
        </w:rPr>
        <w:t xml:space="preserve">. </w:t>
      </w:r>
    </w:p>
    <w:p w14:paraId="430D9A15" w14:textId="6B813BAA" w:rsidR="00BC4405" w:rsidRPr="00BC4405" w:rsidRDefault="00BC4405" w:rsidP="008C41E8">
      <w:pPr>
        <w:keepNext/>
        <w:rPr>
          <w:rFonts w:cstheme="minorHAnsi"/>
          <w:b/>
          <w:bCs/>
          <w:color w:val="870F8C" w:themeColor="accent3"/>
        </w:rPr>
      </w:pPr>
      <w:r w:rsidRPr="004A227A">
        <w:rPr>
          <w:rFonts w:cstheme="minorHAnsi"/>
          <w:b/>
          <w:bCs/>
          <w:color w:val="870F8C" w:themeColor="accent3"/>
        </w:rPr>
        <w:t>Obszary tematyczne wsparcia</w:t>
      </w:r>
    </w:p>
    <w:p w14:paraId="7B32CF99" w14:textId="109FC253" w:rsidR="008148D2" w:rsidRPr="00C635FB" w:rsidRDefault="008148D2" w:rsidP="008148D2">
      <w:pPr>
        <w:rPr>
          <w:rFonts w:cstheme="minorHAnsi"/>
        </w:rPr>
      </w:pPr>
      <w:r w:rsidRPr="00FA6C9B">
        <w:rPr>
          <w:rFonts w:cstheme="minorHAnsi"/>
        </w:rPr>
        <w:t xml:space="preserve">Nabory </w:t>
      </w:r>
      <w:r w:rsidR="008A29E3" w:rsidRPr="00C378F1">
        <w:rPr>
          <w:rFonts w:cstheme="minorHAnsi"/>
        </w:rPr>
        <w:t xml:space="preserve">o niskim zainteresowaniu objęte analizą </w:t>
      </w:r>
      <w:r w:rsidRPr="00FA6C9B">
        <w:rPr>
          <w:rFonts w:cstheme="minorHAnsi"/>
        </w:rPr>
        <w:t xml:space="preserve">dotyczyły </w:t>
      </w:r>
      <w:r w:rsidRPr="00FA6C9B">
        <w:rPr>
          <w:rFonts w:cstheme="minorHAnsi"/>
          <w:b/>
        </w:rPr>
        <w:t>różnych obszarów</w:t>
      </w:r>
      <w:r w:rsidR="008D5A59" w:rsidRPr="00FA6C9B">
        <w:rPr>
          <w:rFonts w:cstheme="minorHAnsi"/>
          <w:b/>
        </w:rPr>
        <w:t xml:space="preserve"> wsparcia</w:t>
      </w:r>
      <w:r w:rsidRPr="00FA6C9B">
        <w:rPr>
          <w:rFonts w:cstheme="minorHAnsi"/>
        </w:rPr>
        <w:t>.</w:t>
      </w:r>
      <w:r w:rsidR="00002932" w:rsidRPr="00FA6C9B">
        <w:rPr>
          <w:rFonts w:cstheme="minorHAnsi"/>
        </w:rPr>
        <w:t xml:space="preserve"> Najwięcej naborów o niskim zainteresowaniu dotyczyło obszarów: </w:t>
      </w:r>
      <w:r w:rsidR="00002932" w:rsidRPr="00FA6C9B">
        <w:rPr>
          <w:rFonts w:cstheme="minorHAnsi"/>
        </w:rPr>
        <w:lastRenderedPageBreak/>
        <w:t xml:space="preserve">adaptacja do zmian klimatu (9), mobilność miejska (7) oraz efektywność </w:t>
      </w:r>
      <w:r w:rsidR="00002932" w:rsidRPr="008D1C39">
        <w:rPr>
          <w:rFonts w:cstheme="minorHAnsi"/>
        </w:rPr>
        <w:t>energetyczn</w:t>
      </w:r>
      <w:r w:rsidR="008D1C39">
        <w:rPr>
          <w:rFonts w:cstheme="minorHAnsi"/>
        </w:rPr>
        <w:t>a</w:t>
      </w:r>
      <w:r w:rsidR="00002932" w:rsidRPr="008D1C39">
        <w:rPr>
          <w:rFonts w:cstheme="minorHAnsi"/>
        </w:rPr>
        <w:t xml:space="preserve"> (6) – wszystkie finansowane z EFRR. </w:t>
      </w:r>
      <w:r w:rsidR="00002932" w:rsidRPr="006700C8">
        <w:rPr>
          <w:rFonts w:cstheme="minorHAnsi"/>
        </w:rPr>
        <w:t xml:space="preserve">W przypadku EFS+ </w:t>
      </w:r>
      <w:r w:rsidR="002606B9" w:rsidRPr="006700C8">
        <w:rPr>
          <w:rFonts w:cstheme="minorHAnsi"/>
        </w:rPr>
        <w:t xml:space="preserve">niskie zainteresowanie dotyczyło </w:t>
      </w:r>
      <w:r w:rsidR="0038635F" w:rsidRPr="006700C8">
        <w:rPr>
          <w:rFonts w:cstheme="minorHAnsi"/>
        </w:rPr>
        <w:t>naborów</w:t>
      </w:r>
      <w:r w:rsidR="00002932" w:rsidRPr="006700C8">
        <w:rPr>
          <w:rFonts w:cstheme="minorHAnsi"/>
        </w:rPr>
        <w:t xml:space="preserve"> w obszarze edukacji (3)</w:t>
      </w:r>
      <w:r w:rsidR="00054305" w:rsidRPr="006700C8">
        <w:rPr>
          <w:rFonts w:cstheme="minorHAnsi"/>
        </w:rPr>
        <w:t>,</w:t>
      </w:r>
      <w:r w:rsidR="00002932" w:rsidRPr="006700C8">
        <w:rPr>
          <w:rFonts w:cstheme="minorHAnsi"/>
        </w:rPr>
        <w:t xml:space="preserve"> oraz włączenia społecznego (2). </w:t>
      </w:r>
      <w:r w:rsidR="00244725">
        <w:rPr>
          <w:rFonts w:cstheme="minorHAnsi"/>
        </w:rPr>
        <w:t>Pozostałe nabory</w:t>
      </w:r>
      <w:r w:rsidR="005746ED" w:rsidRPr="006700C8">
        <w:rPr>
          <w:rFonts w:cstheme="minorHAnsi"/>
        </w:rPr>
        <w:t xml:space="preserve"> </w:t>
      </w:r>
      <w:r w:rsidR="00002932" w:rsidRPr="006700C8">
        <w:rPr>
          <w:rFonts w:cstheme="minorHAnsi"/>
        </w:rPr>
        <w:t xml:space="preserve">o </w:t>
      </w:r>
      <w:r w:rsidR="00BD15B4">
        <w:rPr>
          <w:rFonts w:cstheme="minorHAnsi"/>
        </w:rPr>
        <w:t>niskiej skuteczności</w:t>
      </w:r>
      <w:r w:rsidR="00002932" w:rsidRPr="006700C8">
        <w:rPr>
          <w:rFonts w:cstheme="minorHAnsi"/>
        </w:rPr>
        <w:t xml:space="preserve"> </w:t>
      </w:r>
      <w:r w:rsidR="00244725">
        <w:rPr>
          <w:rFonts w:cstheme="minorHAnsi"/>
        </w:rPr>
        <w:t>dotyczyły</w:t>
      </w:r>
      <w:r w:rsidR="00002932" w:rsidRPr="006700C8">
        <w:rPr>
          <w:rFonts w:cstheme="minorHAnsi"/>
        </w:rPr>
        <w:t xml:space="preserve"> m.in. </w:t>
      </w:r>
      <w:r w:rsidR="00244725">
        <w:rPr>
          <w:rFonts w:cstheme="minorHAnsi"/>
        </w:rPr>
        <w:t>takich obszarów jak:</w:t>
      </w:r>
      <w:r w:rsidR="00002932" w:rsidRPr="006700C8">
        <w:rPr>
          <w:rFonts w:cstheme="minorHAnsi"/>
        </w:rPr>
        <w:t xml:space="preserve"> infrastruktura edukacyjna, turystyka i wsparcie MŚP (po 3 nabory każdy), odnowa przestrzeni publicznych</w:t>
      </w:r>
      <w:r w:rsidR="00972932">
        <w:rPr>
          <w:rFonts w:cstheme="minorHAnsi"/>
        </w:rPr>
        <w:t xml:space="preserve"> oraz</w:t>
      </w:r>
      <w:r w:rsidR="00002932" w:rsidRPr="006700C8">
        <w:rPr>
          <w:rFonts w:cstheme="minorHAnsi"/>
        </w:rPr>
        <w:t xml:space="preserve"> woda i ścieki (po 2 nabory). Wyniki wskazują, że niski poziom zainteresowania </w:t>
      </w:r>
      <w:r w:rsidR="00CF3AF9" w:rsidRPr="006700C8">
        <w:rPr>
          <w:rFonts w:cstheme="minorHAnsi"/>
        </w:rPr>
        <w:t>występ</w:t>
      </w:r>
      <w:r w:rsidR="00CF3AF9">
        <w:rPr>
          <w:rFonts w:cstheme="minorHAnsi"/>
        </w:rPr>
        <w:t>ował</w:t>
      </w:r>
      <w:r w:rsidR="00CF3AF9" w:rsidRPr="006700C8">
        <w:rPr>
          <w:rFonts w:cstheme="minorHAnsi"/>
        </w:rPr>
        <w:t xml:space="preserve"> </w:t>
      </w:r>
      <w:r w:rsidR="00002932" w:rsidRPr="006700C8">
        <w:rPr>
          <w:rFonts w:cstheme="minorHAnsi"/>
        </w:rPr>
        <w:t xml:space="preserve">głównie w </w:t>
      </w:r>
      <w:r w:rsidR="002C6AF6">
        <w:rPr>
          <w:rFonts w:cstheme="minorHAnsi"/>
        </w:rPr>
        <w:t>nab</w:t>
      </w:r>
      <w:r w:rsidR="009C3B97">
        <w:rPr>
          <w:rFonts w:cstheme="minorHAnsi"/>
        </w:rPr>
        <w:t>o</w:t>
      </w:r>
      <w:r w:rsidR="002C6AF6">
        <w:rPr>
          <w:rFonts w:cstheme="minorHAnsi"/>
        </w:rPr>
        <w:t xml:space="preserve">rach dot. </w:t>
      </w:r>
      <w:r w:rsidR="00002932" w:rsidRPr="006700C8">
        <w:rPr>
          <w:rFonts w:cstheme="minorHAnsi"/>
        </w:rPr>
        <w:t>projekt</w:t>
      </w:r>
      <w:r w:rsidR="002C6AF6">
        <w:rPr>
          <w:rFonts w:cstheme="minorHAnsi"/>
        </w:rPr>
        <w:t>ów</w:t>
      </w:r>
      <w:r w:rsidR="00002932" w:rsidRPr="006700C8">
        <w:rPr>
          <w:rFonts w:cstheme="minorHAnsi"/>
        </w:rPr>
        <w:t xml:space="preserve"> infrastrukturalnych i środowiskowych finansowanych z EFRR, podczas gdy w EFS+ problem ten dotyczy</w:t>
      </w:r>
      <w:r w:rsidR="00CF3AF9">
        <w:rPr>
          <w:rFonts w:cstheme="minorHAnsi"/>
        </w:rPr>
        <w:t>ł</w:t>
      </w:r>
      <w:r w:rsidR="00002932" w:rsidRPr="006700C8">
        <w:rPr>
          <w:rFonts w:cstheme="minorHAnsi"/>
        </w:rPr>
        <w:t xml:space="preserve"> wybranych, węższych obszarów.</w:t>
      </w:r>
    </w:p>
    <w:p w14:paraId="67531372" w14:textId="184098DB" w:rsidR="008148D2" w:rsidRPr="00467689" w:rsidRDefault="008148D2" w:rsidP="00467689">
      <w:pPr>
        <w:pStyle w:val="Rysunekpodpis"/>
      </w:pPr>
      <w:r w:rsidRPr="00467689">
        <w:t xml:space="preserve">Tabela </w:t>
      </w:r>
      <w:fldSimple w:instr=" SEQ Tabela \* ARABIC ">
        <w:r w:rsidR="00541DFA">
          <w:rPr>
            <w:noProof/>
          </w:rPr>
          <w:t>5</w:t>
        </w:r>
      </w:fldSimple>
      <w:r w:rsidR="001E1AAC" w:rsidRPr="00467689">
        <w:t>.</w:t>
      </w:r>
      <w:r w:rsidRPr="00467689">
        <w:t xml:space="preserve"> </w:t>
      </w:r>
      <w:r w:rsidR="00526E5E" w:rsidRPr="00467689">
        <w:t>Liczba naborów</w:t>
      </w:r>
      <w:r w:rsidR="005507CC" w:rsidRPr="00077CA0">
        <w:rPr>
          <w:rStyle w:val="Odwoanieprzypisudolnego"/>
        </w:rPr>
        <w:footnoteReference w:id="8"/>
      </w:r>
      <w:r w:rsidR="00526E5E" w:rsidRPr="00467689">
        <w:t xml:space="preserve"> w ramach o</w:t>
      </w:r>
      <w:r w:rsidRPr="00467689">
        <w:t>bszar</w:t>
      </w:r>
      <w:r w:rsidR="00526E5E" w:rsidRPr="00467689">
        <w:t>ów</w:t>
      </w:r>
      <w:r w:rsidRPr="00467689">
        <w:t xml:space="preserve"> tematyczn</w:t>
      </w:r>
      <w:r w:rsidR="00526E5E" w:rsidRPr="00467689">
        <w:t>ych</w:t>
      </w:r>
      <w:r w:rsidRPr="00467689">
        <w:t xml:space="preserve"> </w:t>
      </w:r>
      <w:r w:rsidR="00C25274" w:rsidRPr="00467689">
        <w:t>w podziale na fundusz wsparcia</w:t>
      </w:r>
    </w:p>
    <w:tbl>
      <w:tblPr>
        <w:tblStyle w:val="Tabelasiatki4akcent11"/>
        <w:tblW w:w="5000" w:type="pct"/>
        <w:tblLook w:val="04A0" w:firstRow="1" w:lastRow="0" w:firstColumn="1" w:lastColumn="0" w:noHBand="0" w:noVBand="1"/>
        <w:tblCaption w:val="Liczba naborów  w ramach obszarów tematycznych w podziale na fundusz wsparcia"/>
        <w:tblDescription w:val="Tabela przedstawia liczbę naborów w podziale na obszary tematyczne oraz fundusz wsparcia (EFRR lub EFS+).&#10;&#10;W EFRR największa liczba naborów dotyczyła: adaptacji do zmian klimatu (9), mobilności miejskiej (7) i efektywności energetycznej (6). Kolejne miejsca zajęły edukacja infrastrukturalna (3), turystyka (3), wsparcie MŚP (3), odnowa przestrzeni publicznych (2), woda i ścieki (2), a po jednym naborze – infrastruktura drogowa, społeczna, zdrowotna, kolej, kultura, odpady i GOZ oraz transport multimodalny.&#10;&#10;W EFS+ nabory wystąpiły tylko w trzech obszarach: edukacja (3), włączenie społeczne (2).&#10;&#10;Łącznie przeprowadzono 47 naborów – 42 w ramach EFRR i 5 w ramach EFS+."/>
      </w:tblPr>
      <w:tblGrid>
        <w:gridCol w:w="4244"/>
        <w:gridCol w:w="2409"/>
        <w:gridCol w:w="2409"/>
      </w:tblGrid>
      <w:tr w:rsidR="008148D2" w:rsidRPr="00467689" w14:paraId="614B8D53" w14:textId="36DCA89F" w:rsidTr="00A41107">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2341" w:type="pct"/>
            <w:noWrap/>
          </w:tcPr>
          <w:p w14:paraId="791DE7C8" w14:textId="77777777" w:rsidR="008148D2" w:rsidRPr="00467689" w:rsidRDefault="008148D2" w:rsidP="00FA4EE0">
            <w:pPr>
              <w:spacing w:before="0"/>
              <w:rPr>
                <w:rFonts w:eastAsia="Times New Roman"/>
                <w:color w:val="FFFFFF" w:themeColor="background1"/>
                <w:szCs w:val="24"/>
                <w:lang w:eastAsia="pl-PL"/>
              </w:rPr>
            </w:pPr>
            <w:r w:rsidRPr="00467689">
              <w:rPr>
                <w:rFonts w:eastAsia="Times New Roman"/>
                <w:color w:val="FFFFFF" w:themeColor="background1"/>
                <w:szCs w:val="24"/>
                <w:lang w:eastAsia="pl-PL"/>
              </w:rPr>
              <w:t>Obszar</w:t>
            </w:r>
          </w:p>
        </w:tc>
        <w:tc>
          <w:tcPr>
            <w:tcW w:w="1329" w:type="pct"/>
          </w:tcPr>
          <w:p w14:paraId="30B7FB83" w14:textId="7B69AA45" w:rsidR="003A7397" w:rsidRPr="00467689" w:rsidRDefault="003A7397" w:rsidP="00FA4EE0">
            <w:pPr>
              <w:spacing w:before="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Cs w:val="24"/>
                <w:lang w:eastAsia="pl-PL"/>
              </w:rPr>
            </w:pPr>
            <w:r w:rsidRPr="00467689">
              <w:rPr>
                <w:rFonts w:eastAsia="Times New Roman"/>
                <w:color w:val="FFFFFF" w:themeColor="background1"/>
                <w:szCs w:val="24"/>
                <w:lang w:eastAsia="pl-PL"/>
              </w:rPr>
              <w:t>EFRR</w:t>
            </w:r>
          </w:p>
        </w:tc>
        <w:tc>
          <w:tcPr>
            <w:tcW w:w="1329" w:type="pct"/>
          </w:tcPr>
          <w:p w14:paraId="24A48622" w14:textId="089976F2" w:rsidR="003A7397" w:rsidRPr="00467689" w:rsidRDefault="003A7397" w:rsidP="00FA4EE0">
            <w:pPr>
              <w:spacing w:before="0"/>
              <w:cnfStyle w:val="100000000000" w:firstRow="1" w:lastRow="0" w:firstColumn="0" w:lastColumn="0" w:oddVBand="0" w:evenVBand="0" w:oddHBand="0" w:evenHBand="0" w:firstRowFirstColumn="0" w:firstRowLastColumn="0" w:lastRowFirstColumn="0" w:lastRowLastColumn="0"/>
              <w:rPr>
                <w:rFonts w:eastAsia="Times New Roman"/>
                <w:color w:val="FFFFFF" w:themeColor="background1"/>
                <w:szCs w:val="24"/>
                <w:lang w:eastAsia="pl-PL"/>
              </w:rPr>
            </w:pPr>
            <w:r w:rsidRPr="00467689">
              <w:rPr>
                <w:rFonts w:eastAsia="Times New Roman"/>
                <w:color w:val="FFFFFF" w:themeColor="background1"/>
                <w:szCs w:val="24"/>
                <w:lang w:eastAsia="pl-PL"/>
              </w:rPr>
              <w:t>EFS+</w:t>
            </w:r>
          </w:p>
        </w:tc>
      </w:tr>
      <w:tr w:rsidR="008148D2" w:rsidRPr="00467689" w14:paraId="35FA334A" w14:textId="60942A37"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2A798252" w14:textId="22D92F89"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Adaptacja do zmian klimatu</w:t>
            </w:r>
            <w:r w:rsidR="00CA3045">
              <w:rPr>
                <w:rFonts w:eastAsia="Times New Roman"/>
                <w:b w:val="0"/>
                <w:bCs w:val="0"/>
                <w:color w:val="000000"/>
                <w:szCs w:val="24"/>
                <w:lang w:eastAsia="pl-PL"/>
              </w:rPr>
              <w:t xml:space="preserve"> </w:t>
            </w:r>
          </w:p>
        </w:tc>
        <w:tc>
          <w:tcPr>
            <w:tcW w:w="1329" w:type="pct"/>
          </w:tcPr>
          <w:p w14:paraId="60A1F126" w14:textId="1F5CFE2F" w:rsidR="004C2EA8" w:rsidRPr="00467689" w:rsidRDefault="004C2EA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9</w:t>
            </w:r>
          </w:p>
        </w:tc>
        <w:tc>
          <w:tcPr>
            <w:tcW w:w="1329" w:type="pct"/>
          </w:tcPr>
          <w:p w14:paraId="71008A87" w14:textId="4D902525" w:rsidR="004C2EA8" w:rsidRPr="00467689" w:rsidRDefault="004C2EA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71867FE" w14:textId="5A9E8E1C"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A8E68BC" w14:textId="0A1A882B"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Mobilność miejska</w:t>
            </w:r>
            <w:r w:rsidR="0090567E">
              <w:rPr>
                <w:rFonts w:eastAsia="Times New Roman"/>
                <w:b w:val="0"/>
                <w:bCs w:val="0"/>
                <w:color w:val="000000"/>
                <w:szCs w:val="24"/>
                <w:lang w:eastAsia="pl-PL"/>
              </w:rPr>
              <w:t xml:space="preserve"> </w:t>
            </w:r>
          </w:p>
        </w:tc>
        <w:tc>
          <w:tcPr>
            <w:tcW w:w="1329" w:type="pct"/>
          </w:tcPr>
          <w:p w14:paraId="74C5780A" w14:textId="735D932B"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7</w:t>
            </w:r>
          </w:p>
        </w:tc>
        <w:tc>
          <w:tcPr>
            <w:tcW w:w="1329" w:type="pct"/>
          </w:tcPr>
          <w:p w14:paraId="3F44F09C" w14:textId="16F0E724"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C0661FD" w14:textId="4F3C8D85"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2E5A71A9" w14:textId="5F32A34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Efektywność energetyczna</w:t>
            </w:r>
            <w:r w:rsidR="00D72187">
              <w:rPr>
                <w:rFonts w:eastAsia="Times New Roman"/>
                <w:b w:val="0"/>
                <w:bCs w:val="0"/>
                <w:color w:val="000000"/>
                <w:szCs w:val="24"/>
                <w:lang w:eastAsia="pl-PL"/>
              </w:rPr>
              <w:t xml:space="preserve"> </w:t>
            </w:r>
          </w:p>
        </w:tc>
        <w:tc>
          <w:tcPr>
            <w:tcW w:w="1329" w:type="pct"/>
          </w:tcPr>
          <w:p w14:paraId="1F76B7C7" w14:textId="7AC18D9B"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6</w:t>
            </w:r>
          </w:p>
        </w:tc>
        <w:tc>
          <w:tcPr>
            <w:tcW w:w="1329" w:type="pct"/>
          </w:tcPr>
          <w:p w14:paraId="1874F376" w14:textId="6E627A07"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465A036" w14:textId="54A84057"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BE9EA6C" w14:textId="33FD4D7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Edukacja</w:t>
            </w:r>
            <w:r w:rsidR="00D72187">
              <w:rPr>
                <w:rFonts w:eastAsia="Times New Roman"/>
                <w:b w:val="0"/>
                <w:bCs w:val="0"/>
                <w:color w:val="000000"/>
                <w:szCs w:val="24"/>
                <w:lang w:eastAsia="pl-PL"/>
              </w:rPr>
              <w:t xml:space="preserve"> </w:t>
            </w:r>
          </w:p>
        </w:tc>
        <w:tc>
          <w:tcPr>
            <w:tcW w:w="1329" w:type="pct"/>
          </w:tcPr>
          <w:p w14:paraId="327EEB8B" w14:textId="2B8A545C" w:rsidR="00875460" w:rsidRPr="00467689" w:rsidRDefault="00875460"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c>
          <w:tcPr>
            <w:tcW w:w="1329" w:type="pct"/>
          </w:tcPr>
          <w:p w14:paraId="513D1412" w14:textId="18D7D81B" w:rsidR="00875460" w:rsidRPr="00467689" w:rsidRDefault="00875460"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r>
      <w:tr w:rsidR="008148D2" w:rsidRPr="00467689" w14:paraId="2901C4A3" w14:textId="14E7ACB1"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19BFE2EE" w14:textId="20F1FFC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edukacyjna</w:t>
            </w:r>
            <w:r w:rsidR="00D72187">
              <w:rPr>
                <w:rFonts w:eastAsia="Times New Roman"/>
                <w:b w:val="0"/>
                <w:bCs w:val="0"/>
                <w:color w:val="000000"/>
                <w:szCs w:val="24"/>
                <w:lang w:eastAsia="pl-PL"/>
              </w:rPr>
              <w:t xml:space="preserve"> </w:t>
            </w:r>
          </w:p>
        </w:tc>
        <w:tc>
          <w:tcPr>
            <w:tcW w:w="1329" w:type="pct"/>
          </w:tcPr>
          <w:p w14:paraId="672C44E0" w14:textId="74D30B03"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016F5311" w14:textId="5F5A57C4"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3373BD6C" w14:textId="335BF454"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43E16CF8"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Turystyka</w:t>
            </w:r>
          </w:p>
        </w:tc>
        <w:tc>
          <w:tcPr>
            <w:tcW w:w="1329" w:type="pct"/>
          </w:tcPr>
          <w:p w14:paraId="506F494C" w14:textId="67E3D886"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294F558C" w14:textId="32E0202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1E406A1" w14:textId="757E7F13"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A36ACC0" w14:textId="0845AA8C"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Wsparcie MŚP</w:t>
            </w:r>
            <w:r w:rsidR="006E149B">
              <w:rPr>
                <w:rFonts w:eastAsia="Times New Roman"/>
                <w:b w:val="0"/>
                <w:bCs w:val="0"/>
                <w:color w:val="000000"/>
                <w:szCs w:val="24"/>
                <w:lang w:eastAsia="pl-PL"/>
              </w:rPr>
              <w:t xml:space="preserve"> </w:t>
            </w:r>
          </w:p>
        </w:tc>
        <w:tc>
          <w:tcPr>
            <w:tcW w:w="1329" w:type="pct"/>
          </w:tcPr>
          <w:p w14:paraId="4B9C45EE" w14:textId="2AF668EB"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3</w:t>
            </w:r>
          </w:p>
        </w:tc>
        <w:tc>
          <w:tcPr>
            <w:tcW w:w="1329" w:type="pct"/>
          </w:tcPr>
          <w:p w14:paraId="1F9AF5F6" w14:textId="5B3F3EDB"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779E8670" w14:textId="1B1B8414"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3DF2F72" w14:textId="4D972255"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Odnowa przestrzeni publicznych</w:t>
            </w:r>
          </w:p>
        </w:tc>
        <w:tc>
          <w:tcPr>
            <w:tcW w:w="1329" w:type="pct"/>
          </w:tcPr>
          <w:p w14:paraId="5ACEE188" w14:textId="4A23C9D9"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c>
          <w:tcPr>
            <w:tcW w:w="1329" w:type="pct"/>
          </w:tcPr>
          <w:p w14:paraId="57668BEF" w14:textId="245B2F9A"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F9FAEC0" w14:textId="6C5CCF66"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17986882" w14:textId="1E4781BA"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Włączenie społeczne</w:t>
            </w:r>
            <w:r w:rsidR="00F90F9D">
              <w:rPr>
                <w:rFonts w:eastAsia="Times New Roman"/>
                <w:b w:val="0"/>
                <w:bCs w:val="0"/>
                <w:color w:val="000000"/>
                <w:szCs w:val="24"/>
                <w:lang w:eastAsia="pl-PL"/>
              </w:rPr>
              <w:t xml:space="preserve"> </w:t>
            </w:r>
          </w:p>
        </w:tc>
        <w:tc>
          <w:tcPr>
            <w:tcW w:w="1329" w:type="pct"/>
          </w:tcPr>
          <w:p w14:paraId="468AEEE5" w14:textId="73EAFC24"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c>
          <w:tcPr>
            <w:tcW w:w="1329" w:type="pct"/>
          </w:tcPr>
          <w:p w14:paraId="1DDACD5C" w14:textId="233F1E08" w:rsidR="00875460" w:rsidRPr="00467689" w:rsidRDefault="00875460"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r>
      <w:tr w:rsidR="008148D2" w:rsidRPr="00467689" w14:paraId="19B81F6B" w14:textId="53868C7B"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0BFFF104" w14:textId="63022A82"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Woda i ścieki</w:t>
            </w:r>
            <w:r w:rsidR="0039421F">
              <w:rPr>
                <w:rFonts w:eastAsia="Times New Roman"/>
                <w:b w:val="0"/>
                <w:bCs w:val="0"/>
                <w:color w:val="000000"/>
                <w:szCs w:val="24"/>
                <w:lang w:eastAsia="pl-PL"/>
              </w:rPr>
              <w:t xml:space="preserve"> </w:t>
            </w:r>
          </w:p>
        </w:tc>
        <w:tc>
          <w:tcPr>
            <w:tcW w:w="1329" w:type="pct"/>
          </w:tcPr>
          <w:p w14:paraId="30AF76A8" w14:textId="5A0378C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2</w:t>
            </w:r>
          </w:p>
        </w:tc>
        <w:tc>
          <w:tcPr>
            <w:tcW w:w="1329" w:type="pct"/>
          </w:tcPr>
          <w:p w14:paraId="2FA225BD" w14:textId="593DEAD4"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4E2BA772" w14:textId="052152A0"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479A09D6" w14:textId="2AF83AD2"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drogowa</w:t>
            </w:r>
            <w:r w:rsidR="0039421F">
              <w:rPr>
                <w:rFonts w:eastAsia="Times New Roman"/>
                <w:b w:val="0"/>
                <w:bCs w:val="0"/>
                <w:color w:val="000000"/>
                <w:szCs w:val="24"/>
                <w:lang w:eastAsia="pl-PL"/>
              </w:rPr>
              <w:t xml:space="preserve"> </w:t>
            </w:r>
          </w:p>
        </w:tc>
        <w:tc>
          <w:tcPr>
            <w:tcW w:w="1329" w:type="pct"/>
          </w:tcPr>
          <w:p w14:paraId="6DE2CEC1" w14:textId="52F04F29"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65FA836" w14:textId="6819B208"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C23B730" w14:textId="2AEAE79F"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BC39CCC"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społeczna</w:t>
            </w:r>
          </w:p>
        </w:tc>
        <w:tc>
          <w:tcPr>
            <w:tcW w:w="1329" w:type="pct"/>
          </w:tcPr>
          <w:p w14:paraId="5C0BE9A9" w14:textId="3CCFCA74" w:rsidR="00E56261" w:rsidRPr="00467689" w:rsidRDefault="00E56261"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3228A199" w14:textId="3766B696"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0D8221BF" w14:textId="71CE661F"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3137ADC4"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Infrastruktura zdrowotna</w:t>
            </w:r>
          </w:p>
        </w:tc>
        <w:tc>
          <w:tcPr>
            <w:tcW w:w="1329" w:type="pct"/>
          </w:tcPr>
          <w:p w14:paraId="6FAE870C" w14:textId="0A968D0D"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196FF1A3" w14:textId="7A775DB9"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1766D32C" w14:textId="72941890"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45541A0" w14:textId="42F221B5"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Kolej</w:t>
            </w:r>
            <w:r w:rsidR="006C04B0">
              <w:rPr>
                <w:rFonts w:eastAsia="Times New Roman"/>
                <w:b w:val="0"/>
                <w:bCs w:val="0"/>
                <w:color w:val="000000"/>
                <w:szCs w:val="24"/>
                <w:lang w:eastAsia="pl-PL"/>
              </w:rPr>
              <w:t xml:space="preserve"> </w:t>
            </w:r>
          </w:p>
        </w:tc>
        <w:tc>
          <w:tcPr>
            <w:tcW w:w="1329" w:type="pct"/>
          </w:tcPr>
          <w:p w14:paraId="6B18CB0B" w14:textId="4CADD515" w:rsidR="00E56261" w:rsidRPr="00467689" w:rsidRDefault="00E56261"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457B6A61" w14:textId="50537C1D"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404D8861" w14:textId="5A4A8B09" w:rsidTr="0038635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5EBFEC64" w14:textId="77777777"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Kultura</w:t>
            </w:r>
          </w:p>
        </w:tc>
        <w:tc>
          <w:tcPr>
            <w:tcW w:w="1329" w:type="pct"/>
          </w:tcPr>
          <w:p w14:paraId="78011C9A" w14:textId="43D46AA9" w:rsidR="00E56261" w:rsidRPr="00467689" w:rsidRDefault="00E56261"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39D3F7E3" w14:textId="2DCD52C2"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64F6E8F9" w14:textId="690A29E2"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hideMark/>
          </w:tcPr>
          <w:p w14:paraId="7975C77A" w14:textId="192E8CEB"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Odpady i GOZ</w:t>
            </w:r>
            <w:r w:rsidR="006C04B0">
              <w:rPr>
                <w:rFonts w:eastAsia="Times New Roman"/>
                <w:b w:val="0"/>
                <w:bCs w:val="0"/>
                <w:color w:val="000000"/>
                <w:szCs w:val="24"/>
                <w:lang w:eastAsia="pl-PL"/>
              </w:rPr>
              <w:t xml:space="preserve"> </w:t>
            </w:r>
          </w:p>
        </w:tc>
        <w:tc>
          <w:tcPr>
            <w:tcW w:w="1329" w:type="pct"/>
          </w:tcPr>
          <w:p w14:paraId="0DC9ED7E" w14:textId="523E2AAF"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B2EAFC0" w14:textId="38EC975F"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8148D2" w:rsidRPr="00467689" w14:paraId="5F8FBB7D" w14:textId="3B870023" w:rsidTr="0038635F">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2341" w:type="pct"/>
            <w:noWrap/>
            <w:hideMark/>
          </w:tcPr>
          <w:p w14:paraId="6F5488FF" w14:textId="2047C18F" w:rsidR="008148D2" w:rsidRPr="00467689" w:rsidRDefault="008148D2">
            <w:pPr>
              <w:spacing w:before="0"/>
              <w:rPr>
                <w:rFonts w:eastAsia="Times New Roman"/>
                <w:b w:val="0"/>
                <w:bCs w:val="0"/>
                <w:color w:val="000000"/>
                <w:szCs w:val="24"/>
                <w:lang w:eastAsia="pl-PL"/>
              </w:rPr>
            </w:pPr>
            <w:r w:rsidRPr="00467689">
              <w:rPr>
                <w:rFonts w:eastAsia="Times New Roman"/>
                <w:b w:val="0"/>
                <w:bCs w:val="0"/>
                <w:color w:val="000000"/>
                <w:szCs w:val="24"/>
                <w:lang w:eastAsia="pl-PL"/>
              </w:rPr>
              <w:t>Transport multimodalny</w:t>
            </w:r>
            <w:r w:rsidR="006C04B0">
              <w:rPr>
                <w:rFonts w:eastAsia="Times New Roman"/>
                <w:b w:val="0"/>
                <w:bCs w:val="0"/>
                <w:color w:val="000000"/>
                <w:szCs w:val="24"/>
                <w:lang w:eastAsia="pl-PL"/>
              </w:rPr>
              <w:t xml:space="preserve"> </w:t>
            </w:r>
          </w:p>
        </w:tc>
        <w:tc>
          <w:tcPr>
            <w:tcW w:w="1329" w:type="pct"/>
          </w:tcPr>
          <w:p w14:paraId="29CDE2D5" w14:textId="35F87017"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1</w:t>
            </w:r>
          </w:p>
        </w:tc>
        <w:tc>
          <w:tcPr>
            <w:tcW w:w="1329" w:type="pct"/>
          </w:tcPr>
          <w:p w14:paraId="0198F628" w14:textId="6777E882" w:rsidR="00011428" w:rsidRPr="00467689" w:rsidRDefault="00011428" w:rsidP="00FA4EE0">
            <w:pPr>
              <w:spacing w:before="0"/>
              <w:jc w:val="right"/>
              <w:cnfStyle w:val="000000100000" w:firstRow="0" w:lastRow="0" w:firstColumn="0" w:lastColumn="0" w:oddVBand="0" w:evenVBand="0" w:oddHBand="1"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w:t>
            </w:r>
          </w:p>
        </w:tc>
      </w:tr>
      <w:tr w:rsidR="00024B65" w:rsidRPr="00467689" w14:paraId="30666065" w14:textId="2560C745" w:rsidTr="0038635F">
        <w:trPr>
          <w:trHeight w:val="300"/>
        </w:trPr>
        <w:tc>
          <w:tcPr>
            <w:cnfStyle w:val="001000000000" w:firstRow="0" w:lastRow="0" w:firstColumn="1" w:lastColumn="0" w:oddVBand="0" w:evenVBand="0" w:oddHBand="0" w:evenHBand="0" w:firstRowFirstColumn="0" w:firstRowLastColumn="0" w:lastRowFirstColumn="0" w:lastRowLastColumn="0"/>
            <w:tcW w:w="2341" w:type="pct"/>
            <w:noWrap/>
          </w:tcPr>
          <w:p w14:paraId="26E00441" w14:textId="21D29E6D" w:rsidR="00024B65" w:rsidRPr="00467689" w:rsidRDefault="00024B65">
            <w:pPr>
              <w:spacing w:before="0"/>
              <w:rPr>
                <w:rFonts w:eastAsia="Times New Roman"/>
                <w:color w:val="000000"/>
                <w:szCs w:val="24"/>
                <w:lang w:eastAsia="pl-PL"/>
              </w:rPr>
            </w:pPr>
            <w:r w:rsidRPr="00467689">
              <w:rPr>
                <w:rFonts w:eastAsia="Times New Roman"/>
                <w:color w:val="000000"/>
                <w:szCs w:val="24"/>
                <w:lang w:eastAsia="pl-PL"/>
              </w:rPr>
              <w:t>SUMA</w:t>
            </w:r>
          </w:p>
        </w:tc>
        <w:tc>
          <w:tcPr>
            <w:tcW w:w="1329" w:type="pct"/>
          </w:tcPr>
          <w:p w14:paraId="79B5DBBA" w14:textId="30144A82"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42</w:t>
            </w:r>
          </w:p>
        </w:tc>
        <w:tc>
          <w:tcPr>
            <w:tcW w:w="1329" w:type="pct"/>
          </w:tcPr>
          <w:p w14:paraId="197A92E6" w14:textId="7E1FAAA0" w:rsidR="00011428" w:rsidRPr="00467689" w:rsidRDefault="00011428" w:rsidP="00FA4EE0">
            <w:pPr>
              <w:spacing w:before="0"/>
              <w:jc w:val="right"/>
              <w:cnfStyle w:val="000000000000" w:firstRow="0" w:lastRow="0" w:firstColumn="0" w:lastColumn="0" w:oddVBand="0" w:evenVBand="0" w:oddHBand="0" w:evenHBand="0" w:firstRowFirstColumn="0" w:firstRowLastColumn="0" w:lastRowFirstColumn="0" w:lastRowLastColumn="0"/>
              <w:rPr>
                <w:rFonts w:eastAsia="Times New Roman"/>
                <w:color w:val="000000"/>
                <w:szCs w:val="24"/>
                <w:lang w:eastAsia="pl-PL"/>
              </w:rPr>
            </w:pPr>
            <w:r w:rsidRPr="00467689">
              <w:rPr>
                <w:rFonts w:eastAsia="Times New Roman"/>
                <w:color w:val="000000"/>
                <w:szCs w:val="24"/>
                <w:lang w:eastAsia="pl-PL"/>
              </w:rPr>
              <w:t>5</w:t>
            </w:r>
          </w:p>
        </w:tc>
      </w:tr>
    </w:tbl>
    <w:p w14:paraId="2818A465" w14:textId="611EB69F" w:rsidR="008148D2" w:rsidRPr="008570E4" w:rsidRDefault="008148D2" w:rsidP="005A2787">
      <w:pPr>
        <w:pStyle w:val="rdo"/>
        <w:rPr>
          <w:i/>
        </w:rPr>
      </w:pPr>
      <w:r w:rsidRPr="008570E4">
        <w:t xml:space="preserve">Źródło: </w:t>
      </w:r>
      <w:r w:rsidR="00A302AD" w:rsidRPr="00A302AD">
        <w:t>Zestawienie sporządzone na podstawie danych zebranych i opracowanych przez BAFE oraz pochodzących z CST 2021, stan na 31.03.2025 r.</w:t>
      </w:r>
    </w:p>
    <w:p w14:paraId="6491BAA4" w14:textId="77777777" w:rsidR="00657CDA" w:rsidRPr="003B105D" w:rsidRDefault="00657CDA" w:rsidP="008C41E8">
      <w:pPr>
        <w:keepNext/>
        <w:rPr>
          <w:rFonts w:cstheme="minorHAnsi"/>
          <w:b/>
          <w:bCs/>
          <w:color w:val="640B68" w:themeColor="accent3" w:themeShade="BF"/>
        </w:rPr>
      </w:pPr>
      <w:r w:rsidRPr="003B105D">
        <w:rPr>
          <w:rFonts w:cstheme="minorHAnsi"/>
          <w:b/>
          <w:bCs/>
          <w:color w:val="640B68" w:themeColor="accent3" w:themeShade="BF"/>
        </w:rPr>
        <w:t>Typy projektów</w:t>
      </w:r>
    </w:p>
    <w:p w14:paraId="4CE359F3" w14:textId="1E23236D" w:rsidR="003E73B7" w:rsidRDefault="00657CDA" w:rsidP="00657CDA">
      <w:r w:rsidRPr="003B105D">
        <w:t xml:space="preserve">Zakres typów projektów kwalifikujących się do dofinansowania </w:t>
      </w:r>
      <w:r>
        <w:t xml:space="preserve">w analizowanych </w:t>
      </w:r>
      <w:r w:rsidR="006D7DC5">
        <w:t xml:space="preserve">47 </w:t>
      </w:r>
      <w:r>
        <w:t xml:space="preserve">naborach </w:t>
      </w:r>
      <w:r w:rsidRPr="003B105D">
        <w:t xml:space="preserve">obejmuje szeroki wachlarz działań inwestycyjnych i rozwojowych, zarówno w obszarach infrastrukturalnych, jak i społecznych. </w:t>
      </w:r>
    </w:p>
    <w:p w14:paraId="47F68CBC" w14:textId="7250DF01" w:rsidR="003E73B7" w:rsidRDefault="00657CDA" w:rsidP="00657CDA">
      <w:r w:rsidRPr="003B105D">
        <w:lastRenderedPageBreak/>
        <w:t>Znaczną grupę stanowi</w:t>
      </w:r>
      <w:r w:rsidR="00354FB0">
        <w:t>ły nabory</w:t>
      </w:r>
      <w:r w:rsidR="000F7886">
        <w:t>, które wspierały</w:t>
      </w:r>
      <w:r w:rsidRPr="003B105D">
        <w:t xml:space="preserve"> projekty związane z </w:t>
      </w:r>
      <w:r w:rsidRPr="00C07635">
        <w:rPr>
          <w:b/>
        </w:rPr>
        <w:t>adaptacją do zmian klimatu</w:t>
      </w:r>
      <w:r w:rsidRPr="003B105D">
        <w:t xml:space="preserve">, realizowane m.in. w ramach instrumentów BydOF-IP, OPPT oraz ZIT-ów regionalnych. </w:t>
      </w:r>
      <w:r w:rsidR="00D72174">
        <w:t>W ramach tego obszaru</w:t>
      </w:r>
      <w:r w:rsidR="005335FC">
        <w:t xml:space="preserve"> możliwe było pozyskanie dofinansowania m.</w:t>
      </w:r>
      <w:r w:rsidR="00EB44AB">
        <w:t>i</w:t>
      </w:r>
      <w:r w:rsidR="005335FC">
        <w:t>n. na infrastrukturę lokalową OSP oraz służb ratowniczych PSP</w:t>
      </w:r>
      <w:r w:rsidR="00484A7F">
        <w:t xml:space="preserve"> (</w:t>
      </w:r>
      <w:r w:rsidR="00484A7F" w:rsidRPr="00484A7F">
        <w:t>obejmujące budowę, przebudowę, modernizację czy remont budynków oraz rozwój infrastruktury szkoleniowej</w:t>
      </w:r>
      <w:r w:rsidR="00484A7F">
        <w:t>)</w:t>
      </w:r>
      <w:r w:rsidR="005335FC">
        <w:t xml:space="preserve">, </w:t>
      </w:r>
      <w:r w:rsidR="008372DF">
        <w:t>z</w:t>
      </w:r>
      <w:r w:rsidR="008372DF" w:rsidRPr="008372DF">
        <w:t>adrzewienia przy drogach lokalnych</w:t>
      </w:r>
      <w:r w:rsidR="008372DF">
        <w:t xml:space="preserve"> </w:t>
      </w:r>
      <w:r w:rsidR="00803FAE">
        <w:t xml:space="preserve">i wojewódzkich </w:t>
      </w:r>
      <w:r w:rsidR="008372DF">
        <w:t>oraz r</w:t>
      </w:r>
      <w:r w:rsidR="008372DF" w:rsidRPr="008372DF">
        <w:t>ozwój małej retencji</w:t>
      </w:r>
      <w:r w:rsidR="008372DF">
        <w:t>.</w:t>
      </w:r>
      <w:r w:rsidR="00395E9A">
        <w:t xml:space="preserve"> </w:t>
      </w:r>
      <w:r w:rsidR="00395E9A" w:rsidRPr="00395E9A">
        <w:t xml:space="preserve">W miastach i obszarach zurbanizowanych wsparcie mogły uzyskać projekty związane z małą retencją wodną, gospodarowaniem wodami opadowymi w sposób przyjazny środowisku, przywracaniem zdegradowanych terenów zieleni i zbiorników wodnych ich pierwotnych funkcji, a także tworzeniem nowych zbiorników wodnych. Do finansowania kwalifikowały się również działania polegające na zazielenianiu przestrzeni miejskich – wymianie szczelnych nawierzchni na przepuszczalne, powiększaniu terenów zielonych, </w:t>
      </w:r>
      <w:proofErr w:type="spellStart"/>
      <w:r w:rsidR="00395E9A" w:rsidRPr="00395E9A">
        <w:t>nasadzeniach</w:t>
      </w:r>
      <w:proofErr w:type="spellEnd"/>
      <w:r w:rsidR="00395E9A" w:rsidRPr="00395E9A">
        <w:t xml:space="preserve"> drzew i krzewów, tworzeniu łąk kwietnych, ogrodów deszczowych oraz zazielenianiu elementów infrastruktury, takich jak dachy, mury czy torowiska. Wszystkie projekty musiały być powiązane z działaniami edukacyjnymi i promującymi dobre praktyki w zakresie ochrony klimatu, zasobów wodnych i bezpieczeństwa ekologicznego. </w:t>
      </w:r>
      <w:r w:rsidR="00030DAD" w:rsidRPr="00030DAD">
        <w:t xml:space="preserve">Osobną kategorię stanowiły projekty w zakresie rozwoju infrastruktury małej retencji wodnej na obszarach wiejskich. Obejmowały one budowę lub remont urządzeń służących retencjonowaniu wód, takich jak jazy, zastawki czy </w:t>
      </w:r>
      <w:proofErr w:type="spellStart"/>
      <w:r w:rsidR="00030DAD" w:rsidRPr="00030DAD">
        <w:t>podpiętrzenia</w:t>
      </w:r>
      <w:proofErr w:type="spellEnd"/>
      <w:r w:rsidR="00030DAD" w:rsidRPr="00030DAD">
        <w:t xml:space="preserve">, a także przedsięwzięcia przywracające zdolności retencyjne terenów podmokłych, odtwarzające ich naturalne koryta i oczka wodne na terenach rolniczych czy zwiększające powierzchnię </w:t>
      </w:r>
      <w:proofErr w:type="spellStart"/>
      <w:r w:rsidR="00030DAD" w:rsidRPr="00030DAD">
        <w:t>zadrzewień</w:t>
      </w:r>
      <w:proofErr w:type="spellEnd"/>
      <w:r w:rsidR="00030DAD" w:rsidRPr="00030DAD">
        <w:t xml:space="preserve"> śródpolnych.</w:t>
      </w:r>
      <w:r w:rsidR="00C31B79">
        <w:t xml:space="preserve"> </w:t>
      </w:r>
    </w:p>
    <w:p w14:paraId="491D7E82" w14:textId="7CA4E041" w:rsidR="004B5DE9" w:rsidRDefault="006606EB" w:rsidP="00657CDA">
      <w:r>
        <w:t>W naborach z obszaru</w:t>
      </w:r>
      <w:r w:rsidR="00657CDA" w:rsidRPr="003B105D">
        <w:t xml:space="preserve"> </w:t>
      </w:r>
      <w:r w:rsidR="00657CDA" w:rsidRPr="00C07635">
        <w:rPr>
          <w:b/>
        </w:rPr>
        <w:t>efektywności energetycznej</w:t>
      </w:r>
      <w:r>
        <w:rPr>
          <w:b/>
        </w:rPr>
        <w:t xml:space="preserve"> </w:t>
      </w:r>
      <w:r w:rsidRPr="00077CA0">
        <w:t>możliwe było</w:t>
      </w:r>
      <w:r w:rsidR="0029354F" w:rsidRPr="00077CA0">
        <w:rPr>
          <w:bCs/>
        </w:rPr>
        <w:t xml:space="preserve"> dofinansowanie projektów dotyczących</w:t>
      </w:r>
      <w:r w:rsidR="00657CDA" w:rsidRPr="003B105D">
        <w:t xml:space="preserve"> </w:t>
      </w:r>
      <w:r w:rsidR="0029354F" w:rsidRPr="003B105D">
        <w:t>modernizacj</w:t>
      </w:r>
      <w:r w:rsidR="0029354F">
        <w:t xml:space="preserve">i </w:t>
      </w:r>
      <w:r w:rsidR="00657CDA" w:rsidRPr="003B105D">
        <w:t xml:space="preserve">ciepłowni, sieci ciepłowniczych, </w:t>
      </w:r>
      <w:r w:rsidR="0029354F" w:rsidRPr="003B105D">
        <w:t>wymian</w:t>
      </w:r>
      <w:r w:rsidR="0029354F">
        <w:t>y</w:t>
      </w:r>
      <w:r w:rsidR="0029354F" w:rsidRPr="003B105D">
        <w:t xml:space="preserve"> </w:t>
      </w:r>
      <w:r w:rsidR="00657CDA" w:rsidRPr="003B105D">
        <w:t xml:space="preserve">i </w:t>
      </w:r>
      <w:r w:rsidR="0029354F" w:rsidRPr="003B105D">
        <w:t>modernizacj</w:t>
      </w:r>
      <w:r w:rsidR="0029354F">
        <w:t>i</w:t>
      </w:r>
      <w:r w:rsidR="0029354F" w:rsidRPr="003B105D">
        <w:t xml:space="preserve"> </w:t>
      </w:r>
      <w:r w:rsidR="00657CDA" w:rsidRPr="003B105D">
        <w:t>źródeł ciepła, wzrost</w:t>
      </w:r>
      <w:r w:rsidR="0029354F">
        <w:t>u</w:t>
      </w:r>
      <w:r w:rsidR="00657CDA" w:rsidRPr="003B105D">
        <w:t xml:space="preserve"> efektywności energetycznej budynków, w tym zabytkowych</w:t>
      </w:r>
      <w:r w:rsidR="00440829">
        <w:t xml:space="preserve"> oraz komunalnych</w:t>
      </w:r>
      <w:r w:rsidR="00657CDA" w:rsidRPr="003B105D">
        <w:t xml:space="preserve">, a także </w:t>
      </w:r>
      <w:r w:rsidR="0029354F" w:rsidRPr="003B105D">
        <w:t>rozw</w:t>
      </w:r>
      <w:r w:rsidR="0029354F">
        <w:t>oju</w:t>
      </w:r>
      <w:r w:rsidR="0029354F" w:rsidRPr="003B105D">
        <w:t xml:space="preserve"> </w:t>
      </w:r>
      <w:r w:rsidR="00657CDA" w:rsidRPr="003B105D">
        <w:t xml:space="preserve">systemów ciepłowniczych wraz z magazynami ciepła. </w:t>
      </w:r>
      <w:r w:rsidR="008A70A3" w:rsidRPr="008A70A3">
        <w:t>Wsparcie można było uzyskać na wymianę i modernizację nieefektywnych źródeł ciepła w budynkach wielorodzinnych i użyteczności publicznej, w tym na zastąpienie starych instalacji nowymi nisko- lub zeroemisyjnymi źródłami ogrzewania bądź podłączenie ich do sieci ciepłowniczej. Dopuszczona była także wymiana indywidualnych źródeł ciepła w budynkach komunalnych, z wyłączeniem kotłów na węgiel i gaz.</w:t>
      </w:r>
      <w:r w:rsidR="00553922">
        <w:t xml:space="preserve"> Przedsięwzięcia z zakresu </w:t>
      </w:r>
      <w:r w:rsidR="00553922" w:rsidRPr="00553922">
        <w:t>modernizacji energetycznej budynków komunalnych i zabytkowych budynków użyteczności publicznej</w:t>
      </w:r>
      <w:r w:rsidR="00553922">
        <w:t xml:space="preserve"> mogły </w:t>
      </w:r>
      <w:r w:rsidR="009F36E0" w:rsidRPr="009F36E0">
        <w:t xml:space="preserve">obejmować ocieplenie przegród budowlanych, wymianę stolarki okiennej i drzwiowej, modernizację oświetlenia na energooszczędne, przebudowę systemów grzewczych, wentylacyjnych i klimatyzacyjnych, a także wdrażanie systemów zarządzania energią w budynkach. Wsparcie przewidziano także na instalację odnawialnych źródeł energii na potrzeby własne budynków, realizację </w:t>
      </w:r>
      <w:proofErr w:type="spellStart"/>
      <w:r w:rsidR="009F36E0" w:rsidRPr="009F36E0">
        <w:t>mikrokogeneracji</w:t>
      </w:r>
      <w:proofErr w:type="spellEnd"/>
      <w:r w:rsidR="009F36E0" w:rsidRPr="009F36E0">
        <w:t xml:space="preserve"> lub </w:t>
      </w:r>
      <w:proofErr w:type="spellStart"/>
      <w:r w:rsidR="009F36E0" w:rsidRPr="009F36E0">
        <w:t>mikrotrigeneracji</w:t>
      </w:r>
      <w:proofErr w:type="spellEnd"/>
      <w:r w:rsidR="009F36E0" w:rsidRPr="009F36E0">
        <w:t xml:space="preserve"> oraz instalację systemów chłodzących opartych na OZE.</w:t>
      </w:r>
    </w:p>
    <w:p w14:paraId="45B200EA" w14:textId="4B959F43" w:rsidR="00657CDA" w:rsidRPr="00AD3A9A" w:rsidRDefault="00657CDA" w:rsidP="008C41E8">
      <w:r w:rsidRPr="003B105D">
        <w:lastRenderedPageBreak/>
        <w:t xml:space="preserve">W </w:t>
      </w:r>
      <w:r w:rsidR="003026EC">
        <w:t>obszarze</w:t>
      </w:r>
      <w:r w:rsidR="003E3C7F" w:rsidRPr="003B105D">
        <w:t xml:space="preserve"> </w:t>
      </w:r>
      <w:r w:rsidRPr="00C07635">
        <w:rPr>
          <w:b/>
        </w:rPr>
        <w:t>transportu</w:t>
      </w:r>
      <w:r w:rsidRPr="003B105D">
        <w:t xml:space="preserve"> wspierane </w:t>
      </w:r>
      <w:r w:rsidR="005D014A">
        <w:t>były</w:t>
      </w:r>
      <w:r w:rsidR="005D014A" w:rsidRPr="003B105D">
        <w:t xml:space="preserve"> </w:t>
      </w:r>
      <w:r w:rsidR="002868CD">
        <w:t xml:space="preserve">projekty </w:t>
      </w:r>
      <w:r w:rsidR="00AD3A9A">
        <w:t xml:space="preserve">dotyczące </w:t>
      </w:r>
      <w:r w:rsidR="002868CD" w:rsidRPr="008C41E8">
        <w:t>mobilności miejskiej</w:t>
      </w:r>
      <w:r w:rsidR="005F2F23" w:rsidRPr="00AD3A9A">
        <w:t xml:space="preserve"> </w:t>
      </w:r>
      <w:r w:rsidR="008B6642">
        <w:t>(</w:t>
      </w:r>
      <w:r w:rsidR="005F2F23" w:rsidRPr="00AD3A9A">
        <w:t>rozbudow</w:t>
      </w:r>
      <w:r w:rsidR="00BC3F70">
        <w:t>a</w:t>
      </w:r>
      <w:r w:rsidR="005F2F23" w:rsidRPr="00AD3A9A">
        <w:t xml:space="preserve"> infrastruktury rowerowej</w:t>
      </w:r>
      <w:r w:rsidR="00067009" w:rsidRPr="00AD3A9A">
        <w:t>, tabor dla czystej komunikacji miejskiej</w:t>
      </w:r>
      <w:r w:rsidR="001E4E8F" w:rsidRPr="00AD3A9A">
        <w:t>, rozwój i usprawnienie mobilności miejskiej i podmiejskiej</w:t>
      </w:r>
      <w:r w:rsidR="008B6642">
        <w:t>)</w:t>
      </w:r>
      <w:r w:rsidR="001E4E8F" w:rsidRPr="00AD3A9A">
        <w:t>,</w:t>
      </w:r>
      <w:r w:rsidR="008B6642">
        <w:t xml:space="preserve"> </w:t>
      </w:r>
      <w:r w:rsidR="002868CD" w:rsidRPr="008C41E8">
        <w:t>kolei</w:t>
      </w:r>
      <w:r w:rsidR="008B6642">
        <w:t xml:space="preserve"> (</w:t>
      </w:r>
      <w:r w:rsidR="008F7536" w:rsidRPr="00AD3A9A">
        <w:t>tabor kolejowy</w:t>
      </w:r>
      <w:r w:rsidR="008B6642">
        <w:t>)</w:t>
      </w:r>
      <w:r w:rsidR="008F7536" w:rsidRPr="00AD3A9A">
        <w:t>,</w:t>
      </w:r>
      <w:r w:rsidR="008B6642">
        <w:t xml:space="preserve"> </w:t>
      </w:r>
      <w:r w:rsidR="002868CD" w:rsidRPr="008C41E8">
        <w:t>transportu multimodalnego</w:t>
      </w:r>
      <w:r w:rsidR="00C60E08" w:rsidRPr="00AD3A9A">
        <w:t xml:space="preserve"> </w:t>
      </w:r>
      <w:r w:rsidR="00645ED6">
        <w:t>(</w:t>
      </w:r>
      <w:r w:rsidR="00C60E08" w:rsidRPr="00AD3A9A">
        <w:t xml:space="preserve">rozwój i </w:t>
      </w:r>
      <w:r w:rsidR="00645ED6" w:rsidRPr="00AD3A9A">
        <w:t>popraw</w:t>
      </w:r>
      <w:r w:rsidR="00645ED6">
        <w:t>a</w:t>
      </w:r>
      <w:r w:rsidR="00645ED6" w:rsidRPr="00AD3A9A">
        <w:t xml:space="preserve"> </w:t>
      </w:r>
      <w:r w:rsidR="00A41B1F" w:rsidRPr="00AD3A9A">
        <w:t>zrównoważonej mobilności na szczeblu regionalnym i lokalnym</w:t>
      </w:r>
      <w:r w:rsidR="00645ED6">
        <w:t>)</w:t>
      </w:r>
      <w:r w:rsidR="00A41B1F" w:rsidRPr="00AD3A9A">
        <w:t>,</w:t>
      </w:r>
      <w:r w:rsidR="00645ED6">
        <w:t xml:space="preserve"> </w:t>
      </w:r>
      <w:r w:rsidR="00AB3268" w:rsidRPr="008C41E8">
        <w:t>infrastruktury drogowej</w:t>
      </w:r>
      <w:r w:rsidR="003A2395" w:rsidRPr="00AD3A9A">
        <w:t xml:space="preserve"> </w:t>
      </w:r>
      <w:r w:rsidR="00645ED6">
        <w:t>(</w:t>
      </w:r>
      <w:r w:rsidR="003A2395" w:rsidRPr="00AD3A9A">
        <w:t>inwestycje w poprawę bezpieczeństwa w miejscach</w:t>
      </w:r>
      <w:r w:rsidR="009D49E3" w:rsidRPr="00AD3A9A">
        <w:t>/skrzyżowaniach</w:t>
      </w:r>
      <w:r w:rsidR="003A2395" w:rsidRPr="00AD3A9A">
        <w:t xml:space="preserve"> niebezpiecznych</w:t>
      </w:r>
      <w:r w:rsidR="00BC3F70">
        <w:t>)</w:t>
      </w:r>
      <w:r w:rsidR="009D49E3" w:rsidRPr="00AD3A9A">
        <w:t>.</w:t>
      </w:r>
      <w:r w:rsidR="003A2395" w:rsidRPr="00AD3A9A" w:rsidDel="008F7536">
        <w:t xml:space="preserve"> </w:t>
      </w:r>
    </w:p>
    <w:p w14:paraId="7AF9958D" w14:textId="18277257" w:rsidR="00E61AA9" w:rsidRDefault="000515EE" w:rsidP="008C41E8">
      <w:r>
        <w:t>W</w:t>
      </w:r>
      <w:r w:rsidR="00E61AA9">
        <w:t xml:space="preserve"> </w:t>
      </w:r>
      <w:r w:rsidR="002B079B">
        <w:t xml:space="preserve">naborach z </w:t>
      </w:r>
      <w:r>
        <w:t>obszar</w:t>
      </w:r>
      <w:r w:rsidR="002B079B">
        <w:t>u</w:t>
      </w:r>
      <w:r>
        <w:t xml:space="preserve"> </w:t>
      </w:r>
      <w:r w:rsidR="00E61AA9" w:rsidRPr="00077CA0">
        <w:rPr>
          <w:b/>
          <w:bCs/>
        </w:rPr>
        <w:t>edukacji</w:t>
      </w:r>
      <w:r w:rsidR="00E61AA9">
        <w:t xml:space="preserve"> </w:t>
      </w:r>
      <w:r w:rsidR="00472218">
        <w:t xml:space="preserve">(EFS+) </w:t>
      </w:r>
      <w:r w:rsidR="002B079B">
        <w:t>możliwe było</w:t>
      </w:r>
      <w:r w:rsidR="00AC0219">
        <w:t xml:space="preserve"> </w:t>
      </w:r>
      <w:proofErr w:type="spellStart"/>
      <w:r w:rsidR="00AC0219">
        <w:t>dofinanoswanie</w:t>
      </w:r>
      <w:proofErr w:type="spellEnd"/>
      <w:r w:rsidR="00AC0219">
        <w:t xml:space="preserve"> projektów z zakresu</w:t>
      </w:r>
      <w:r w:rsidR="00E61AA9">
        <w:t xml:space="preserve"> wychowania przedszkolnego</w:t>
      </w:r>
      <w:r w:rsidR="00AC0219">
        <w:t>. Mogły one obejmować</w:t>
      </w:r>
      <w:r w:rsidR="00DD5078">
        <w:t xml:space="preserve">: </w:t>
      </w:r>
      <w:r w:rsidR="00E82ED2">
        <w:t>t</w:t>
      </w:r>
      <w:r w:rsidR="00E82ED2" w:rsidRPr="00E82ED2">
        <w:t>worzenie nowych miejsc przedszkolnych i ich bieżące funkcjonowanie</w:t>
      </w:r>
      <w:r w:rsidR="005364D9">
        <w:t xml:space="preserve">, </w:t>
      </w:r>
      <w:r w:rsidR="00D45E65">
        <w:t>r</w:t>
      </w:r>
      <w:r w:rsidR="00D45E65" w:rsidRPr="00D45E65">
        <w:t>ealizacj</w:t>
      </w:r>
      <w:r w:rsidR="00386C0A">
        <w:t>ę</w:t>
      </w:r>
      <w:r w:rsidR="00D45E65" w:rsidRPr="00D45E65">
        <w:t xml:space="preserve"> dodatkowej oferty edukacyjnej lub specjalistycznej dla dzieci w zakresie poprawy jakości świadczenia usług edukacyjnych oraz edukacji włączającej (np. asystent dziecka ze specjalnymi potrzebami edukacyjnymi), w tym diagnozowanie indywidualnych potrzeb rozwojowych lub edukacyjnych, udzielanie pomocy psychologiczno-pedagogicznej</w:t>
      </w:r>
      <w:r w:rsidR="00386C0A">
        <w:t>, d</w:t>
      </w:r>
      <w:r w:rsidR="00386C0A" w:rsidRPr="00386C0A">
        <w:t>ostosowanie istniejących miejsc wychowania przedszkolnego do potrzeb dzieci z niepełnosprawnościami</w:t>
      </w:r>
      <w:r w:rsidR="00152527">
        <w:t>,</w:t>
      </w:r>
      <w:r w:rsidR="00386C0A" w:rsidRPr="00386C0A">
        <w:t xml:space="preserve"> </w:t>
      </w:r>
      <w:r w:rsidR="00152527">
        <w:t>w</w:t>
      </w:r>
      <w:r w:rsidR="00386C0A" w:rsidRPr="00386C0A">
        <w:t>sparcie dla przedstawicieli kadry ośrodka wychowania przedszkolnego ukierunkowane m.in. na podnoszenie kompetencji lub nabywanie kwalifikacji (w tym związanych z zieloną lub cyfrową transformacją) lub udzielanie pomocy w rozwiązywaniu problemów dydaktycznych (w tym wsparcie metodyczne) lub wychowawczych</w:t>
      </w:r>
      <w:r w:rsidR="005E1B2E">
        <w:t>,</w:t>
      </w:r>
      <w:r w:rsidR="00386C0A" w:rsidRPr="00386C0A">
        <w:t xml:space="preserve"> działania wynikające z wychowawczej lub wspierającej funkcji OWP, w tym profilaktyki problemów (np. działania prozdrowotne lub proekologiczne).</w:t>
      </w:r>
    </w:p>
    <w:p w14:paraId="77086065" w14:textId="00B6169C" w:rsidR="00DE0836" w:rsidRDefault="00B57313" w:rsidP="00DE0836">
      <w:r w:rsidRPr="00B57313">
        <w:t xml:space="preserve">Nabory w obszarze edukacji dotyczyły </w:t>
      </w:r>
      <w:r>
        <w:t xml:space="preserve">także </w:t>
      </w:r>
      <w:r w:rsidRPr="00B57313">
        <w:t xml:space="preserve">działań służących podnoszeniu jakości i efektywności kształcenia ogólnego, wyrównywaniu szans edukacyjnych oraz zwiększaniu dostępności i włączenia społecznego. Wnioskodawcy mogli ubiegać się o środki na wsparcie uczniów – </w:t>
      </w:r>
      <w:r w:rsidR="005A6FAA">
        <w:t>obejmujące</w:t>
      </w:r>
      <w:r w:rsidRPr="00B57313">
        <w:t xml:space="preserve"> rozwijanie kompetencji kluczowych, organizację staży, prowadzenie zajęć w ramach edukacji włączającej, doradztwo edukacyjno-zawodowe czy działania wychowawcze i profilaktyczne. Dostępne były również formy wsparcia dla kadry pedagogicznej, obejmujące podnoszenie kwalifikacji, rozwój kompetencji cyfrowych i społeczno-emocjonalnych, pomoc metodyczną, przygotowanie do realizacji edukacji włączającej oraz udział w sieciach współpracy i programach mentoringu. Ponadto szkoły i placówki mogły ubiegać się o dofinansowanie na poprawę warunków kształcenia, wdrażanie nowatorskich metod nauczania, rozwój doradztwa edukacyjno-zawodowego, wzmocnienie cyfryzacji oraz dostosowanie do wyzwań zielonej i cyfrowej transformacji.</w:t>
      </w:r>
    </w:p>
    <w:p w14:paraId="27E9B2D6" w14:textId="3D9CB71F" w:rsidR="00BB5AB2" w:rsidRDefault="00271386" w:rsidP="00FA072C">
      <w:r>
        <w:t xml:space="preserve">Z kolei nabory z obszaru </w:t>
      </w:r>
      <w:r w:rsidRPr="00077CA0">
        <w:rPr>
          <w:b/>
          <w:bCs/>
        </w:rPr>
        <w:t>infrastruktury edukacyjnej</w:t>
      </w:r>
      <w:r>
        <w:t xml:space="preserve"> wspierały</w:t>
      </w:r>
      <w:r w:rsidR="00CE1581">
        <w:t xml:space="preserve"> projekty</w:t>
      </w:r>
      <w:r w:rsidR="00050BE9">
        <w:t xml:space="preserve"> koncentrując</w:t>
      </w:r>
      <w:r w:rsidR="00A22EC1">
        <w:t>e</w:t>
      </w:r>
      <w:r w:rsidR="00050BE9">
        <w:t xml:space="preserve"> się na dostępności szkół wraz z edukacyjną bazą sportow</w:t>
      </w:r>
      <w:r w:rsidR="00CE2CBF">
        <w:t xml:space="preserve">ą, a </w:t>
      </w:r>
      <w:r w:rsidR="003A05C5">
        <w:t>także</w:t>
      </w:r>
      <w:r w:rsidR="00CE2CBF">
        <w:t xml:space="preserve"> inwestycje w infrastrukturę kształcenia zawodowego.</w:t>
      </w:r>
      <w:r w:rsidR="00050BE9">
        <w:t xml:space="preserve"> </w:t>
      </w:r>
      <w:r w:rsidR="00FA072C">
        <w:t>Nabory w obszarze infrastruktury edukacyjnej obejmowały przede wszystkim projekty ukierunkowane na poprawę dostępności szkół i placówek dla osób ze specjalnymi potrzebami edukacyjnymi. Celem tego typu działań było wspieranie rozwoju edukacji włączającej, z uwzględnieniem również potrzeb uczniów-uchodźców z Ukrainy. Elementem projektów mogły być inwestycje w przyszkolną bazę sportową</w:t>
      </w:r>
      <w:r w:rsidR="003A05C5">
        <w:t xml:space="preserve"> –</w:t>
      </w:r>
      <w:r w:rsidR="00FA072C">
        <w:t xml:space="preserve"> pod </w:t>
      </w:r>
      <w:r w:rsidR="00FA072C">
        <w:lastRenderedPageBreak/>
        <w:t>warunkiem że odpowiadały one na rzeczywiste braki w infrastrukturze, zostały uznane za priorytetowe w diagnozach regionalnych i były przeznaczone do bezpłatnego prowadzenia zajęć sportowych oraz integracyjnych, zapewniając jednocześnie dostępność dla osób z niepełnosprawnościami. Drugim typem projektów wspieranych w ramach naborów były inwestycje w infrastrukturę edukacyjną i szkoleniową szkół oraz centrów i placówek prowadzących kształcenie zawodowe lub ustawiczne, z wyłączeniem placówek specjalnych. Finansowane mogły być budow</w:t>
      </w:r>
      <w:r w:rsidR="0018441D">
        <w:t>y</w:t>
      </w:r>
      <w:r w:rsidR="00FA072C">
        <w:t>, przebudow</w:t>
      </w:r>
      <w:r w:rsidR="0018441D">
        <w:t>y</w:t>
      </w:r>
      <w:r w:rsidR="00FA072C">
        <w:t>, remont</w:t>
      </w:r>
      <w:r w:rsidR="0018441D">
        <w:t>y</w:t>
      </w:r>
      <w:r w:rsidR="00FA072C">
        <w:t xml:space="preserve"> czy wyposażeni</w:t>
      </w:r>
      <w:r w:rsidR="0018441D">
        <w:t>a</w:t>
      </w:r>
      <w:r w:rsidR="00FA072C">
        <w:t xml:space="preserve"> obiektów, o ile działania te były ukierunkowane na tworzenie i rozwój warsztatów oraz pracowni kształcenia praktycznego w branżach zgodnych z potrzebami rynku pracy. </w:t>
      </w:r>
    </w:p>
    <w:p w14:paraId="45F03EFF" w14:textId="777368F4" w:rsidR="0022009B" w:rsidRDefault="007D1829" w:rsidP="007D1829">
      <w:r>
        <w:t xml:space="preserve">Nabory w obszarze </w:t>
      </w:r>
      <w:r w:rsidRPr="00077CA0">
        <w:rPr>
          <w:b/>
          <w:bCs/>
        </w:rPr>
        <w:t>turystyki</w:t>
      </w:r>
      <w:r>
        <w:t xml:space="preserve"> obejmowały szeroki zakres działań inwestycyjnych i promocyjnych, których celem było podniesienie atrakcyjności turystycznej regionów oraz poprawa dostępności do istniejących zasobów. Wnioskodawcy mogli ubiegać się o wsparcie na budowę, przebudowę i rozbudowę infrastruktury turystycznej wraz z zakupem wyposażenia i sprzętu, w tym na zagospodarowanie otoczenia zbiorników i cieków wodnych. </w:t>
      </w:r>
      <w:r w:rsidR="00F1595D">
        <w:t>Możliwe były</w:t>
      </w:r>
      <w:r>
        <w:t xml:space="preserve"> również inwestycje poprawiające dostępność obiektów i atrakcji turystycznych oraz ich najbliższego otoczenia – obejmujące m.in. budowę parkingów, ciągów komunikacyjnych, zielonej infrastruktury czy rozwiązań dla osób z niepełnosprawnościami.</w:t>
      </w:r>
      <w:r w:rsidR="007224D2">
        <w:t xml:space="preserve"> </w:t>
      </w:r>
      <w:r>
        <w:t>Wsparcie można było uzyskać także na adaptację obiektów do pełnienia funkcji turystycznych, jak i na tworzenie, rozwój oraz promocję parków i szlaków kulturowych. Istotnym elementem było wspieranie rozwoju różnorodnych tras turystycznych – pieszych, wodnych, rowerowych – a także inwestowanie w infrastrukturę rowerową poprzez budowę i rozbudowę ścieżek rowerowych. Nabory obejmowały również działania związane z budowaniem marek lokalnych oraz promowaniem produktów regionalnych, co miało przyczynić się do zwiększenia rozpoznawalności i atrakcyjności turystycznej obszarów.</w:t>
      </w:r>
      <w:r w:rsidR="007224D2">
        <w:t xml:space="preserve"> </w:t>
      </w:r>
      <w:r>
        <w:t xml:space="preserve">Wnioskodawcy mieli możliwość łączenia różnych typów </w:t>
      </w:r>
      <w:r w:rsidR="00FB0AAF">
        <w:t>przedsięwzięć</w:t>
      </w:r>
      <w:r>
        <w:t xml:space="preserve"> w ramach jednego </w:t>
      </w:r>
      <w:r w:rsidR="00FB0AAF">
        <w:t>projektu</w:t>
      </w:r>
      <w:r>
        <w:t>, co pozwalało na kompleksowe podejście do rozwoju turystyki – zarówno w wymiarze infrastrukturalnym, jak i promocyjnym.</w:t>
      </w:r>
    </w:p>
    <w:p w14:paraId="3B91F347" w14:textId="07C82B5F" w:rsidR="009E5261" w:rsidRDefault="00B83B75" w:rsidP="00657CDA">
      <w:r w:rsidRPr="00B83B75">
        <w:t xml:space="preserve">Nabory w obszarze </w:t>
      </w:r>
      <w:r w:rsidRPr="00077CA0">
        <w:rPr>
          <w:b/>
          <w:bCs/>
        </w:rPr>
        <w:t>wsparcia MŚP</w:t>
      </w:r>
      <w:r w:rsidRPr="00B83B75">
        <w:t xml:space="preserve"> koncentrowały się na rozwijaniu otoczenia biznesu oraz zwiększaniu dostępu przedsiębiorstw do wysokiej jakości usług doradczych. </w:t>
      </w:r>
      <w:r w:rsidR="00B26575">
        <w:t>Po pierwsze,</w:t>
      </w:r>
      <w:r w:rsidRPr="00B83B75">
        <w:t xml:space="preserve"> przewidziano akredytację usług instytucji otoczenia biznesu (IOB). Równolegle przedsiębiorcy mogli ubiegać się o dofinansowanie zakupu akredytowanych usług doradczych w zakresie rozwoju usług biznesowych. Dotyczyło to zarówno usług proinnowacyjnych, związanych z transformacją przemysłową i cyfrową czy ochroną własności intelektualnej, jak i usług rozwojowych, których celem było podnoszenie wiedzy, umiejętności i kompetencji przedsiębiorców oraz pracowników. Ten typ wsparcia mógł być realizowany w formie grantów. </w:t>
      </w:r>
      <w:r w:rsidR="00B26575">
        <w:t>Po drugie, przewidziano wspieranie</w:t>
      </w:r>
      <w:r w:rsidRPr="00B83B75">
        <w:t xml:space="preserve"> rozbudow</w:t>
      </w:r>
      <w:r w:rsidR="00B26575">
        <w:t>y</w:t>
      </w:r>
      <w:r w:rsidRPr="00B83B75">
        <w:t xml:space="preserve"> i modernizacj</w:t>
      </w:r>
      <w:r w:rsidR="00B26575">
        <w:t>i</w:t>
      </w:r>
      <w:r w:rsidRPr="00B83B75">
        <w:t xml:space="preserve"> infrastruktury wspierającej rozwój gospodarczy. Dofinansowanie obejmowało m.in. tworzenie i rozwój centrów biznesowych, centrów demonstracyjnych, inkubatorów przedsiębiorczości, przestrzeni </w:t>
      </w:r>
      <w:r w:rsidRPr="00B83B75">
        <w:lastRenderedPageBreak/>
        <w:t xml:space="preserve">coworkingowych, </w:t>
      </w:r>
      <w:proofErr w:type="spellStart"/>
      <w:r w:rsidRPr="00B83B75">
        <w:t>fab</w:t>
      </w:r>
      <w:proofErr w:type="spellEnd"/>
      <w:r w:rsidRPr="00B83B75">
        <w:t xml:space="preserve"> </w:t>
      </w:r>
      <w:proofErr w:type="spellStart"/>
      <w:r w:rsidRPr="00B83B75">
        <w:t>labów</w:t>
      </w:r>
      <w:proofErr w:type="spellEnd"/>
      <w:r w:rsidRPr="00B83B75">
        <w:t xml:space="preserve"> czy </w:t>
      </w:r>
      <w:proofErr w:type="spellStart"/>
      <w:r w:rsidRPr="00B83B75">
        <w:t>living</w:t>
      </w:r>
      <w:proofErr w:type="spellEnd"/>
      <w:r w:rsidRPr="00B83B75">
        <w:t xml:space="preserve"> </w:t>
      </w:r>
      <w:proofErr w:type="spellStart"/>
      <w:r w:rsidRPr="00B83B75">
        <w:t>labów</w:t>
      </w:r>
      <w:proofErr w:type="spellEnd"/>
      <w:r w:rsidRPr="00B83B75">
        <w:t>. Projekty mogły dotyczyć również powstawania platform współpracy oraz wzmacniania ośrodków wspierających przedsiębiorczość.</w:t>
      </w:r>
    </w:p>
    <w:p w14:paraId="606CFE3A" w14:textId="72B3D809" w:rsidR="009E5261" w:rsidRDefault="0075529B" w:rsidP="00657CDA">
      <w:r w:rsidRPr="0075529B">
        <w:t xml:space="preserve">Nabory w obszarze </w:t>
      </w:r>
      <w:r w:rsidRPr="00077CA0">
        <w:rPr>
          <w:b/>
          <w:bCs/>
        </w:rPr>
        <w:t>odnowy przestrzeni publicznych</w:t>
      </w:r>
      <w:r w:rsidRPr="0075529B">
        <w:t xml:space="preserve"> </w:t>
      </w:r>
      <w:r w:rsidR="007E3C4F">
        <w:t>skierowane były na wsparcie</w:t>
      </w:r>
      <w:r w:rsidRPr="0075529B">
        <w:t xml:space="preserve"> przedsięwzię</w:t>
      </w:r>
      <w:r w:rsidR="007E3C4F">
        <w:t>ć</w:t>
      </w:r>
      <w:r w:rsidRPr="0075529B">
        <w:t xml:space="preserve"> związan</w:t>
      </w:r>
      <w:r w:rsidR="007E3C4F">
        <w:t>ych</w:t>
      </w:r>
      <w:r w:rsidRPr="0075529B">
        <w:t xml:space="preserve"> z budową, przebudową, remontem i adaptacją zdegradowanych obiektów, terenów i przestrzeni, tak aby przywrócić im funkcje społeczne, edukacyjne czy kulturalne albo nadać im zupełnie nowe przeznaczenie. Finansowane były także projekty porządkujące i zagospodarowujące przestrzeń publiczną, obejmujące poprawę jej estetyki i funkcjonalności, a także działania służące udostępnieniu terenów mieszkańcom czy zwiększeniu bezpieczeństwa publicznego. Istotnym typem projektów były również przedsięwzięcia dotyczące restauracji i konserwacji zabytków wpisanych do rejestru lub położonych w strefach ochrony konserwatorskiej, wraz z zagospodarowaniem ich otoczenia, tak aby mogły pełnić ważne funkcje w przestrzeni miejskiej i lokalnej. Wnioskodawcy mieli możliwość łączenia różnych typów </w:t>
      </w:r>
      <w:r w:rsidR="004F76F4">
        <w:t>przedsięwzięć</w:t>
      </w:r>
      <w:r w:rsidRPr="0075529B">
        <w:t>, co pozwalało na kompleksowe podejście do rewitalizacji i odnowy przestrzeni publicznych, integrujące zarówno aspekty funkcjonalne, jak i estetyczne.</w:t>
      </w:r>
    </w:p>
    <w:p w14:paraId="54B42B3B" w14:textId="796D3CDF" w:rsidR="009E5261" w:rsidRDefault="00861519" w:rsidP="00861519">
      <w:r>
        <w:t xml:space="preserve">Nabory w obszarze </w:t>
      </w:r>
      <w:r w:rsidRPr="00077CA0">
        <w:rPr>
          <w:b/>
          <w:bCs/>
        </w:rPr>
        <w:t>włączenia społecznego</w:t>
      </w:r>
      <w:r>
        <w:t xml:space="preserve"> ukierunkowane były na </w:t>
      </w:r>
      <w:r w:rsidR="00A104C4">
        <w:t xml:space="preserve">realizację dwóch </w:t>
      </w:r>
      <w:r w:rsidR="00E3504B">
        <w:t>schematów wsparcia. W pierwszym, położono nacisk</w:t>
      </w:r>
      <w:r>
        <w:t xml:space="preserve"> na poprawę sytuacji obywateli państw trzecich (OPT) oraz osób zagrożonych wykluczeniem społecznym i mieszkaniowym, poprzez integrację społeczną, zawodową i instytucjonalną. W ramach projekt</w:t>
      </w:r>
      <w:r w:rsidR="000131F5">
        <w:t>u</w:t>
      </w:r>
      <w:r>
        <w:t xml:space="preserve"> wspierając</w:t>
      </w:r>
      <w:r w:rsidR="000131F5">
        <w:t>ego</w:t>
      </w:r>
      <w:r>
        <w:t xml:space="preserve"> integrację zawodową OPT </w:t>
      </w:r>
      <w:r w:rsidR="000131F5">
        <w:t>przewidziano</w:t>
      </w:r>
      <w:r>
        <w:t xml:space="preserve"> wdrażanie kompleksowych działań ułatwiających wejście na rynek pracy i utrzymanie się w zatrudnieniu. Obejmowały one doradztwo zawodowe i pośrednictwo pracy, kursy i procedury potwierdzania kwalifikacji, wsparcie w legalizacji pobytu i pracy, szkolenia z zakresu prawa pracy i relacji w miejscu pracy, kursy języka polskiego – także branżowe – oraz staże zawodowe. Uzupełniająco przewidziano także wsparcie dla pracodawców, w tym doradztwo i szkolenia dotyczące zatrudniania cudzoziemców oraz warsztaty w obszarze wielokulturowości.</w:t>
      </w:r>
      <w:r w:rsidR="00E35D80">
        <w:t xml:space="preserve"> </w:t>
      </w:r>
      <w:r>
        <w:t xml:space="preserve">Kolejny zakres dotyczył aktywizacji społecznej i integracji obywateli państw trzecich. W </w:t>
      </w:r>
      <w:r w:rsidR="00AD485C">
        <w:t>ramach projektu przewidziano</w:t>
      </w:r>
      <w:r>
        <w:t xml:space="preserve"> działania wspierające naukę języka polskiego, w tym dostosowane do szczególnych potrzeb uczestników, inicjatywy integrujące dzieci cudzoziemskie ze społecznością szkolną, a także poradnictwo psychologiczne, obywatelskie, prawne i antydyskryminacyjne. </w:t>
      </w:r>
      <w:r w:rsidR="00AD485C">
        <w:t>Działania</w:t>
      </w:r>
      <w:r>
        <w:t xml:space="preserve"> mogły obejmować wsparcie w dostępie do systemu pomocy społecznej, ochrony zdrowia, edukacji czy mieszkalnictwa, również z myślą o osobach ze specjalnymi potrzebami. Ważnym elementem było tworzenie miejsc spotkań lokalnych społeczności oraz programów przybliżających polską kulturę i wspierających integrację cudzoziemców z mieszkańcami.</w:t>
      </w:r>
      <w:r w:rsidR="00E35D80">
        <w:t xml:space="preserve"> </w:t>
      </w:r>
      <w:r w:rsidR="00460400">
        <w:t>Dodatkowo, przewidziano także</w:t>
      </w:r>
      <w:r>
        <w:t xml:space="preserve"> budowanie potencjału instytucjonalnego na rzecz wsparcia OPT. Obejmowało ono tworzenie partnerstw i sieci współpracy z udziałem władz lokalnych, organizacji pozarządowych i przedstawicieli społeczności </w:t>
      </w:r>
      <w:proofErr w:type="spellStart"/>
      <w:r>
        <w:t>migranckich</w:t>
      </w:r>
      <w:proofErr w:type="spellEnd"/>
      <w:r>
        <w:t xml:space="preserve">, szkolenia dla kadr </w:t>
      </w:r>
      <w:r>
        <w:lastRenderedPageBreak/>
        <w:t>instytucji publicznych i niepublicznych pracujących z cudzoziemcami oraz działania wspierające aktywność obywatelską migrantów, w tym zakładanie organizacji i wyłanianie lokalnych liderów.</w:t>
      </w:r>
      <w:r w:rsidR="00E35D80">
        <w:t xml:space="preserve"> </w:t>
      </w:r>
      <w:r w:rsidR="00460400">
        <w:t>Drugi schemat</w:t>
      </w:r>
      <w:r>
        <w:t xml:space="preserve"> wsparcia </w:t>
      </w:r>
      <w:r w:rsidR="00460400">
        <w:t>obejmował</w:t>
      </w:r>
      <w:r>
        <w:t xml:space="preserve"> rozwój usług w mieszkaniach treningowych i wspomaganych, skierowanych do osób potrzebujących wzmocnienia w codziennym funkcjonowaniu. Projekty mogły także obejmować działania dla osób w kryzysie bezdomności lub zagrożonych wykluczeniem mieszkaniowym, w tym wsparcie środowiskowe, wdrażanie modelu „najpierw mieszkanie” oraz uzupełniająco usługi aktywnej integracji.</w:t>
      </w:r>
    </w:p>
    <w:p w14:paraId="6748D3D8" w14:textId="66A11133" w:rsidR="007B1B1F" w:rsidRDefault="007B1B1F" w:rsidP="00861519">
      <w:r w:rsidRPr="007B1B1F">
        <w:t xml:space="preserve">Nabory w obszarze </w:t>
      </w:r>
      <w:r w:rsidRPr="00077CA0">
        <w:rPr>
          <w:b/>
          <w:bCs/>
        </w:rPr>
        <w:t>gospodarki wodno-ściekowej</w:t>
      </w:r>
      <w:r w:rsidRPr="007B1B1F">
        <w:t xml:space="preserve"> były skierowane do aglomeracji różnej wielkości i obejmowały projekty wpisane do KPOŚK. W aglomeracjach od 10 tys. do poniżej 15 tys. RLM wsparcie mogły uzyskać kompleksowe projekty z zakresu gospodarki wodno-ściekowej obejmujące modernizację i rozbudowę oczyszczalni ścieków oraz sieci kanalizacyjnych. Dofinansowanie dotyczyło również instalacji do odwadniania i kompostowania osadów ściekowych w oczyszczalniach oraz rozbudowy systemów wodociągowych – takich jak nowe sieci, stacje uzdatniania wody czy ujęcia – przy czym możliwe to było jedynie jako element projektów związanych z gospodarką ściekową. Analogiczne wsparcie przewidziano dla mniejszych aglomeracji o wielkości od 2 tys. do poniżej 10 tys. RLM. W ich przypadku możliwe było realizowanie kompleksowych projektów obejmujących oczyszczalnie i sieci kanalizacyjne, a także inwestycji związanych z odwadnianiem i kompostowaniem osadów ściekowych jako elementu działań w oczyszczalniach. Również tutaj rozbudowa systemów wodociągowych mogła być finansowana tylko jako część większych projektów wodno-ściekowych.</w:t>
      </w:r>
    </w:p>
    <w:p w14:paraId="29CC35CD" w14:textId="6EC54094" w:rsidR="00172778" w:rsidRDefault="00085C2C" w:rsidP="00861519">
      <w:r w:rsidRPr="00085C2C">
        <w:t>Nab</w:t>
      </w:r>
      <w:r>
        <w:t>ór</w:t>
      </w:r>
      <w:r w:rsidRPr="00085C2C">
        <w:t xml:space="preserve"> w obszarze </w:t>
      </w:r>
      <w:r w:rsidRPr="00077CA0">
        <w:rPr>
          <w:b/>
          <w:bCs/>
        </w:rPr>
        <w:t>infrastruktury społecznej</w:t>
      </w:r>
      <w:r w:rsidRPr="00085C2C">
        <w:t xml:space="preserve"> obejmował inwestycje w infrastrukturę niezbędną do świadczenia usług społecznych w środowisku, poprzez tworzenie mieszkań treningowych i wspomaganych. Wsparcie mogło dotyczyć budowy, przebudowy, remontu oraz wyposażenia obiektów przeznaczonych na tego rodzaju mieszkania, kierowanych do różnych grup potrzebujących – w szczególności osób starszych, osób z niepełnosprawnościami wymagających codziennego wsparcia, rodzin i dzieci w trudnej sytuacji życiowej, osób w kryzysie zdrowia psychicznego, a także osób doświadczających bezdomności lub zagrożonych jej wystąpieniem.</w:t>
      </w:r>
    </w:p>
    <w:p w14:paraId="1FD7C626" w14:textId="05DB3678" w:rsidR="00BA27E0" w:rsidRDefault="0051579C" w:rsidP="00861519">
      <w:r w:rsidRPr="0051579C">
        <w:t xml:space="preserve">Nabór w obszarze </w:t>
      </w:r>
      <w:r w:rsidRPr="00077CA0">
        <w:rPr>
          <w:b/>
          <w:bCs/>
        </w:rPr>
        <w:t>infrastruktury zdrowotnej</w:t>
      </w:r>
      <w:r w:rsidRPr="0051579C">
        <w:t xml:space="preserve"> dotyczył rozwoju ochrony zdrowia psychicznego w zakresie Centrów Zdrowia Psychicznego dla dorosłych</w:t>
      </w:r>
      <w:r w:rsidR="00E16024">
        <w:t xml:space="preserve"> i</w:t>
      </w:r>
      <w:r w:rsidRPr="0051579C">
        <w:t xml:space="preserve"> był skierowany wyłącznie do konkretnej placówki medycznej. Wsparcie obejmowało inwestycje związane z budową, przebudową, modernizacją oraz wyposażeniem Centrum, którego celem jest wdrażanie nowego modelu opieki psychiatrycznej. </w:t>
      </w:r>
    </w:p>
    <w:p w14:paraId="64E88BC3" w14:textId="25B56037" w:rsidR="004D7DA4" w:rsidRDefault="00CD50DD" w:rsidP="00861519">
      <w:r>
        <w:t xml:space="preserve">Nabór z obszaru </w:t>
      </w:r>
      <w:r w:rsidRPr="00077CA0">
        <w:rPr>
          <w:b/>
          <w:bCs/>
        </w:rPr>
        <w:t>kultury</w:t>
      </w:r>
      <w:r>
        <w:t xml:space="preserve"> dotyczył </w:t>
      </w:r>
      <w:r w:rsidR="00A56673" w:rsidRPr="00A56673">
        <w:t>inwestycj</w:t>
      </w:r>
      <w:r w:rsidR="009938D9">
        <w:t>i</w:t>
      </w:r>
      <w:r w:rsidR="00A56673" w:rsidRPr="00A56673">
        <w:t xml:space="preserve"> w infrastrukturę instytucji kultury, w tym rozbudowę, przebudowę, remont istniejących obiektów, budowę nowych oraz adaptację już istniejących budynków do pełnienia funkcji kulturalnych. Wsparcie dotyczyło także wyposażenia oraz rozwoju i funkcjonowania instytucji kultury, z </w:t>
      </w:r>
      <w:r w:rsidR="00A56673" w:rsidRPr="00A56673">
        <w:lastRenderedPageBreak/>
        <w:t xml:space="preserve">wyłączeniem bieżących kosztów utrzymania. Ponadto możliwe było tworzenie nowych bibliotek lokalnych oraz rozwój już działających, przekształcanych w </w:t>
      </w:r>
      <w:proofErr w:type="spellStart"/>
      <w:r w:rsidR="00A56673" w:rsidRPr="00A56673">
        <w:t>mediateki</w:t>
      </w:r>
      <w:proofErr w:type="spellEnd"/>
      <w:r w:rsidR="00A56673" w:rsidRPr="00A56673">
        <w:t xml:space="preserve"> pełniące rolę centrów życia społecznego.</w:t>
      </w:r>
    </w:p>
    <w:p w14:paraId="5EC4898F" w14:textId="1BEB3470" w:rsidR="001E7CB7" w:rsidRPr="007B7B4C" w:rsidRDefault="00DB7853" w:rsidP="008E5D43">
      <w:r w:rsidRPr="00DB7853">
        <w:t xml:space="preserve">Nabór w obszarze </w:t>
      </w:r>
      <w:r>
        <w:rPr>
          <w:b/>
          <w:bCs/>
        </w:rPr>
        <w:t>o</w:t>
      </w:r>
      <w:r w:rsidRPr="00077CA0">
        <w:rPr>
          <w:b/>
          <w:bCs/>
        </w:rPr>
        <w:t>dpady i GOZ</w:t>
      </w:r>
      <w:r w:rsidRPr="00DB7853">
        <w:t xml:space="preserve"> dotyczył wsparcia inwestycji związanych z tworzeniem i rozwojem PSZOK. Finansowane mogły być systemy selektywnej zbiórki odpadów uwzględniające rozwiązania sprzyjające zapobieganiu powstawaniu odpadów lub ich ponownemu użyciu. Wsparcie kierowane było do projektów obsługujących maksymalnie 20 tys. mieszkańców lub o wartości kosztów kwalifikowanych nieprzekraczającej 2 mln zł. Uzupełniająco w ramach projektów mogły być realizowane działania edukacyjne i informacyjne w zakresie gospodarki o obiegu zamkniętym, jednak wyłącznie jako element towarzyszący inwestycjom w PSZOK.</w:t>
      </w:r>
    </w:p>
    <w:p w14:paraId="6DDF856C" w14:textId="6327354A" w:rsidR="00474DE9" w:rsidRPr="00474DE9" w:rsidRDefault="00474DE9" w:rsidP="008E5D43">
      <w:pPr>
        <w:rPr>
          <w:rFonts w:cstheme="minorHAnsi"/>
          <w:b/>
          <w:bCs/>
          <w:color w:val="640B68" w:themeColor="accent3" w:themeShade="BF"/>
        </w:rPr>
      </w:pPr>
      <w:r w:rsidRPr="00474DE9">
        <w:rPr>
          <w:rFonts w:cstheme="minorHAnsi"/>
          <w:b/>
          <w:bCs/>
          <w:color w:val="640B68" w:themeColor="accent3" w:themeShade="BF"/>
        </w:rPr>
        <w:t>Typy podmiotów</w:t>
      </w:r>
    </w:p>
    <w:p w14:paraId="552E247E" w14:textId="3C5A2D9A" w:rsidR="00F270FF" w:rsidRDefault="008E5D43" w:rsidP="008E5D43">
      <w:pPr>
        <w:rPr>
          <w:rFonts w:cstheme="minorHAnsi"/>
        </w:rPr>
      </w:pPr>
      <w:r w:rsidRPr="00C13BAC">
        <w:rPr>
          <w:rFonts w:cstheme="minorHAnsi"/>
        </w:rPr>
        <w:t xml:space="preserve">Wnioskodawcami w analizowanych naborach były </w:t>
      </w:r>
      <w:r w:rsidRPr="0038635F">
        <w:rPr>
          <w:rFonts w:cstheme="minorHAnsi"/>
          <w:b/>
        </w:rPr>
        <w:t>głównie jednostki samorządu terytorialnego</w:t>
      </w:r>
      <w:r w:rsidR="00BD1E75">
        <w:rPr>
          <w:rFonts w:cstheme="minorHAnsi"/>
          <w:b/>
        </w:rPr>
        <w:t xml:space="preserve"> – </w:t>
      </w:r>
      <w:r w:rsidR="00BD1E75" w:rsidRPr="00077CA0">
        <w:rPr>
          <w:rFonts w:cstheme="minorHAnsi"/>
          <w:bCs/>
        </w:rPr>
        <w:t>mogły wziąć udział</w:t>
      </w:r>
      <w:r w:rsidR="00BD1E75" w:rsidRPr="00BD1E75">
        <w:rPr>
          <w:rFonts w:cstheme="minorHAnsi"/>
          <w:bCs/>
        </w:rPr>
        <w:t xml:space="preserve"> </w:t>
      </w:r>
      <w:r w:rsidR="00BD1E75">
        <w:rPr>
          <w:rFonts w:cstheme="minorHAnsi"/>
        </w:rPr>
        <w:t>w</w:t>
      </w:r>
      <w:r w:rsidRPr="00C13BAC">
        <w:rPr>
          <w:rFonts w:cstheme="minorHAnsi"/>
        </w:rPr>
        <w:t xml:space="preserve"> niemal wszystkich analizowanych naborach </w:t>
      </w:r>
      <w:r w:rsidR="009F1C43">
        <w:rPr>
          <w:rFonts w:cstheme="minorHAnsi"/>
        </w:rPr>
        <w:t>konkurencyjnych</w:t>
      </w:r>
      <w:r w:rsidR="009F1C43" w:rsidRPr="00C13BAC">
        <w:rPr>
          <w:rFonts w:cstheme="minorHAnsi"/>
        </w:rPr>
        <w:t xml:space="preserve"> </w:t>
      </w:r>
      <w:r w:rsidRPr="00C13BAC">
        <w:rPr>
          <w:rFonts w:cstheme="minorHAnsi"/>
        </w:rPr>
        <w:t>(40 z 41)</w:t>
      </w:r>
      <w:r w:rsidR="00BD1E75">
        <w:rPr>
          <w:rFonts w:cstheme="minorHAnsi"/>
        </w:rPr>
        <w:t>.</w:t>
      </w:r>
      <w:r w:rsidRPr="00C13BAC">
        <w:rPr>
          <w:rFonts w:cstheme="minorHAnsi"/>
        </w:rPr>
        <w:t xml:space="preserve"> Nabory niekonkurencyjne były skierowane do Samorządu Województwa Kujawsko-Pomorskiego (5)</w:t>
      </w:r>
      <w:r w:rsidR="00A6373D">
        <w:rPr>
          <w:rFonts w:cstheme="minorHAnsi"/>
        </w:rPr>
        <w:t>,</w:t>
      </w:r>
      <w:r w:rsidRPr="00C13BAC">
        <w:rPr>
          <w:rFonts w:cstheme="minorHAnsi"/>
        </w:rPr>
        <w:t xml:space="preserve"> Wojewódzkiej Przychodni Zdrowia Psychicznego w Bydgoszczy (1)</w:t>
      </w:r>
      <w:r w:rsidR="00A6373D">
        <w:rPr>
          <w:rFonts w:cstheme="minorHAnsi"/>
        </w:rPr>
        <w:t xml:space="preserve"> oraz</w:t>
      </w:r>
      <w:r w:rsidR="00716BD3">
        <w:rPr>
          <w:rFonts w:cstheme="minorHAnsi"/>
        </w:rPr>
        <w:t xml:space="preserve"> WUP w Toruniu (1)</w:t>
      </w:r>
      <w:r w:rsidRPr="00C13BAC">
        <w:rPr>
          <w:rFonts w:cstheme="minorHAnsi"/>
        </w:rPr>
        <w:t xml:space="preserve">. </w:t>
      </w:r>
    </w:p>
    <w:p w14:paraId="2E5C866B" w14:textId="5E02341D" w:rsidR="008E5D43" w:rsidRPr="00C13BAC" w:rsidRDefault="001002F2" w:rsidP="008E5D43">
      <w:pPr>
        <w:rPr>
          <w:rFonts w:cstheme="minorHAnsi"/>
        </w:rPr>
      </w:pPr>
      <w:r>
        <w:rPr>
          <w:rFonts w:cstheme="minorHAnsi"/>
        </w:rPr>
        <w:t>Bardziej szczegółowa analiza wskazuje, że w</w:t>
      </w:r>
      <w:r w:rsidR="008E5D43" w:rsidRPr="00C13BAC">
        <w:rPr>
          <w:rFonts w:cstheme="minorHAnsi"/>
        </w:rPr>
        <w:t xml:space="preserve"> zależności od obszaru wsparcia wnioskodawcami mogły być </w:t>
      </w:r>
      <w:r w:rsidR="008118E0">
        <w:rPr>
          <w:rFonts w:cstheme="minorHAnsi"/>
        </w:rPr>
        <w:t>np.</w:t>
      </w:r>
      <w:r w:rsidR="000E39A5">
        <w:rPr>
          <w:rStyle w:val="Odwoanieprzypisudolnego"/>
          <w:rFonts w:cstheme="minorHAnsi"/>
        </w:rPr>
        <w:footnoteReference w:id="9"/>
      </w:r>
      <w:r w:rsidR="008E5D43" w:rsidRPr="00C13BAC">
        <w:rPr>
          <w:rFonts w:cstheme="minorHAnsi"/>
        </w:rPr>
        <w:t>:</w:t>
      </w:r>
    </w:p>
    <w:p w14:paraId="2E9D92E2" w14:textId="4226249D" w:rsidR="008E5D43" w:rsidRPr="00C13BAC" w:rsidRDefault="008E5D43" w:rsidP="00103D76">
      <w:pPr>
        <w:pStyle w:val="Akapitzlist"/>
        <w:numPr>
          <w:ilvl w:val="0"/>
          <w:numId w:val="23"/>
        </w:numPr>
        <w:spacing w:line="264" w:lineRule="auto"/>
        <w:rPr>
          <w:rFonts w:cstheme="minorHAnsi"/>
        </w:rPr>
      </w:pPr>
      <w:r w:rsidRPr="00C13BAC">
        <w:rPr>
          <w:rFonts w:cstheme="minorHAnsi"/>
          <w:b/>
        </w:rPr>
        <w:t>JST</w:t>
      </w:r>
      <w:r w:rsidRPr="00C13BAC">
        <w:rPr>
          <w:rFonts w:cstheme="minorHAnsi"/>
        </w:rPr>
        <w:t xml:space="preserve">: mogły </w:t>
      </w:r>
      <w:r w:rsidR="00A433AA">
        <w:rPr>
          <w:rFonts w:cstheme="minorHAnsi"/>
        </w:rPr>
        <w:t>one</w:t>
      </w:r>
      <w:r w:rsidRPr="00C13BAC">
        <w:rPr>
          <w:rFonts w:cstheme="minorHAnsi"/>
        </w:rPr>
        <w:t xml:space="preserve"> składać wnioski w ramach większości </w:t>
      </w:r>
      <w:r w:rsidR="0038635F">
        <w:rPr>
          <w:rFonts w:cstheme="minorHAnsi"/>
        </w:rPr>
        <w:t>naborów</w:t>
      </w:r>
      <w:r w:rsidR="00255E3E">
        <w:rPr>
          <w:rFonts w:cstheme="minorHAnsi"/>
        </w:rPr>
        <w:t xml:space="preserve">, </w:t>
      </w:r>
      <w:r w:rsidR="00740834">
        <w:rPr>
          <w:rFonts w:cstheme="minorHAnsi"/>
        </w:rPr>
        <w:t xml:space="preserve">tj. </w:t>
      </w:r>
      <w:r w:rsidR="00255E3E">
        <w:rPr>
          <w:rFonts w:cstheme="minorHAnsi"/>
        </w:rPr>
        <w:t>w niemal wszystkich obszarach</w:t>
      </w:r>
      <w:r w:rsidR="00740834">
        <w:rPr>
          <w:rFonts w:cstheme="minorHAnsi"/>
        </w:rPr>
        <w:t xml:space="preserve"> wsparcia</w:t>
      </w:r>
      <w:r w:rsidR="00F50E38">
        <w:rPr>
          <w:rFonts w:cstheme="minorHAnsi"/>
        </w:rPr>
        <w:t>;</w:t>
      </w:r>
    </w:p>
    <w:p w14:paraId="6E18C409" w14:textId="7D240FD4" w:rsidR="008E5D43" w:rsidRPr="00A4525B" w:rsidRDefault="008E5D43" w:rsidP="00103D76">
      <w:pPr>
        <w:pStyle w:val="Akapitzlist"/>
        <w:numPr>
          <w:ilvl w:val="0"/>
          <w:numId w:val="23"/>
        </w:numPr>
        <w:spacing w:line="264" w:lineRule="auto"/>
        <w:rPr>
          <w:rFonts w:cstheme="minorHAnsi"/>
        </w:rPr>
      </w:pPr>
      <w:r w:rsidRPr="00A4525B">
        <w:rPr>
          <w:rFonts w:cstheme="minorHAnsi"/>
          <w:b/>
        </w:rPr>
        <w:t>Podmioty świadczące usługi publiczne</w:t>
      </w:r>
      <w:r w:rsidRPr="00A4525B">
        <w:rPr>
          <w:rFonts w:cstheme="minorHAnsi"/>
        </w:rPr>
        <w:t xml:space="preserve"> </w:t>
      </w:r>
      <w:r w:rsidR="00AC3A31" w:rsidRPr="00A4525B">
        <w:rPr>
          <w:rFonts w:cstheme="minorHAnsi"/>
        </w:rPr>
        <w:t>(</w:t>
      </w:r>
      <w:r w:rsidRPr="00A4525B">
        <w:rPr>
          <w:rFonts w:cstheme="minorHAnsi"/>
        </w:rPr>
        <w:t>podmioty realizujące obowiązki własne JST</w:t>
      </w:r>
      <w:r w:rsidR="00AC3A31" w:rsidRPr="00A4525B">
        <w:rPr>
          <w:rFonts w:cstheme="minorHAnsi"/>
        </w:rPr>
        <w:t>), przedsi</w:t>
      </w:r>
      <w:r w:rsidR="00C22A55" w:rsidRPr="00077CA0">
        <w:rPr>
          <w:rFonts w:cstheme="minorHAnsi"/>
        </w:rPr>
        <w:t>ę</w:t>
      </w:r>
      <w:r w:rsidR="00AC3A31" w:rsidRPr="00A4525B">
        <w:rPr>
          <w:rFonts w:cstheme="minorHAnsi"/>
        </w:rPr>
        <w:t>biorstwa komun</w:t>
      </w:r>
      <w:r w:rsidR="00C22A55" w:rsidRPr="00077CA0">
        <w:rPr>
          <w:rFonts w:cstheme="minorHAnsi"/>
        </w:rPr>
        <w:t>a</w:t>
      </w:r>
      <w:r w:rsidR="00AC3A31" w:rsidRPr="00A4525B">
        <w:rPr>
          <w:rFonts w:cstheme="minorHAnsi"/>
        </w:rPr>
        <w:t>lne</w:t>
      </w:r>
      <w:r w:rsidRPr="00A4525B">
        <w:rPr>
          <w:rFonts w:cstheme="minorHAnsi"/>
        </w:rPr>
        <w:t xml:space="preserve"> </w:t>
      </w:r>
      <w:r w:rsidR="00185227">
        <w:rPr>
          <w:rFonts w:cstheme="minorHAnsi"/>
        </w:rPr>
        <w:t>mogły aplikować</w:t>
      </w:r>
      <w:r w:rsidRPr="00A4525B">
        <w:rPr>
          <w:rFonts w:cstheme="minorHAnsi"/>
        </w:rPr>
        <w:t xml:space="preserve"> np. w </w:t>
      </w:r>
      <w:r w:rsidR="00185227">
        <w:rPr>
          <w:rFonts w:cstheme="minorHAnsi"/>
        </w:rPr>
        <w:t>obszarach</w:t>
      </w:r>
      <w:r w:rsidR="001232DE">
        <w:rPr>
          <w:rFonts w:cstheme="minorHAnsi"/>
        </w:rPr>
        <w:t>:</w:t>
      </w:r>
      <w:r w:rsidRPr="00A4525B">
        <w:rPr>
          <w:rFonts w:cstheme="minorHAnsi"/>
        </w:rPr>
        <w:t xml:space="preserve"> gospodarki wodno-ściekowej</w:t>
      </w:r>
      <w:r w:rsidR="00881760" w:rsidRPr="00A4525B">
        <w:rPr>
          <w:rFonts w:cstheme="minorHAnsi"/>
        </w:rPr>
        <w:t xml:space="preserve">, </w:t>
      </w:r>
      <w:r w:rsidR="00EF3271" w:rsidRPr="00077CA0">
        <w:rPr>
          <w:rFonts w:cstheme="minorHAnsi"/>
        </w:rPr>
        <w:t>efektywności energetycznej, odpadów i GOZ, mobilności miejskiej</w:t>
      </w:r>
      <w:r w:rsidR="00C22A55" w:rsidRPr="00077CA0">
        <w:rPr>
          <w:rFonts w:cstheme="minorHAnsi"/>
        </w:rPr>
        <w:t>, turystyki, odnowy przestrzeni publicznych, kultury</w:t>
      </w:r>
      <w:r w:rsidR="00F50E38">
        <w:rPr>
          <w:rFonts w:cstheme="minorHAnsi"/>
        </w:rPr>
        <w:t>;</w:t>
      </w:r>
    </w:p>
    <w:p w14:paraId="4725889A" w14:textId="02823EA9" w:rsidR="008E5D43" w:rsidRPr="00B971D9" w:rsidRDefault="008E5D43" w:rsidP="00103D76">
      <w:pPr>
        <w:pStyle w:val="Akapitzlist"/>
        <w:numPr>
          <w:ilvl w:val="0"/>
          <w:numId w:val="23"/>
        </w:numPr>
        <w:spacing w:line="264" w:lineRule="auto"/>
        <w:rPr>
          <w:rFonts w:cstheme="minorHAnsi"/>
        </w:rPr>
      </w:pPr>
      <w:r w:rsidRPr="00B971D9">
        <w:rPr>
          <w:rFonts w:cstheme="minorHAnsi"/>
          <w:b/>
        </w:rPr>
        <w:t>Przedsiębiorstwa</w:t>
      </w:r>
      <w:r w:rsidR="00E800BA" w:rsidRPr="00E800BA">
        <w:rPr>
          <w:rFonts w:cstheme="minorHAnsi"/>
        </w:rPr>
        <w:t xml:space="preserve"> </w:t>
      </w:r>
      <w:r w:rsidR="00E800BA" w:rsidRPr="00C13BAC">
        <w:rPr>
          <w:rFonts w:cstheme="minorHAnsi"/>
        </w:rPr>
        <w:t>mogły</w:t>
      </w:r>
      <w:r w:rsidR="00E800BA">
        <w:rPr>
          <w:rFonts w:cstheme="minorHAnsi"/>
        </w:rPr>
        <w:t xml:space="preserve"> </w:t>
      </w:r>
      <w:r w:rsidR="00E800BA" w:rsidRPr="00C13BAC">
        <w:rPr>
          <w:rFonts w:cstheme="minorHAnsi"/>
        </w:rPr>
        <w:t>składać wnioski</w:t>
      </w:r>
      <w:r w:rsidRPr="00B971D9">
        <w:rPr>
          <w:rFonts w:cstheme="minorHAnsi"/>
        </w:rPr>
        <w:t xml:space="preserve"> </w:t>
      </w:r>
      <w:r w:rsidR="00E10AFC">
        <w:rPr>
          <w:rFonts w:cstheme="minorHAnsi"/>
        </w:rPr>
        <w:t xml:space="preserve">np. </w:t>
      </w:r>
      <w:r w:rsidRPr="00B971D9">
        <w:rPr>
          <w:rFonts w:cstheme="minorHAnsi"/>
        </w:rPr>
        <w:t xml:space="preserve">w </w:t>
      </w:r>
      <w:r w:rsidR="00185227">
        <w:rPr>
          <w:rFonts w:cstheme="minorHAnsi"/>
        </w:rPr>
        <w:t>obszarach</w:t>
      </w:r>
      <w:r w:rsidRPr="00B971D9">
        <w:rPr>
          <w:rFonts w:cstheme="minorHAnsi"/>
        </w:rPr>
        <w:t xml:space="preserve"> </w:t>
      </w:r>
      <w:r w:rsidR="00AE00EB">
        <w:rPr>
          <w:rFonts w:cstheme="minorHAnsi"/>
        </w:rPr>
        <w:t>dot.</w:t>
      </w:r>
      <w:r w:rsidRPr="00B971D9">
        <w:rPr>
          <w:rFonts w:cstheme="minorHAnsi"/>
        </w:rPr>
        <w:t xml:space="preserve"> </w:t>
      </w:r>
      <w:r w:rsidR="005D1B7C" w:rsidRPr="00077CA0">
        <w:rPr>
          <w:rFonts w:cstheme="minorHAnsi"/>
        </w:rPr>
        <w:t>transportu multimodalnego</w:t>
      </w:r>
      <w:r w:rsidR="0071695C" w:rsidRPr="00077CA0">
        <w:rPr>
          <w:rFonts w:cstheme="minorHAnsi"/>
        </w:rPr>
        <w:t>, mobilności miejskiej</w:t>
      </w:r>
      <w:r w:rsidRPr="00B971D9">
        <w:rPr>
          <w:rFonts w:cstheme="minorHAnsi"/>
        </w:rPr>
        <w:t xml:space="preserve">, </w:t>
      </w:r>
      <w:r w:rsidR="00414B02" w:rsidRPr="00077CA0">
        <w:rPr>
          <w:rFonts w:cstheme="minorHAnsi"/>
        </w:rPr>
        <w:t>infrastruktury edukacyjnej</w:t>
      </w:r>
      <w:r w:rsidR="00185227">
        <w:rPr>
          <w:rFonts w:cstheme="minorHAnsi"/>
        </w:rPr>
        <w:t xml:space="preserve">, </w:t>
      </w:r>
      <w:r w:rsidR="00414B02" w:rsidRPr="00077CA0">
        <w:rPr>
          <w:rFonts w:cstheme="minorHAnsi"/>
        </w:rPr>
        <w:t>adaptacji do zmian klimatu</w:t>
      </w:r>
      <w:r w:rsidR="00B971D9" w:rsidRPr="00077CA0">
        <w:rPr>
          <w:rFonts w:cstheme="minorHAnsi"/>
        </w:rPr>
        <w:t xml:space="preserve"> w miastach</w:t>
      </w:r>
      <w:r w:rsidR="007C255A">
        <w:rPr>
          <w:rFonts w:cstheme="minorHAnsi"/>
        </w:rPr>
        <w:t>, efektywności energetycznej</w:t>
      </w:r>
      <w:r w:rsidR="003728FA">
        <w:rPr>
          <w:rFonts w:cstheme="minorHAnsi"/>
        </w:rPr>
        <w:t>, turystyk</w:t>
      </w:r>
      <w:r w:rsidR="00AE00EB">
        <w:rPr>
          <w:rFonts w:cstheme="minorHAnsi"/>
        </w:rPr>
        <w:t>i</w:t>
      </w:r>
      <w:r w:rsidR="003728FA">
        <w:rPr>
          <w:rFonts w:cstheme="minorHAnsi"/>
        </w:rPr>
        <w:t>, kultur</w:t>
      </w:r>
      <w:r w:rsidR="00AE00EB">
        <w:rPr>
          <w:rFonts w:cstheme="minorHAnsi"/>
        </w:rPr>
        <w:t>y</w:t>
      </w:r>
      <w:r w:rsidR="003728FA">
        <w:rPr>
          <w:rFonts w:cstheme="minorHAnsi"/>
        </w:rPr>
        <w:t>, odnow</w:t>
      </w:r>
      <w:r w:rsidR="00AE00EB">
        <w:rPr>
          <w:rFonts w:cstheme="minorHAnsi"/>
        </w:rPr>
        <w:t>y</w:t>
      </w:r>
      <w:r w:rsidR="003728FA">
        <w:rPr>
          <w:rFonts w:cstheme="minorHAnsi"/>
        </w:rPr>
        <w:t xml:space="preserve"> przestrzeni publicznych</w:t>
      </w:r>
      <w:r w:rsidR="00F50E38">
        <w:rPr>
          <w:rFonts w:cstheme="minorHAnsi"/>
        </w:rPr>
        <w:t>;</w:t>
      </w:r>
    </w:p>
    <w:p w14:paraId="05F65530" w14:textId="7A3ECAED" w:rsidR="008E5D43" w:rsidRPr="006A01AF" w:rsidRDefault="008E5D43" w:rsidP="00103D76">
      <w:pPr>
        <w:pStyle w:val="Akapitzlist"/>
        <w:numPr>
          <w:ilvl w:val="0"/>
          <w:numId w:val="23"/>
        </w:numPr>
        <w:spacing w:line="264" w:lineRule="auto"/>
        <w:rPr>
          <w:rFonts w:cstheme="minorHAnsi"/>
        </w:rPr>
      </w:pPr>
      <w:r w:rsidRPr="00EF0218">
        <w:rPr>
          <w:rFonts w:cstheme="minorHAnsi"/>
          <w:b/>
        </w:rPr>
        <w:t>Organizacje pozarządowe</w:t>
      </w:r>
      <w:r w:rsidRPr="006A01AF">
        <w:rPr>
          <w:rFonts w:cstheme="minorHAnsi"/>
        </w:rPr>
        <w:t xml:space="preserve"> </w:t>
      </w:r>
      <w:r w:rsidR="001232DE">
        <w:rPr>
          <w:rFonts w:cstheme="minorHAnsi"/>
        </w:rPr>
        <w:t xml:space="preserve">mogły ubiegać się o wsparcie </w:t>
      </w:r>
      <w:r w:rsidR="00B14806" w:rsidRPr="006A01AF">
        <w:rPr>
          <w:rFonts w:cstheme="minorHAnsi"/>
        </w:rPr>
        <w:t xml:space="preserve">np. </w:t>
      </w:r>
      <w:r w:rsidRPr="006A01AF">
        <w:rPr>
          <w:rFonts w:cstheme="minorHAnsi"/>
        </w:rPr>
        <w:t>w obszarach takich jak</w:t>
      </w:r>
      <w:r w:rsidR="001232DE">
        <w:rPr>
          <w:rFonts w:cstheme="minorHAnsi"/>
        </w:rPr>
        <w:t>:</w:t>
      </w:r>
      <w:r w:rsidRPr="006A01AF">
        <w:rPr>
          <w:rFonts w:cstheme="minorHAnsi"/>
        </w:rPr>
        <w:t xml:space="preserve"> </w:t>
      </w:r>
      <w:r w:rsidR="003E0406" w:rsidRPr="00077CA0">
        <w:rPr>
          <w:rFonts w:cstheme="minorHAnsi"/>
        </w:rPr>
        <w:t xml:space="preserve">infrastruktura </w:t>
      </w:r>
      <w:r w:rsidRPr="006A01AF">
        <w:rPr>
          <w:rFonts w:cstheme="minorHAnsi"/>
        </w:rPr>
        <w:t>edukac</w:t>
      </w:r>
      <w:r w:rsidR="003E0406" w:rsidRPr="00077CA0">
        <w:rPr>
          <w:rFonts w:cstheme="minorHAnsi"/>
        </w:rPr>
        <w:t>yjna</w:t>
      </w:r>
      <w:r w:rsidRPr="006A01AF">
        <w:rPr>
          <w:rFonts w:cstheme="minorHAnsi"/>
        </w:rPr>
        <w:t>, kultura, turystyka</w:t>
      </w:r>
      <w:r w:rsidR="00A776D0" w:rsidRPr="00077CA0">
        <w:rPr>
          <w:rFonts w:cstheme="minorHAnsi"/>
        </w:rPr>
        <w:t>, odnowa przestrzeni publicznych, adaptacja do zmian klimatu</w:t>
      </w:r>
      <w:r w:rsidR="00B5047D" w:rsidRPr="00077CA0">
        <w:rPr>
          <w:rFonts w:cstheme="minorHAnsi"/>
        </w:rPr>
        <w:t xml:space="preserve"> w miastach</w:t>
      </w:r>
      <w:r w:rsidR="001A3CC0" w:rsidRPr="00077CA0">
        <w:rPr>
          <w:rFonts w:cstheme="minorHAnsi"/>
        </w:rPr>
        <w:t>, efektywność energetyczna</w:t>
      </w:r>
      <w:r w:rsidR="00E21E14">
        <w:rPr>
          <w:rFonts w:cstheme="minorHAnsi"/>
        </w:rPr>
        <w:t>,</w:t>
      </w:r>
      <w:r w:rsidRPr="006A01AF">
        <w:rPr>
          <w:rFonts w:cstheme="minorHAnsi"/>
        </w:rPr>
        <w:t xml:space="preserve"> infrastruktura społeczna</w:t>
      </w:r>
      <w:r w:rsidR="00B14806" w:rsidRPr="006A01AF">
        <w:rPr>
          <w:rFonts w:cstheme="minorHAnsi"/>
        </w:rPr>
        <w:t xml:space="preserve">, </w:t>
      </w:r>
      <w:r w:rsidR="00726604">
        <w:rPr>
          <w:rFonts w:cstheme="minorHAnsi"/>
        </w:rPr>
        <w:t>czy np.</w:t>
      </w:r>
      <w:r w:rsidR="00B14806" w:rsidRPr="006A01AF">
        <w:rPr>
          <w:rFonts w:cstheme="minorHAnsi"/>
        </w:rPr>
        <w:t xml:space="preserve"> w obszarze </w:t>
      </w:r>
      <w:r w:rsidR="004F2968" w:rsidRPr="00077CA0">
        <w:rPr>
          <w:rFonts w:cstheme="minorHAnsi"/>
        </w:rPr>
        <w:t>mobilności miejskiej</w:t>
      </w:r>
      <w:r w:rsidR="00B14806" w:rsidRPr="006A01AF">
        <w:rPr>
          <w:rFonts w:cstheme="minorHAnsi"/>
        </w:rPr>
        <w:t xml:space="preserve"> </w:t>
      </w:r>
      <w:r w:rsidR="004F5D30" w:rsidRPr="006A01AF">
        <w:rPr>
          <w:rFonts w:cstheme="minorHAnsi"/>
        </w:rPr>
        <w:t>jeśli występowały jako partner</w:t>
      </w:r>
      <w:r w:rsidR="00F50E38">
        <w:rPr>
          <w:rFonts w:cstheme="minorHAnsi"/>
        </w:rPr>
        <w:t>;</w:t>
      </w:r>
    </w:p>
    <w:p w14:paraId="1079DA53" w14:textId="0B70B531" w:rsidR="00D247A8" w:rsidRDefault="008E5D43" w:rsidP="00103D76">
      <w:pPr>
        <w:pStyle w:val="Akapitzlist"/>
        <w:numPr>
          <w:ilvl w:val="0"/>
          <w:numId w:val="23"/>
        </w:numPr>
        <w:spacing w:line="264" w:lineRule="auto"/>
        <w:rPr>
          <w:rFonts w:cstheme="minorHAnsi"/>
        </w:rPr>
      </w:pPr>
      <w:r w:rsidRPr="00CE6683">
        <w:rPr>
          <w:rFonts w:cstheme="minorHAnsi"/>
          <w:b/>
        </w:rPr>
        <w:t>Spółdzielnie mieszkaniowe i wspólnoty</w:t>
      </w:r>
      <w:r w:rsidR="005908BA">
        <w:rPr>
          <w:rFonts w:cstheme="minorHAnsi"/>
          <w:b/>
        </w:rPr>
        <w:t>, TBS</w:t>
      </w:r>
      <w:r w:rsidRPr="00CE6683">
        <w:rPr>
          <w:rFonts w:cstheme="minorHAnsi"/>
        </w:rPr>
        <w:t xml:space="preserve"> </w:t>
      </w:r>
      <w:r w:rsidR="001232DE">
        <w:rPr>
          <w:rFonts w:cstheme="minorHAnsi"/>
        </w:rPr>
        <w:t>mogły aplikować</w:t>
      </w:r>
      <w:r w:rsidRPr="00CE6683">
        <w:rPr>
          <w:rFonts w:cstheme="minorHAnsi"/>
        </w:rPr>
        <w:t xml:space="preserve"> </w:t>
      </w:r>
      <w:r w:rsidR="00E94C37" w:rsidRPr="00CE6683">
        <w:rPr>
          <w:rFonts w:cstheme="minorHAnsi"/>
        </w:rPr>
        <w:t xml:space="preserve">np. </w:t>
      </w:r>
      <w:r w:rsidRPr="00CE6683">
        <w:rPr>
          <w:rFonts w:cstheme="minorHAnsi"/>
        </w:rPr>
        <w:t xml:space="preserve">w </w:t>
      </w:r>
      <w:r w:rsidR="001232DE">
        <w:rPr>
          <w:rFonts w:cstheme="minorHAnsi"/>
        </w:rPr>
        <w:t>obszarach</w:t>
      </w:r>
      <w:r w:rsidRPr="00CE6683">
        <w:rPr>
          <w:rFonts w:cstheme="minorHAnsi"/>
        </w:rPr>
        <w:t xml:space="preserve"> dotyczących </w:t>
      </w:r>
      <w:r w:rsidR="00B840F7">
        <w:rPr>
          <w:rFonts w:cstheme="minorHAnsi"/>
        </w:rPr>
        <w:t>efektywności energetycznej</w:t>
      </w:r>
      <w:r w:rsidR="007D4E68" w:rsidRPr="00077CA0">
        <w:rPr>
          <w:rFonts w:cstheme="minorHAnsi"/>
        </w:rPr>
        <w:t>, kultury, odnowy przestrzeni publicznych</w:t>
      </w:r>
      <w:r w:rsidR="005975D3">
        <w:rPr>
          <w:rFonts w:cstheme="minorHAnsi"/>
        </w:rPr>
        <w:t>, turysty</w:t>
      </w:r>
      <w:r w:rsidR="001232DE">
        <w:rPr>
          <w:rFonts w:cstheme="minorHAnsi"/>
        </w:rPr>
        <w:t>ki</w:t>
      </w:r>
      <w:r w:rsidR="001F6644">
        <w:rPr>
          <w:rFonts w:cstheme="minorHAnsi"/>
        </w:rPr>
        <w:t>, adaptacji do zmian klimatu</w:t>
      </w:r>
      <w:r w:rsidR="00B268C7">
        <w:rPr>
          <w:rFonts w:cstheme="minorHAnsi"/>
        </w:rPr>
        <w:t xml:space="preserve"> w miastach</w:t>
      </w:r>
      <w:r w:rsidR="00F50E38">
        <w:rPr>
          <w:rFonts w:cstheme="minorHAnsi"/>
        </w:rPr>
        <w:t>;</w:t>
      </w:r>
    </w:p>
    <w:p w14:paraId="20D59091" w14:textId="582EB3E7" w:rsidR="00F40E5F" w:rsidRDefault="00301A0C" w:rsidP="00301A0C">
      <w:pPr>
        <w:pStyle w:val="Akapitzlist"/>
        <w:numPr>
          <w:ilvl w:val="0"/>
          <w:numId w:val="23"/>
        </w:numPr>
        <w:spacing w:line="264" w:lineRule="auto"/>
        <w:rPr>
          <w:rFonts w:cstheme="minorHAnsi"/>
        </w:rPr>
      </w:pPr>
      <w:r>
        <w:rPr>
          <w:rFonts w:cstheme="minorHAnsi"/>
          <w:b/>
          <w:bCs/>
        </w:rPr>
        <w:lastRenderedPageBreak/>
        <w:t>K</w:t>
      </w:r>
      <w:r w:rsidRPr="00A66BD7">
        <w:rPr>
          <w:rFonts w:cstheme="minorHAnsi"/>
          <w:b/>
          <w:bCs/>
        </w:rPr>
        <w:t>ościoły i związki wyznaniowe</w:t>
      </w:r>
      <w:r>
        <w:rPr>
          <w:rFonts w:cstheme="minorHAnsi"/>
          <w:b/>
          <w:bCs/>
        </w:rPr>
        <w:t>, k</w:t>
      </w:r>
      <w:r w:rsidRPr="00A66BD7">
        <w:rPr>
          <w:rFonts w:cstheme="minorHAnsi"/>
          <w:b/>
          <w:bCs/>
        </w:rPr>
        <w:t>ościelne osoby prawne</w:t>
      </w:r>
      <w:r w:rsidR="00E76C92" w:rsidRPr="00E76C92">
        <w:rPr>
          <w:rFonts w:cstheme="minorHAnsi"/>
        </w:rPr>
        <w:t xml:space="preserve"> </w:t>
      </w:r>
      <w:r w:rsidR="00E76C92">
        <w:rPr>
          <w:rFonts w:cstheme="minorHAnsi"/>
        </w:rPr>
        <w:t>mogły być wnioskodawc</w:t>
      </w:r>
      <w:r w:rsidR="005F49E4">
        <w:rPr>
          <w:rFonts w:cstheme="minorHAnsi"/>
        </w:rPr>
        <w:t>ami</w:t>
      </w:r>
      <w:r w:rsidR="00E76C92">
        <w:rPr>
          <w:rFonts w:cstheme="minorHAnsi"/>
        </w:rPr>
        <w:t xml:space="preserve"> </w:t>
      </w:r>
      <w:r w:rsidR="00E76C92" w:rsidRPr="00F50E38">
        <w:rPr>
          <w:rFonts w:cstheme="minorHAnsi"/>
        </w:rPr>
        <w:t>np.</w:t>
      </w:r>
      <w:r w:rsidR="00E76C92">
        <w:rPr>
          <w:rFonts w:cstheme="minorHAnsi"/>
        </w:rPr>
        <w:t xml:space="preserve"> w takich obszarach jak:</w:t>
      </w:r>
      <w:r>
        <w:rPr>
          <w:rFonts w:cstheme="minorHAnsi"/>
        </w:rPr>
        <w:t xml:space="preserve"> efektywność energetyczna, adaptacja do zmian klimatu, turystyka, odnowa przestrzeni publicznych, kultura</w:t>
      </w:r>
      <w:r w:rsidR="00F40E5F">
        <w:rPr>
          <w:rFonts w:cstheme="minorHAnsi"/>
        </w:rPr>
        <w:t>, infrastruktura społeczna</w:t>
      </w:r>
      <w:r>
        <w:rPr>
          <w:rFonts w:cstheme="minorHAnsi"/>
        </w:rPr>
        <w:t>;</w:t>
      </w:r>
    </w:p>
    <w:p w14:paraId="45CBEC7B" w14:textId="67F6D13F" w:rsidR="000319CC" w:rsidRDefault="00870827" w:rsidP="00301A0C">
      <w:pPr>
        <w:pStyle w:val="Akapitzlist"/>
        <w:numPr>
          <w:ilvl w:val="0"/>
          <w:numId w:val="23"/>
        </w:numPr>
        <w:spacing w:line="264" w:lineRule="auto"/>
        <w:rPr>
          <w:rFonts w:cstheme="minorHAnsi"/>
        </w:rPr>
      </w:pPr>
      <w:r>
        <w:rPr>
          <w:rFonts w:cstheme="minorHAnsi"/>
          <w:b/>
          <w:bCs/>
        </w:rPr>
        <w:t>Podmioty ekonomii społecznej</w:t>
      </w:r>
      <w:r w:rsidRPr="00870827">
        <w:rPr>
          <w:rFonts w:cstheme="minorHAnsi"/>
        </w:rPr>
        <w:t xml:space="preserve"> </w:t>
      </w:r>
      <w:r>
        <w:rPr>
          <w:rFonts w:cstheme="minorHAnsi"/>
        </w:rPr>
        <w:t>mogły być wnioskodawc</w:t>
      </w:r>
      <w:r w:rsidR="005F49E4">
        <w:rPr>
          <w:rFonts w:cstheme="minorHAnsi"/>
        </w:rPr>
        <w:t>ami</w:t>
      </w:r>
      <w:r>
        <w:rPr>
          <w:rFonts w:cstheme="minorHAnsi"/>
        </w:rPr>
        <w:t xml:space="preserve"> </w:t>
      </w:r>
      <w:r w:rsidRPr="00F50E38">
        <w:rPr>
          <w:rFonts w:cstheme="minorHAnsi"/>
        </w:rPr>
        <w:t>np.</w:t>
      </w:r>
      <w:r>
        <w:rPr>
          <w:rFonts w:cstheme="minorHAnsi"/>
        </w:rPr>
        <w:t xml:space="preserve"> w takich obszarach jak: turystyka, odnowa przestrzeni publicznych, kultura, </w:t>
      </w:r>
      <w:r w:rsidRPr="00A66BD7">
        <w:rPr>
          <w:rFonts w:cstheme="minorHAnsi"/>
        </w:rPr>
        <w:t>infrastruktura społeczna, włączenie społeczne</w:t>
      </w:r>
      <w:r>
        <w:rPr>
          <w:rFonts w:cstheme="minorHAnsi"/>
        </w:rPr>
        <w:t>;</w:t>
      </w:r>
    </w:p>
    <w:p w14:paraId="134E2592" w14:textId="4E0A8E08" w:rsidR="000319CC" w:rsidRDefault="000319CC" w:rsidP="00301A0C">
      <w:pPr>
        <w:pStyle w:val="Akapitzlist"/>
        <w:numPr>
          <w:ilvl w:val="0"/>
          <w:numId w:val="23"/>
        </w:numPr>
        <w:spacing w:line="264" w:lineRule="auto"/>
        <w:rPr>
          <w:rFonts w:cstheme="minorHAnsi"/>
        </w:rPr>
      </w:pPr>
      <w:r w:rsidRPr="00A66BD7">
        <w:rPr>
          <w:rFonts w:cstheme="minorHAnsi"/>
          <w:b/>
          <w:bCs/>
        </w:rPr>
        <w:t>Instytucje kultury, w tym niepubliczne</w:t>
      </w:r>
      <w:r>
        <w:rPr>
          <w:rFonts w:cstheme="minorHAnsi"/>
        </w:rPr>
        <w:t xml:space="preserve"> mogły być wnioskodawc</w:t>
      </w:r>
      <w:r w:rsidR="005F49E4">
        <w:rPr>
          <w:rFonts w:cstheme="minorHAnsi"/>
        </w:rPr>
        <w:t>ami</w:t>
      </w:r>
      <w:r>
        <w:rPr>
          <w:rFonts w:cstheme="minorHAnsi"/>
        </w:rPr>
        <w:t xml:space="preserve"> </w:t>
      </w:r>
      <w:r w:rsidRPr="00F50E38">
        <w:rPr>
          <w:rFonts w:cstheme="minorHAnsi"/>
        </w:rPr>
        <w:t>np.</w:t>
      </w:r>
      <w:r>
        <w:rPr>
          <w:rFonts w:cstheme="minorHAnsi"/>
        </w:rPr>
        <w:t xml:space="preserve"> w takich obszarach jak: turystyka, odnowa przestrzeni publicznych, kultura;</w:t>
      </w:r>
    </w:p>
    <w:p w14:paraId="562ED2BA" w14:textId="2978DD7B" w:rsidR="008E5D43" w:rsidRPr="00902DDB" w:rsidRDefault="003C3453" w:rsidP="00103D76">
      <w:pPr>
        <w:pStyle w:val="Akapitzlist"/>
        <w:numPr>
          <w:ilvl w:val="0"/>
          <w:numId w:val="23"/>
        </w:numPr>
        <w:spacing w:line="264" w:lineRule="auto"/>
        <w:rPr>
          <w:rFonts w:cstheme="minorHAnsi"/>
        </w:rPr>
      </w:pPr>
      <w:r>
        <w:rPr>
          <w:rFonts w:cstheme="minorHAnsi"/>
          <w:b/>
          <w:bCs/>
        </w:rPr>
        <w:t>O</w:t>
      </w:r>
      <w:r w:rsidRPr="00A66BD7">
        <w:rPr>
          <w:rFonts w:cstheme="minorHAnsi"/>
          <w:b/>
          <w:bCs/>
        </w:rPr>
        <w:t>rganizatorzy i operatorzy publicznego transportu zbiorowego</w:t>
      </w:r>
      <w:r w:rsidRPr="003C3453">
        <w:rPr>
          <w:rFonts w:cstheme="minorHAnsi"/>
        </w:rPr>
        <w:t xml:space="preserve"> </w:t>
      </w:r>
      <w:r>
        <w:rPr>
          <w:rFonts w:cstheme="minorHAnsi"/>
        </w:rPr>
        <w:t xml:space="preserve">mogły aplikować np. </w:t>
      </w:r>
      <w:r w:rsidRPr="00C13BAC">
        <w:rPr>
          <w:rFonts w:cstheme="minorHAnsi"/>
        </w:rPr>
        <w:t xml:space="preserve">w </w:t>
      </w:r>
      <w:r>
        <w:rPr>
          <w:rFonts w:cstheme="minorHAnsi"/>
        </w:rPr>
        <w:t>obszarze transportu multimodalnego</w:t>
      </w:r>
      <w:r w:rsidR="000E39A5">
        <w:rPr>
          <w:rFonts w:cstheme="minorHAnsi"/>
        </w:rPr>
        <w:t xml:space="preserve">, a </w:t>
      </w:r>
      <w:r w:rsidR="000E39A5">
        <w:rPr>
          <w:rFonts w:cstheme="minorHAnsi"/>
          <w:b/>
          <w:bCs/>
        </w:rPr>
        <w:t>z</w:t>
      </w:r>
      <w:r w:rsidR="000E39A5" w:rsidRPr="00A66BD7">
        <w:rPr>
          <w:rFonts w:cstheme="minorHAnsi"/>
          <w:b/>
          <w:bCs/>
        </w:rPr>
        <w:t>arządcy infrastruktury transportowej służącej organizacji transportu zbiorowego publicznego</w:t>
      </w:r>
      <w:r w:rsidR="000E39A5" w:rsidRPr="000E39A5">
        <w:rPr>
          <w:rFonts w:cstheme="minorHAnsi"/>
        </w:rPr>
        <w:t xml:space="preserve"> </w:t>
      </w:r>
      <w:r w:rsidR="000E39A5">
        <w:rPr>
          <w:rFonts w:cstheme="minorHAnsi"/>
        </w:rPr>
        <w:t>mogli aplikować np. w obszarze mobilności miejskiej.</w:t>
      </w:r>
    </w:p>
    <w:p w14:paraId="02718B1A" w14:textId="7FE260D7" w:rsidR="00A00162" w:rsidRPr="00A04504" w:rsidRDefault="00A04504" w:rsidP="00680D13">
      <w:pPr>
        <w:rPr>
          <w:b/>
          <w:bCs/>
          <w:color w:val="870F8C" w:themeColor="accent3"/>
        </w:rPr>
      </w:pPr>
      <w:r w:rsidRPr="00A04504">
        <w:rPr>
          <w:b/>
          <w:bCs/>
          <w:color w:val="870F8C" w:themeColor="accent3"/>
        </w:rPr>
        <w:t>Warunki finansowe</w:t>
      </w:r>
    </w:p>
    <w:p w14:paraId="35D36302" w14:textId="5310B9D9" w:rsidR="00E06199" w:rsidRDefault="00E06199" w:rsidP="00680D13">
      <w:r w:rsidRPr="00A00162">
        <w:t xml:space="preserve">Maksymalny dopuszczalny poziom dofinansowania projektu </w:t>
      </w:r>
      <w:r>
        <w:t>był różny i zależał od Funduszu, Działania oraz konkretnego naboru. P</w:t>
      </w:r>
      <w:r w:rsidRPr="00A00162">
        <w:t xml:space="preserve">rzyjmował </w:t>
      </w:r>
      <w:r>
        <w:t xml:space="preserve">on </w:t>
      </w:r>
      <w:r w:rsidRPr="00A00162">
        <w:t>wartości: 85% (3</w:t>
      </w:r>
      <w:r w:rsidR="00585DC0">
        <w:t>1</w:t>
      </w:r>
      <w:r w:rsidRPr="00A00162">
        <w:t xml:space="preserve"> przypadki), 95% (11), 90% (</w:t>
      </w:r>
      <w:r w:rsidR="0044106E">
        <w:t>3</w:t>
      </w:r>
      <w:r w:rsidRPr="00A00162">
        <w:t>), 65% (1) i 50% (1).</w:t>
      </w:r>
      <w:r>
        <w:t xml:space="preserve"> </w:t>
      </w:r>
    </w:p>
    <w:p w14:paraId="5CB5CCEE" w14:textId="173A652F" w:rsidR="008960FC" w:rsidRDefault="008960FC" w:rsidP="00680D13">
      <w:r>
        <w:t>I</w:t>
      </w:r>
      <w:r w:rsidRPr="008960FC">
        <w:t>nformacje dotyczące maksymalnych poziomów dofinansowania w województwie kujawsko-pomorskim, w tym ze środków budżetu państwa w ramach EFS+,</w:t>
      </w:r>
      <w:r>
        <w:t xml:space="preserve"> zawiera </w:t>
      </w:r>
      <w:r w:rsidR="00BE025D" w:rsidRPr="00BE025D">
        <w:t>"Regulamin Wyboru Projektów EFS+ obowiązujący od 3 marca 2025 r."</w:t>
      </w:r>
      <w:r w:rsidR="008511FC">
        <w:rPr>
          <w:rStyle w:val="Odwoanieprzypisudolnego"/>
        </w:rPr>
        <w:footnoteReference w:id="10"/>
      </w:r>
      <w:r w:rsidR="00BE025D" w:rsidRPr="00BE025D">
        <w:t xml:space="preserve"> przygotowany przez Urząd Marszałkowski Województwa Kujawsko-Pomorskiego.</w:t>
      </w:r>
      <w:r w:rsidR="00BE025D">
        <w:t xml:space="preserve"> Zawiera on m.in. zapisy wskazujące</w:t>
      </w:r>
      <w:r w:rsidR="00BD6117">
        <w:t xml:space="preserve"> na maksymalny udział środków EFS+ w projekcie (85% wydatków kwalifikowalnych), maksymalny </w:t>
      </w:r>
      <w:r w:rsidR="00110E54" w:rsidRPr="00110E54">
        <w:t>poziom wkładu ze środków budżetu państwa</w:t>
      </w:r>
      <w:r w:rsidR="00110E54">
        <w:t xml:space="preserve"> (10% </w:t>
      </w:r>
      <w:r w:rsidR="00110E54" w:rsidRPr="00110E54">
        <w:t>wydatków kwalifikowalnych projektu</w:t>
      </w:r>
      <w:r w:rsidR="00110E54">
        <w:t>), wysokości wkładu własnego beneficjenta (minimum 5%)</w:t>
      </w:r>
      <w:r w:rsidR="007046AA">
        <w:t xml:space="preserve">. </w:t>
      </w:r>
      <w:r w:rsidR="007046AA" w:rsidRPr="0012382F">
        <w:t xml:space="preserve">Regulamin określa </w:t>
      </w:r>
      <w:r w:rsidR="00BA5026" w:rsidRPr="00077CA0">
        <w:t>również</w:t>
      </w:r>
      <w:r w:rsidR="007046AA" w:rsidRPr="0012382F">
        <w:t xml:space="preserve"> maksymalny poziom dofinansowania </w:t>
      </w:r>
      <w:r w:rsidR="00BA5026" w:rsidRPr="00077CA0">
        <w:t>kosztów</w:t>
      </w:r>
      <w:r w:rsidR="007046AA" w:rsidRPr="0012382F">
        <w:t xml:space="preserve"> kwalifikowalnych </w:t>
      </w:r>
      <w:r w:rsidR="00BA5026" w:rsidRPr="00077CA0">
        <w:t xml:space="preserve">projektu (ze środków </w:t>
      </w:r>
      <w:r w:rsidR="007046AA" w:rsidRPr="0012382F">
        <w:t xml:space="preserve">EFS+ </w:t>
      </w:r>
      <w:r w:rsidR="00BA5026" w:rsidRPr="00077CA0">
        <w:t>oraz budżetu</w:t>
      </w:r>
      <w:r w:rsidR="007046AA" w:rsidRPr="0012382F">
        <w:t xml:space="preserve"> państwa), który może </w:t>
      </w:r>
      <w:r w:rsidR="00BA5026" w:rsidRPr="00077CA0">
        <w:t>wynieść</w:t>
      </w:r>
      <w:r w:rsidR="007046AA" w:rsidRPr="0012382F">
        <w:t xml:space="preserve"> do 95%.</w:t>
      </w:r>
    </w:p>
    <w:p w14:paraId="2B349062" w14:textId="361A4F5E" w:rsidR="00BE025D" w:rsidRDefault="00EF7F38" w:rsidP="00680D13">
      <w:r w:rsidRPr="00EF7F38">
        <w:t>W Kontrakcie programowym</w:t>
      </w:r>
      <w:r w:rsidR="0075393A">
        <w:rPr>
          <w:rStyle w:val="Odwoanieprzypisudolnego"/>
        </w:rPr>
        <w:footnoteReference w:id="11"/>
      </w:r>
      <w:r w:rsidRPr="00EF7F38">
        <w:t xml:space="preserve"> wskazano, że województwo kujawsko-pomorskie jako region słabiej rozwinięty może korzystać z określonych maksymalnych poziomów dofinansowania projektów ze środków budżetu państwa w poszczególnych obszarach wsparcia. Dla działań z zakresu rynku pracy, wsparcia systemu oświaty, edukacji i zdrowia udział krajowy sięga do 5%. W przypadku wsparcia w obszarze adaptacyjności, edukacji włączającej, kształcenia osób dorosłych, ekonomii społecznej, działań na rzecz włączenia społecznego, w tym migrantów i grup zagrożonych wykluczeniem, deinstytucjonalizacji, budowania potencjału organizacji pozarządowych lub partnerów społecznych do 10%.</w:t>
      </w:r>
    </w:p>
    <w:p w14:paraId="622BFF15" w14:textId="2E5836BC" w:rsidR="004762E9" w:rsidRDefault="00A9374A" w:rsidP="00B01433">
      <w:r>
        <w:lastRenderedPageBreak/>
        <w:t>Nabory EFS+</w:t>
      </w:r>
      <w:r w:rsidR="00A40574">
        <w:t xml:space="preserve"> (objęte przedmiotowym badaniem)</w:t>
      </w:r>
      <w:r>
        <w:t xml:space="preserve"> oferowały dofinansowanie w wysokości </w:t>
      </w:r>
      <w:r w:rsidR="00771E65">
        <w:t>95% (2) lub</w:t>
      </w:r>
      <w:r>
        <w:t xml:space="preserve"> 90%</w:t>
      </w:r>
      <w:r w:rsidR="00771E65">
        <w:t xml:space="preserve"> (</w:t>
      </w:r>
      <w:r w:rsidR="00A52AF3">
        <w:t>3</w:t>
      </w:r>
      <w:r w:rsidR="00771E65">
        <w:t>).</w:t>
      </w:r>
      <w:r w:rsidR="003020A2">
        <w:t xml:space="preserve"> Najwyższy poziom dofinansowania dotyczył </w:t>
      </w:r>
      <w:r w:rsidR="003020A2" w:rsidRPr="000E396D">
        <w:t>naborów dot. włączenia społecznego</w:t>
      </w:r>
      <w:r w:rsidR="003020A2">
        <w:t xml:space="preserve"> (w tym naboru </w:t>
      </w:r>
      <w:r w:rsidR="001B4516">
        <w:t>z zastosowaniem</w:t>
      </w:r>
      <w:r w:rsidR="003020A2">
        <w:t xml:space="preserve"> niekonkurencyjnego</w:t>
      </w:r>
      <w:r w:rsidR="001B4516">
        <w:t xml:space="preserve"> sposobu wyboru</w:t>
      </w:r>
      <w:r w:rsidR="003020A2">
        <w:t>).</w:t>
      </w:r>
      <w:r w:rsidR="001F7F96">
        <w:t xml:space="preserve"> </w:t>
      </w:r>
    </w:p>
    <w:p w14:paraId="3F503385" w14:textId="0938A171" w:rsidR="009950FE" w:rsidRDefault="001F7F96" w:rsidP="00B01433">
      <w:r>
        <w:t xml:space="preserve">W ramach naborów EFRR najwyższy (95%) poziom dofinansowania dotyczył </w:t>
      </w:r>
      <w:r w:rsidR="0053285F">
        <w:t xml:space="preserve">9 </w:t>
      </w:r>
      <w:r>
        <w:t xml:space="preserve">naborów z obszarów wsparcia: </w:t>
      </w:r>
      <w:r w:rsidR="00B01433" w:rsidRPr="00551545">
        <w:t>kolej, infrastruktura drogowa, kultura, odnowa przestrzeni publicznych, infrastruktura edukacyjna, infrastruktura społeczna.</w:t>
      </w:r>
      <w:r w:rsidR="00704CB2">
        <w:t xml:space="preserve"> Dwa spośród nich były ogłoszone </w:t>
      </w:r>
      <w:r w:rsidR="00E33A1C">
        <w:t>z zastosowaniem</w:t>
      </w:r>
      <w:r w:rsidR="00704CB2">
        <w:t xml:space="preserve"> </w:t>
      </w:r>
      <w:r w:rsidR="00E33A1C">
        <w:t>niekonkurencyjnego sposobu wyboru</w:t>
      </w:r>
      <w:r w:rsidR="00704CB2">
        <w:t>. Część dotyczyła realizacji projektów w ramach instrumentów terytorialnych.</w:t>
      </w:r>
      <w:r w:rsidR="00B44DC5">
        <w:t xml:space="preserve"> Zdecydowana większość naborów EFRR</w:t>
      </w:r>
      <w:r w:rsidR="00957D7F">
        <w:t xml:space="preserve"> (31)</w:t>
      </w:r>
      <w:r w:rsidR="00B44DC5">
        <w:t xml:space="preserve"> oferowała jednak wsparcie na poziomie 85% dofinansowania.</w:t>
      </w:r>
      <w:r w:rsidR="00F0506D">
        <w:t xml:space="preserve"> </w:t>
      </w:r>
      <w:r w:rsidR="003B0BDE">
        <w:t xml:space="preserve">Dwa </w:t>
      </w:r>
      <w:r w:rsidR="00F0506D">
        <w:t>nabory oferujące</w:t>
      </w:r>
      <w:r w:rsidR="00323A75">
        <w:t xml:space="preserve"> wsparcie na poziomie 65% i 50% </w:t>
      </w:r>
      <w:r w:rsidR="00E33A1C">
        <w:t xml:space="preserve">dotyczyły </w:t>
      </w:r>
      <w:r w:rsidR="00323A75" w:rsidRPr="00551545">
        <w:t xml:space="preserve">obszaru </w:t>
      </w:r>
      <w:r w:rsidR="00E33A1C" w:rsidRPr="00551545">
        <w:t>adaptacj</w:t>
      </w:r>
      <w:r w:rsidR="00E33A1C">
        <w:t>i</w:t>
      </w:r>
      <w:r w:rsidR="00E33A1C" w:rsidRPr="00551545">
        <w:t xml:space="preserve"> </w:t>
      </w:r>
      <w:r w:rsidR="00323A75" w:rsidRPr="00551545">
        <w:t>do zmian klimatu.</w:t>
      </w:r>
    </w:p>
    <w:p w14:paraId="0B93DAC0" w14:textId="43BE34C6" w:rsidR="003020A2" w:rsidRDefault="006B6F85" w:rsidP="00680D13">
      <w:r>
        <w:t xml:space="preserve">Tylko </w:t>
      </w:r>
      <w:r w:rsidR="00537A7C">
        <w:t xml:space="preserve">w 6 </w:t>
      </w:r>
      <w:r>
        <w:t xml:space="preserve">naborach </w:t>
      </w:r>
      <w:r w:rsidR="00537A7C">
        <w:t>wskazano minimalną wartość projektu</w:t>
      </w:r>
      <w:r w:rsidR="00CB73CD">
        <w:t xml:space="preserve"> (w</w:t>
      </w:r>
      <w:r>
        <w:t xml:space="preserve"> 5 naborach EFS+ i</w:t>
      </w:r>
      <w:r w:rsidR="00CB73CD">
        <w:t xml:space="preserve"> 1 EFRR)</w:t>
      </w:r>
      <w:r w:rsidR="00537A7C">
        <w:t xml:space="preserve">. </w:t>
      </w:r>
      <w:r w:rsidR="004D7300">
        <w:t>W</w:t>
      </w:r>
      <w:r w:rsidR="007331C6">
        <w:t xml:space="preserve"> pięciu</w:t>
      </w:r>
      <w:r w:rsidR="00CB73CD">
        <w:t xml:space="preserve"> przypadk</w:t>
      </w:r>
      <w:r w:rsidR="007331C6">
        <w:t>ach</w:t>
      </w:r>
      <w:r w:rsidR="00CB73CD">
        <w:t xml:space="preserve"> minimalną wartość projektu określono na </w:t>
      </w:r>
      <w:r w:rsidR="00AA2A71">
        <w:t xml:space="preserve">200 tys. zł, a </w:t>
      </w:r>
      <w:r w:rsidR="004D7300">
        <w:t xml:space="preserve">w jednym </w:t>
      </w:r>
      <w:r w:rsidR="00AA2A71">
        <w:t>z nich (EFS+) na 5 mln zł</w:t>
      </w:r>
      <w:r w:rsidR="00332730">
        <w:t xml:space="preserve"> – był to nabór </w:t>
      </w:r>
      <w:r w:rsidR="00FA2EF0">
        <w:t xml:space="preserve">o </w:t>
      </w:r>
      <w:r w:rsidR="00332730">
        <w:t>niekonkurencyjny</w:t>
      </w:r>
      <w:r w:rsidR="00FA2EF0">
        <w:t>m</w:t>
      </w:r>
      <w:r w:rsidR="00402F25">
        <w:t xml:space="preserve"> sposobie wyboru</w:t>
      </w:r>
      <w:r w:rsidR="00332730">
        <w:t xml:space="preserve"> </w:t>
      </w:r>
      <w:r w:rsidR="004E1276" w:rsidRPr="00551545">
        <w:t>z obszaru</w:t>
      </w:r>
      <w:r w:rsidR="00402F25" w:rsidRPr="00551545">
        <w:t xml:space="preserve"> </w:t>
      </w:r>
      <w:r w:rsidR="00332730" w:rsidRPr="00551545">
        <w:t>włączenia społecznego</w:t>
      </w:r>
      <w:r w:rsidR="00AA2A71">
        <w:t>.</w:t>
      </w:r>
      <w:r w:rsidR="005A00BA">
        <w:t xml:space="preserve"> </w:t>
      </w:r>
      <w:r w:rsidR="004E1276">
        <w:t xml:space="preserve">W ramach tego naboru </w:t>
      </w:r>
      <w:r w:rsidR="00547A68" w:rsidRPr="00547A68">
        <w:t>dofinansowanie można było uzyskać na kompleksowe działania wspierające obywateli państw trzecich (OPT) w trzech obszarach: społecznym, zawodowym i instytucjonalnym</w:t>
      </w:r>
      <w:r w:rsidR="009E5788">
        <w:rPr>
          <w:rStyle w:val="Odwoanieprzypisudolnego"/>
        </w:rPr>
        <w:footnoteReference w:id="12"/>
      </w:r>
      <w:r w:rsidR="00547A68" w:rsidRPr="00547A68">
        <w:t xml:space="preserve">. </w:t>
      </w:r>
      <w:r w:rsidR="00DE1099">
        <w:t>Nabory, w których minimalną wartość projektu ustalono na</w:t>
      </w:r>
      <w:r w:rsidR="00F07E75">
        <w:t xml:space="preserve"> 200 tys. zł obejmowały</w:t>
      </w:r>
      <w:r w:rsidR="00D56EA3">
        <w:t xml:space="preserve"> takie działania jak</w:t>
      </w:r>
      <w:r w:rsidR="00F07E75">
        <w:t xml:space="preserve">: </w:t>
      </w:r>
      <w:r w:rsidR="009A397C">
        <w:t>zadrzewienia przy drogach wojewódzkich, wychowanie przedszkolne,</w:t>
      </w:r>
      <w:r w:rsidR="005E037B">
        <w:t xml:space="preserve"> t</w:t>
      </w:r>
      <w:r w:rsidR="009A397C">
        <w:t>worzenie nowych miejsc wychowania przedszkolnego</w:t>
      </w:r>
      <w:r w:rsidR="005E037B">
        <w:t>, k</w:t>
      </w:r>
      <w:r w:rsidR="009A397C">
        <w:t>ształcenie ogólne</w:t>
      </w:r>
      <w:r w:rsidR="005E037B">
        <w:t>, r</w:t>
      </w:r>
      <w:r w:rsidR="009A397C">
        <w:t>ozwój usług w mieszkaniach treningowych i wspomaganych</w:t>
      </w:r>
      <w:r w:rsidR="005E037B">
        <w:t xml:space="preserve">. </w:t>
      </w:r>
      <w:r w:rsidR="00C5767A">
        <w:t>W regulaminach naborów poddanych analizie</w:t>
      </w:r>
      <w:r w:rsidR="00790EC3">
        <w:t xml:space="preserve"> nie wskazano maksymalnej wartości projektów.</w:t>
      </w:r>
    </w:p>
    <w:p w14:paraId="5222F41C" w14:textId="7FE18724" w:rsidR="00D7044D" w:rsidRPr="008570E4" w:rsidRDefault="00D7044D" w:rsidP="00D7044D">
      <w:pPr>
        <w:pStyle w:val="Nagwek2"/>
        <w:spacing w:before="240" w:after="120"/>
        <w:ind w:left="578" w:hanging="578"/>
        <w:rPr>
          <w:rFonts w:cstheme="minorHAnsi"/>
        </w:rPr>
      </w:pPr>
      <w:bookmarkStart w:id="6" w:name="_Toc208593139"/>
      <w:r w:rsidRPr="000C52D5">
        <w:rPr>
          <w:rFonts w:cstheme="minorHAnsi"/>
        </w:rPr>
        <w:lastRenderedPageBreak/>
        <w:t>Adekwatność procedur nabor</w:t>
      </w:r>
      <w:r>
        <w:rPr>
          <w:rFonts w:cstheme="minorHAnsi"/>
        </w:rPr>
        <w:t>ów</w:t>
      </w:r>
      <w:r w:rsidRPr="000C52D5">
        <w:rPr>
          <w:rFonts w:cstheme="minorHAnsi"/>
        </w:rPr>
        <w:t xml:space="preserve"> </w:t>
      </w:r>
      <w:r w:rsidR="006E50E0">
        <w:rPr>
          <w:rFonts w:cstheme="minorHAnsi"/>
        </w:rPr>
        <w:t xml:space="preserve">względem celów </w:t>
      </w:r>
      <w:r w:rsidRPr="000C52D5">
        <w:rPr>
          <w:rFonts w:cstheme="minorHAnsi"/>
        </w:rPr>
        <w:t xml:space="preserve">Programu </w:t>
      </w:r>
      <w:r w:rsidR="006E50E0">
        <w:rPr>
          <w:rFonts w:cstheme="minorHAnsi"/>
        </w:rPr>
        <w:t>i</w:t>
      </w:r>
      <w:r w:rsidRPr="000C52D5">
        <w:rPr>
          <w:rFonts w:cstheme="minorHAnsi"/>
        </w:rPr>
        <w:t xml:space="preserve"> zasad horyzontal</w:t>
      </w:r>
      <w:r w:rsidR="006E50E0">
        <w:rPr>
          <w:rFonts w:cstheme="minorHAnsi"/>
        </w:rPr>
        <w:t>nych</w:t>
      </w:r>
      <w:bookmarkEnd w:id="6"/>
      <w:r w:rsidR="007D2E59">
        <w:rPr>
          <w:rFonts w:cstheme="minorHAnsi"/>
        </w:rPr>
        <w:t xml:space="preserve"> </w:t>
      </w:r>
    </w:p>
    <w:p w14:paraId="59E4D6FB" w14:textId="3ACE1905" w:rsidR="00BB50C3" w:rsidRDefault="00BB50C3" w:rsidP="004D0061">
      <w:pPr>
        <w:keepNext/>
        <w:rPr>
          <w:rFonts w:cstheme="minorHAnsi"/>
          <w:color w:val="640B68" w:themeColor="accent3" w:themeShade="BF"/>
        </w:rPr>
      </w:pPr>
      <w:r w:rsidRPr="00C655F7">
        <w:rPr>
          <w:rFonts w:cstheme="minorHAnsi"/>
          <w:b/>
          <w:bCs/>
          <w:color w:val="640B68" w:themeColor="accent3" w:themeShade="BF"/>
        </w:rPr>
        <w:t>Adekwatność procedur naborów względem celów Programu</w:t>
      </w:r>
      <w:r w:rsidR="00776243">
        <w:rPr>
          <w:rFonts w:cstheme="minorHAnsi"/>
          <w:b/>
          <w:bCs/>
          <w:color w:val="640B68" w:themeColor="accent3" w:themeShade="BF"/>
        </w:rPr>
        <w:t xml:space="preserve"> </w:t>
      </w:r>
    </w:p>
    <w:p w14:paraId="3B183F23" w14:textId="2C341859" w:rsidR="00BB50C3" w:rsidRDefault="00BB50C3" w:rsidP="00BB50C3">
      <w:r w:rsidRPr="00EB4BF5">
        <w:t xml:space="preserve">W oparciu o zapisy </w:t>
      </w:r>
      <w:r w:rsidR="006445A9">
        <w:t>Programu</w:t>
      </w:r>
      <w:r w:rsidRPr="00EB4BF5">
        <w:t xml:space="preserve"> FEdKP 2021–2027 </w:t>
      </w:r>
      <w:r>
        <w:t>można stwierdzić</w:t>
      </w:r>
      <w:r w:rsidRPr="00EB4BF5">
        <w:t>,</w:t>
      </w:r>
      <w:r>
        <w:t xml:space="preserve"> że</w:t>
      </w:r>
      <w:r w:rsidRPr="00EB4BF5">
        <w:t xml:space="preserve"> główne </w:t>
      </w:r>
      <w:r w:rsidR="00FF7FF3">
        <w:t>jego</w:t>
      </w:r>
      <w:r w:rsidRPr="00EB4BF5">
        <w:t xml:space="preserve"> cele koncentrują się na wzmocnieniu spójności społecznej, gospodarczej i terytorialnej województwa, m.in. poprzez rozwój zrównoważonego transportu, edukacji, rynku pracy, usług społecznych oraz innowacyjności w sektorze MŚP.</w:t>
      </w:r>
      <w:r>
        <w:t xml:space="preserve"> W Programie przyjęto w sumie osiem priorytetów odpowiadających różnym obszarom wsparcia oraz dwa priorytety odnoszące się do pomocy technicznej. W ramach każdego z priorytetów tematycznych szczegółowo opisano założenia i cele udzielanego wsparcia – w tym preferencje czy zakładane efekty, które powinny być brane pod uwagę przy wyborze projektów do dofinansowania.</w:t>
      </w:r>
    </w:p>
    <w:p w14:paraId="2C3B0765" w14:textId="3A8FDF8A" w:rsidR="00BB50C3" w:rsidRDefault="00BB50C3" w:rsidP="00BB50C3">
      <w:r>
        <w:t xml:space="preserve">Procedury </w:t>
      </w:r>
      <w:r w:rsidRPr="000E0920">
        <w:t>postępowa</w:t>
      </w:r>
      <w:r>
        <w:t>ń</w:t>
      </w:r>
      <w:r w:rsidRPr="000E0920">
        <w:t xml:space="preserve"> w zakresie wyboru projektów do dofinansowania</w:t>
      </w:r>
      <w:r>
        <w:t xml:space="preserve"> (w tym naborów) są określone w regulaminach wyboru projektów oraz załącznikach do nich. Regulaminy z kolei </w:t>
      </w:r>
      <w:r w:rsidRPr="006D6329">
        <w:t>opracowa</w:t>
      </w:r>
      <w:r>
        <w:t>ne są</w:t>
      </w:r>
      <w:r w:rsidRPr="006D6329">
        <w:t xml:space="preserve"> na podstawie obowiązujących przepisów prawa krajowego i unijnego. </w:t>
      </w:r>
      <w:r>
        <w:t>W każdym regulaminie poczyniono zastrzeżenie wskazujące na to, że j</w:t>
      </w:r>
      <w:r w:rsidRPr="006D6329">
        <w:t>akiekolwiek rozbieżności pomiędzy tym dokumentem a przepisami prawa należy rozstrzygać na rzecz przepisów prawa.</w:t>
      </w:r>
      <w:r>
        <w:t xml:space="preserve"> Rozwiązanie takie zapewnia zatem </w:t>
      </w:r>
      <w:r w:rsidRPr="00AE1505">
        <w:rPr>
          <w:b/>
          <w:bCs/>
        </w:rPr>
        <w:t>zgodność procedur opisanych w regulaminach oraz załącznikach z</w:t>
      </w:r>
      <w:r w:rsidR="00107028">
        <w:rPr>
          <w:b/>
          <w:bCs/>
        </w:rPr>
        <w:t xml:space="preserve"> aktualnymi</w:t>
      </w:r>
      <w:r w:rsidRPr="00AE1505">
        <w:rPr>
          <w:b/>
          <w:bCs/>
        </w:rPr>
        <w:t xml:space="preserve"> przepisami prawa</w:t>
      </w:r>
      <w:r>
        <w:t xml:space="preserve">. </w:t>
      </w:r>
    </w:p>
    <w:p w14:paraId="6F9773D2" w14:textId="6079AD07" w:rsidR="00BB50C3" w:rsidRDefault="00BB50C3" w:rsidP="00BB50C3">
      <w:r w:rsidRPr="00AE1505">
        <w:rPr>
          <w:b/>
          <w:bCs/>
        </w:rPr>
        <w:t>Stosowane procedury naborów są także w pełni zgodne z założeniami i celami samego Programu</w:t>
      </w:r>
      <w:r>
        <w:t xml:space="preserve">. Wniosek taki znajduje potwierdzenie zarówno w przeprowadzonych wywiadach pogłębionych </w:t>
      </w:r>
      <w:r w:rsidRPr="002B5F91">
        <w:t>z przedstawicielami UMWKP oraz IP (WUP i ZIT BydOF) zaangażowanymi w realizację FEdKP 2021-2027</w:t>
      </w:r>
      <w:r>
        <w:t xml:space="preserve">, jak i w przeprowadzonej analizie danych zastanych. Uczestnicy wywiadów nie wskazali na żadne przykłady/ obszary, które mogłyby </w:t>
      </w:r>
      <w:r w:rsidR="00135798">
        <w:t>świadczy</w:t>
      </w:r>
      <w:r>
        <w:t xml:space="preserve">ć bezpośrednio czy pośrednio </w:t>
      </w:r>
      <w:r w:rsidR="00135798">
        <w:t>o</w:t>
      </w:r>
      <w:r>
        <w:t xml:space="preserve"> problem</w:t>
      </w:r>
      <w:r w:rsidR="00135798">
        <w:t>ie</w:t>
      </w:r>
      <w:r>
        <w:t xml:space="preserve"> braku adekwatności procedur do założeń i celów Programu. W wywiadach podkreślano np., że </w:t>
      </w:r>
      <w:r w:rsidR="00727733">
        <w:t xml:space="preserve">założenia naborów </w:t>
      </w:r>
      <w:r>
        <w:t>muszą być spójne z SZOP, kryteriami i zakresem interwencji. Przeprowadzona analiza dokumentów wskazuje z kolei na silne powiązanie zapisów regulaminów i kryteriów wyboru projektów z zapisami Programu</w:t>
      </w:r>
      <w:r w:rsidR="001272F9">
        <w:t xml:space="preserve"> oraz SZOP</w:t>
      </w:r>
      <w:r>
        <w:t>. Z jednej strony w regulaminach wyboru projektów</w:t>
      </w:r>
      <w:r w:rsidR="00FC637A">
        <w:t>,</w:t>
      </w:r>
      <w:r>
        <w:t xml:space="preserve"> za każdym razem</w:t>
      </w:r>
      <w:r w:rsidR="00FC637A">
        <w:t>,</w:t>
      </w:r>
      <w:r>
        <w:t xml:space="preserve"> szczegółowo wskazywany jest m.in. </w:t>
      </w:r>
      <w:r w:rsidR="00735D73">
        <w:t>sposób</w:t>
      </w:r>
      <w:r>
        <w:t xml:space="preserve"> wyboru projektów, możliwy zakres wsparcia (typy projektów, jakie mogą zostać dofinansowane), maksymalny okres realizacji projektów, miejsce realizacji, typy wnioskodawców czy grupy docelowe </w:t>
      </w:r>
      <w:r w:rsidRPr="00440E56">
        <w:t xml:space="preserve">wynikające z treści Programu oraz SZOP. Z drugiej strony, bezpośredniej realizacji założeń i celów Programu służą kryteria wyboru projektów. W przypadku EFRR to zarówno kryteria formalne (np. miejsce realizacji projektu, gotowość techniczna projektu do realizacji), merytoryczne ogólne (np. prawidłowość określenia wkładu własnego oraz wskaźników realizacji celów projektu, zgodność z typami projektów przewidzianymi do wsparcia w ramach danego działania i naboru), merytoryczne </w:t>
      </w:r>
      <w:r w:rsidRPr="00440E56">
        <w:lastRenderedPageBreak/>
        <w:t>szczegółowe (specyficzne dla danego działania lub schematu wsparcia) oraz kryteria merytoryczne punktowane, w tym rozstrzygające (pozwalające wybrać najlepsze projekty mając na uwadze ustalone w Programie preferencje). W przypadku EFS+ to z kolei przede wszystkim kryteria merytoryczne (np. potrzeba realizacji i grupa docelowa projektu, wskaźniki projektu), kryteria dostępu (np. projekt jest zgodny z zapisami Szczegółowego Opisu Priorytetów, projekt jest zgodny z Lokalną Strategią Rozwoju lub z inną strategią, projekt jest zgodny z dodatkowymi zasadami realizacji wsparcia)</w:t>
      </w:r>
      <w:r>
        <w:t xml:space="preserve"> czy kryteria premiujące (dotyczące wskazanych w Programie założeń i efektów wsparcia).</w:t>
      </w:r>
    </w:p>
    <w:p w14:paraId="20434018" w14:textId="77777777" w:rsidR="00BB50C3" w:rsidRDefault="00BB50C3" w:rsidP="00BB50C3">
      <w:r>
        <w:t>Na zgodność procedur naborowych z założeniami i celami Programu wskazują także wnioski z badania kryteriów i systemu wyboru projektów</w:t>
      </w:r>
      <w:r>
        <w:rPr>
          <w:rStyle w:val="Odwoanieprzypisudolnego"/>
        </w:rPr>
        <w:footnoteReference w:id="13"/>
      </w:r>
      <w:r>
        <w:t xml:space="preserve">. Autorzy raportu wskazali bowiem, że </w:t>
      </w:r>
      <w:r w:rsidRPr="001A19F9">
        <w:rPr>
          <w:rFonts w:eastAsia="Times New Roman" w:cstheme="minorHAnsi"/>
          <w:color w:val="000000"/>
          <w:lang w:eastAsia="pl-PL"/>
        </w:rPr>
        <w:t xml:space="preserve">nie </w:t>
      </w:r>
      <w:r>
        <w:rPr>
          <w:rFonts w:eastAsia="Times New Roman" w:cstheme="minorHAnsi"/>
          <w:color w:val="000000"/>
          <w:lang w:eastAsia="pl-PL"/>
        </w:rPr>
        <w:t>stwierdzono żadnych</w:t>
      </w:r>
      <w:r w:rsidRPr="001A19F9">
        <w:rPr>
          <w:rFonts w:eastAsia="Times New Roman" w:cstheme="minorHAnsi"/>
          <w:color w:val="000000"/>
          <w:lang w:eastAsia="pl-PL"/>
        </w:rPr>
        <w:t xml:space="preserve"> wad i dysfunkcji systemu wyboru, w tym kryterió</w:t>
      </w:r>
      <w:r>
        <w:rPr>
          <w:rFonts w:eastAsia="Times New Roman" w:cstheme="minorHAnsi"/>
          <w:color w:val="000000"/>
          <w:lang w:eastAsia="pl-PL"/>
        </w:rPr>
        <w:t>w</w:t>
      </w:r>
      <w:r w:rsidRPr="001A19F9">
        <w:rPr>
          <w:rFonts w:eastAsia="Times New Roman" w:cstheme="minorHAnsi"/>
          <w:color w:val="000000"/>
          <w:lang w:eastAsia="pl-PL"/>
        </w:rPr>
        <w:t xml:space="preserve">, a ich zakres merytoryczny odpowiada celom interwencji Programu. </w:t>
      </w:r>
      <w:r>
        <w:rPr>
          <w:rFonts w:eastAsia="Times New Roman" w:cstheme="minorHAnsi"/>
          <w:color w:val="000000"/>
          <w:lang w:eastAsia="pl-PL"/>
        </w:rPr>
        <w:t>Co więcej, zwrócili oni uwagę na</w:t>
      </w:r>
      <w:r w:rsidRPr="001A19F9">
        <w:rPr>
          <w:rFonts w:eastAsia="Times New Roman" w:cstheme="minorHAnsi"/>
          <w:color w:val="000000"/>
          <w:lang w:eastAsia="pl-PL"/>
        </w:rPr>
        <w:t xml:space="preserve"> spójność</w:t>
      </w:r>
      <w:r>
        <w:rPr>
          <w:rFonts w:eastAsia="Times New Roman" w:cstheme="minorHAnsi"/>
          <w:color w:val="000000"/>
          <w:lang w:eastAsia="pl-PL"/>
        </w:rPr>
        <w:t xml:space="preserve"> i adekwatność tych elementów</w:t>
      </w:r>
      <w:r w:rsidRPr="001A19F9">
        <w:rPr>
          <w:rFonts w:eastAsia="Times New Roman" w:cstheme="minorHAnsi"/>
          <w:color w:val="000000"/>
          <w:lang w:eastAsia="pl-PL"/>
        </w:rPr>
        <w:t xml:space="preserve">, </w:t>
      </w:r>
      <w:r>
        <w:rPr>
          <w:rFonts w:eastAsia="Times New Roman" w:cstheme="minorHAnsi"/>
          <w:color w:val="000000"/>
          <w:lang w:eastAsia="pl-PL"/>
        </w:rPr>
        <w:t>co w efekcie</w:t>
      </w:r>
      <w:r w:rsidRPr="001A19F9">
        <w:rPr>
          <w:rFonts w:eastAsia="Times New Roman" w:cstheme="minorHAnsi"/>
          <w:color w:val="000000"/>
          <w:lang w:eastAsia="pl-PL"/>
        </w:rPr>
        <w:t xml:space="preserve"> zapewni</w:t>
      </w:r>
      <w:r>
        <w:rPr>
          <w:rFonts w:eastAsia="Times New Roman" w:cstheme="minorHAnsi"/>
          <w:color w:val="000000"/>
          <w:lang w:eastAsia="pl-PL"/>
        </w:rPr>
        <w:t>ć powinno</w:t>
      </w:r>
      <w:r w:rsidRPr="001A19F9">
        <w:rPr>
          <w:rFonts w:eastAsia="Times New Roman" w:cstheme="minorHAnsi"/>
          <w:color w:val="000000"/>
          <w:lang w:eastAsia="pl-PL"/>
        </w:rPr>
        <w:t xml:space="preserve"> realizację celów Programu.</w:t>
      </w:r>
    </w:p>
    <w:p w14:paraId="4EFE957C" w14:textId="6DC2E3D5" w:rsidR="00BB50C3" w:rsidRDefault="00BB50C3" w:rsidP="00BB50C3">
      <w:pPr>
        <w:rPr>
          <w:rFonts w:cstheme="minorHAnsi"/>
          <w:color w:val="640B68" w:themeColor="accent3" w:themeShade="BF"/>
        </w:rPr>
      </w:pPr>
      <w:r w:rsidRPr="00C655F7">
        <w:rPr>
          <w:rFonts w:cstheme="minorHAnsi"/>
          <w:b/>
          <w:bCs/>
          <w:color w:val="640B68" w:themeColor="accent3" w:themeShade="BF"/>
        </w:rPr>
        <w:t>Adekwatność procedur naborów względem zasad horyzontalnych</w:t>
      </w:r>
      <w:r w:rsidR="00776243">
        <w:rPr>
          <w:rFonts w:cstheme="minorHAnsi"/>
          <w:b/>
          <w:bCs/>
          <w:color w:val="640B68" w:themeColor="accent3" w:themeShade="BF"/>
        </w:rPr>
        <w:t xml:space="preserve"> </w:t>
      </w:r>
    </w:p>
    <w:p w14:paraId="17B99BCD" w14:textId="4EA81B19" w:rsidR="00BB50C3" w:rsidRDefault="00BB50C3" w:rsidP="00BB50C3">
      <w:pPr>
        <w:rPr>
          <w:rFonts w:cstheme="minorHAnsi"/>
        </w:rPr>
      </w:pPr>
      <w:r>
        <w:t xml:space="preserve">Analiza zasad horyzontalnych wskazanych w </w:t>
      </w:r>
      <w:r w:rsidRPr="0029432D">
        <w:t>art. 9 rozporządzenia ogólnego UE</w:t>
      </w:r>
      <w:r>
        <w:rPr>
          <w:rStyle w:val="Odwoanieprzypisudolnego"/>
        </w:rPr>
        <w:footnoteReference w:id="14"/>
      </w:r>
      <w:r>
        <w:t xml:space="preserve"> w odniesieniu do analizowanych naborów objęła dwie główne kwestie: ocenę zgodności procedur naborów z tymi zasadami</w:t>
      </w:r>
      <w:r w:rsidR="00605AE1">
        <w:t xml:space="preserve"> oraz</w:t>
      </w:r>
      <w:r>
        <w:t xml:space="preserve"> ocenę tego</w:t>
      </w:r>
      <w:r w:rsidR="00605AE1">
        <w:t>,</w:t>
      </w:r>
      <w:r>
        <w:t xml:space="preserve"> czy </w:t>
      </w:r>
      <w:r>
        <w:rPr>
          <w:rFonts w:cstheme="minorHAnsi"/>
        </w:rPr>
        <w:t>wymogi</w:t>
      </w:r>
      <w:r w:rsidRPr="008570E4">
        <w:rPr>
          <w:rFonts w:cstheme="minorHAnsi"/>
        </w:rPr>
        <w:t xml:space="preserve"> w kontekście </w:t>
      </w:r>
      <w:r>
        <w:rPr>
          <w:rFonts w:cstheme="minorHAnsi"/>
        </w:rPr>
        <w:t>zasad</w:t>
      </w:r>
      <w:r w:rsidRPr="008570E4">
        <w:rPr>
          <w:rFonts w:cstheme="minorHAnsi"/>
        </w:rPr>
        <w:t xml:space="preserve"> horyzontalnych mogą stanowić barierę dla </w:t>
      </w:r>
      <w:r>
        <w:rPr>
          <w:rFonts w:cstheme="minorHAnsi"/>
        </w:rPr>
        <w:t>wnioskodawców w procesie aplikowania.</w:t>
      </w:r>
    </w:p>
    <w:p w14:paraId="469AD493" w14:textId="5F3B51F8" w:rsidR="00BB50C3" w:rsidRPr="00416F56" w:rsidRDefault="00BB50C3" w:rsidP="00BB50C3">
      <w:r w:rsidRPr="00416F56">
        <w:t xml:space="preserve">Przeprowadzone analizy potwierdziły, że </w:t>
      </w:r>
      <w:r w:rsidRPr="00416F56">
        <w:rPr>
          <w:b/>
          <w:bCs/>
        </w:rPr>
        <w:t>rozwiązania i procedury stosowane w ramach naborów są zgodne z zasadami horyzontalnymi</w:t>
      </w:r>
      <w:r>
        <w:rPr>
          <w:b/>
          <w:bCs/>
        </w:rPr>
        <w:t xml:space="preserve"> i w pełni je uwzględniają</w:t>
      </w:r>
      <w:r w:rsidRPr="00416F56">
        <w:t xml:space="preserve">. </w:t>
      </w:r>
      <w:r>
        <w:t>Podkreślić należy, że nabory przygotowywane są w oparciu o wzory wypracowanych dokumentów, które były opiniowane pod kątem spełniania m.in. zasad dostępności oraz zawartości merytorycznej, w tym uwzględniania zasad horyzontalnych</w:t>
      </w:r>
      <w:r>
        <w:rPr>
          <w:rStyle w:val="Odwoanieprzypisudolnego"/>
        </w:rPr>
        <w:footnoteReference w:id="15"/>
      </w:r>
      <w:r>
        <w:t xml:space="preserve">. </w:t>
      </w:r>
      <w:r w:rsidRPr="00416F56">
        <w:t>Wszystkie zasady horyzontalne są</w:t>
      </w:r>
      <w:r>
        <w:t xml:space="preserve"> </w:t>
      </w:r>
      <w:r w:rsidRPr="00416F56">
        <w:t>szczegółowo opisywane w każdym regulaminie wyboru projektów, znajdują także odzwierciedlenie w</w:t>
      </w:r>
      <w:r>
        <w:t xml:space="preserve"> strukturze wniosku o dofinansowanie oraz</w:t>
      </w:r>
      <w:r w:rsidRPr="00416F56">
        <w:t xml:space="preserve"> kryteriach wyboru</w:t>
      </w:r>
      <w:r>
        <w:t xml:space="preserve"> dla wszystkich typów projektów</w:t>
      </w:r>
      <w:r w:rsidRPr="00416F56">
        <w:t>. Uczestnicy wywiadów pogłębionych</w:t>
      </w:r>
      <w:r w:rsidRPr="00416F56">
        <w:rPr>
          <w:rStyle w:val="Odwoanieprzypisudolnego"/>
        </w:rPr>
        <w:footnoteReference w:id="16"/>
      </w:r>
      <w:r w:rsidRPr="00416F56">
        <w:t xml:space="preserve"> zwrócili jednak uwagę na problemy wynikające z faktu, że zasady równościowe opisywane są zarówno w regulaminach wyboru projektów, jak i w instrukcjach wypełniania WoD (zarówno projektów EFRR, jak i EFS+) – w obu typach dokumentów wskazywane są wymagania, odwołania do </w:t>
      </w:r>
      <w:r w:rsidRPr="00416F56">
        <w:lastRenderedPageBreak/>
        <w:t>dokumentów zewnętrznych wraz z linkami.</w:t>
      </w:r>
      <w:r w:rsidR="005627C3">
        <w:t xml:space="preserve"> Nie są to zapisy sprzeczne czy wykluczające się.</w:t>
      </w:r>
      <w:r w:rsidRPr="00416F56">
        <w:t xml:space="preserve"> </w:t>
      </w:r>
      <w:r w:rsidR="00783A51">
        <w:t>S</w:t>
      </w:r>
      <w:r w:rsidRPr="00416F56">
        <w:t xml:space="preserve">ytuacja taka może być </w:t>
      </w:r>
      <w:r w:rsidR="005627C3">
        <w:t xml:space="preserve">jednak </w:t>
      </w:r>
      <w:r w:rsidRPr="00416F56">
        <w:t xml:space="preserve">źródłem niepotrzebnych wątpliwości i </w:t>
      </w:r>
      <w:r w:rsidR="005627C3">
        <w:t xml:space="preserve">dodatkowych </w:t>
      </w:r>
      <w:r w:rsidRPr="00416F56">
        <w:t>analiz dotyczących spójności</w:t>
      </w:r>
      <w:r w:rsidR="00F934AB">
        <w:t xml:space="preserve"> zapisów</w:t>
      </w:r>
      <w:r w:rsidRPr="00416F56">
        <w:t xml:space="preserve"> </w:t>
      </w:r>
      <w:r w:rsidR="00783A51">
        <w:t>zawartych w obu dokumentach</w:t>
      </w:r>
      <w:r w:rsidR="00130D3A">
        <w:t>.</w:t>
      </w:r>
      <w:r w:rsidRPr="00416F56">
        <w:t xml:space="preserve"> Na podobny problem zwrócili także uwagę autorzy raportu z ewaluacji kryteriów i systemu wyboru</w:t>
      </w:r>
      <w:r w:rsidR="00130D3A">
        <w:t xml:space="preserve"> projektów</w:t>
      </w:r>
      <w:r w:rsidRPr="00416F56">
        <w:rPr>
          <w:rStyle w:val="Odwoanieprzypisudolnego"/>
        </w:rPr>
        <w:footnoteReference w:id="17"/>
      </w:r>
      <w:r w:rsidRPr="00416F56">
        <w:t xml:space="preserve">. </w:t>
      </w:r>
      <w:r>
        <w:t>Proponowali</w:t>
      </w:r>
      <w:r w:rsidRPr="00416F56">
        <w:t xml:space="preserve"> oni maksymalne ułatwienie wnioskodawcom poruszani</w:t>
      </w:r>
      <w:r w:rsidR="008A7A5D">
        <w:t>a</w:t>
      </w:r>
      <w:r w:rsidRPr="00416F56">
        <w:t xml:space="preserve"> się po zasadach horyzontalnych poprzez zebranie wszystkich opracowanych dla FEdKP 2021-2027 wytycznych w jednym dokumencie, obejmującym hiperłącza do wszystkich cytowanych dokumentów.</w:t>
      </w:r>
      <w:r>
        <w:t xml:space="preserve"> </w:t>
      </w:r>
      <w:r w:rsidR="008A7A5D">
        <w:t>Również w</w:t>
      </w:r>
      <w:r>
        <w:t xml:space="preserve"> naszej ocenie jest to słuszna propozycja. </w:t>
      </w:r>
      <w:r>
        <w:rPr>
          <w:b/>
          <w:bCs/>
          <w:color w:val="0B0E9D" w:themeColor="accent1" w:themeShade="BF"/>
        </w:rPr>
        <w:t>Zalecenie:</w:t>
      </w:r>
      <w:r>
        <w:t xml:space="preserve"> Zalecamy weryfikację zawartości wzoru regulaminu wyboru projektów oraz instrukcji wypełniania wniosków pod kątem zamieszczanych tam treści dotyczących zasad horyzontalnych i podjęcie decyzji o tym, </w:t>
      </w:r>
      <w:r w:rsidR="009C4D19">
        <w:t xml:space="preserve">czy </w:t>
      </w:r>
      <w:r>
        <w:t>wszystkie informacje, wym</w:t>
      </w:r>
      <w:r w:rsidR="008A7A5D">
        <w:t>ogi i</w:t>
      </w:r>
      <w:r>
        <w:t xml:space="preserve"> wskazówki </w:t>
      </w:r>
      <w:r w:rsidR="009C4D19">
        <w:t xml:space="preserve">mogą znaleźć </w:t>
      </w:r>
      <w:r>
        <w:t xml:space="preserve">się </w:t>
      </w:r>
      <w:r w:rsidR="009C4D19">
        <w:t xml:space="preserve">tylko </w:t>
      </w:r>
      <w:r>
        <w:t>w jednym z nich – np. tylko w regulaminie.</w:t>
      </w:r>
    </w:p>
    <w:p w14:paraId="68F5C3C6" w14:textId="20EC22C8" w:rsidR="00A14BCD" w:rsidRPr="00A14BCD" w:rsidRDefault="00BB50C3" w:rsidP="00A14BCD">
      <w:r>
        <w:t xml:space="preserve">Zgodności procedur z zasadami horyzontalnymi sprzyja także jednolite podejście pracowników wszystkich instytucji (IZ, IP FEdKP 2021-2027) zaangażowanych we wdrażanie Programu, w tym </w:t>
      </w:r>
      <w:r w:rsidR="00483671">
        <w:t xml:space="preserve">w </w:t>
      </w:r>
      <w:r>
        <w:t>przygotowywanie dokumentacji naborowych oraz ocenę wniosków.</w:t>
      </w:r>
      <w:r w:rsidR="00594E79">
        <w:t xml:space="preserve"> Sprzyja temu np. polityka szkoleniowa</w:t>
      </w:r>
      <w:r w:rsidR="00A14BCD">
        <w:t xml:space="preserve"> dotycząca kwestii równościowych</w:t>
      </w:r>
      <w:r w:rsidR="002B1678">
        <w:t xml:space="preserve"> realizowana przez IZ i IP</w:t>
      </w:r>
      <w:r w:rsidR="00A14BCD">
        <w:t>.</w:t>
      </w:r>
      <w:r>
        <w:t xml:space="preserve"> </w:t>
      </w:r>
      <w:r w:rsidR="00A14BCD" w:rsidRPr="00A14BCD">
        <w:t xml:space="preserve">Szkolenia z zasad równościowych są przeprowadzane przez podmiot zewnętrzny dla wszystkich pracowników zaangażowanych w procesy realizacji </w:t>
      </w:r>
      <w:r w:rsidR="006445A9">
        <w:t>P</w:t>
      </w:r>
      <w:r w:rsidR="006445A9" w:rsidRPr="00A14BCD">
        <w:t>rogramu</w:t>
      </w:r>
      <w:r w:rsidR="00A14BCD" w:rsidRPr="00A14BCD">
        <w:t xml:space="preserve"> FEdKP już od początku perspektywy 2021-2027. Obowiązek </w:t>
      </w:r>
      <w:r w:rsidR="006445A9" w:rsidRPr="00A14BCD">
        <w:t>przeprowadz</w:t>
      </w:r>
      <w:r w:rsidR="006445A9">
        <w:t>a</w:t>
      </w:r>
      <w:r w:rsidR="006445A9" w:rsidRPr="00A14BCD">
        <w:t>nia</w:t>
      </w:r>
      <w:r w:rsidR="00A14BCD" w:rsidRPr="00A14BCD">
        <w:t xml:space="preserve"> szkolenia z zasad równościowych do członków KOP wynika także z Wytycznych równościowych, tj. z podrozdziału 5.1.</w:t>
      </w:r>
      <w:r w:rsidR="00A14BCD">
        <w:t xml:space="preserve"> </w:t>
      </w:r>
      <w:r w:rsidR="00A14BCD" w:rsidRPr="00A14BCD">
        <w:t>Każdorazowo przystępując do organizacji szkole</w:t>
      </w:r>
      <w:r w:rsidR="00FD3E2E">
        <w:t>ń</w:t>
      </w:r>
      <w:r w:rsidR="00A14BCD" w:rsidRPr="00A14BCD">
        <w:t>, k</w:t>
      </w:r>
      <w:r w:rsidR="00FD3E2E">
        <w:t>ierowane jest</w:t>
      </w:r>
      <w:r w:rsidR="00A14BCD" w:rsidRPr="00A14BCD">
        <w:t xml:space="preserve"> zapytanie o potrzeby </w:t>
      </w:r>
      <w:r w:rsidR="00FD3E2E">
        <w:t>informacyjne</w:t>
      </w:r>
      <w:r w:rsidR="00D5639C">
        <w:t xml:space="preserve"> -</w:t>
      </w:r>
      <w:r w:rsidR="00A14BCD" w:rsidRPr="00A14BCD">
        <w:t xml:space="preserve"> </w:t>
      </w:r>
      <w:r w:rsidR="00D5639C">
        <w:t xml:space="preserve">co </w:t>
      </w:r>
      <w:r w:rsidR="006445A9">
        <w:t>zapewnia</w:t>
      </w:r>
      <w:r w:rsidR="00D5639C">
        <w:t>, że</w:t>
      </w:r>
      <w:r w:rsidR="00FD3E2E">
        <w:t xml:space="preserve"> zakres szkoleń jest</w:t>
      </w:r>
      <w:r w:rsidR="00A14BCD" w:rsidRPr="00A14BCD">
        <w:t xml:space="preserve"> zgodn</w:t>
      </w:r>
      <w:r w:rsidR="00FD3E2E">
        <w:t>y</w:t>
      </w:r>
      <w:r w:rsidR="00A14BCD" w:rsidRPr="00A14BCD">
        <w:t xml:space="preserve"> z aktualnymi potrzebami. Każde szkolenie kończy się również ankietą</w:t>
      </w:r>
      <w:r w:rsidR="002B1678">
        <w:t xml:space="preserve">, w której można wskazać pożądaną </w:t>
      </w:r>
      <w:r w:rsidR="00A14BCD" w:rsidRPr="00A14BCD">
        <w:t>tematykę kolejnych szkoleń.</w:t>
      </w:r>
      <w:r w:rsidR="00D94929">
        <w:t xml:space="preserve"> </w:t>
      </w:r>
      <w:r w:rsidR="00D94929" w:rsidRPr="00D94929">
        <w:t>Ponadto, jest możliwość bieżącego konsultowania/wyjaśnienia wszelkich wątpliwości z zakresu zasad równościowych z Koordynatorką ds. KPP i zasad równościowych lub Dyrekcją Departamentu Zarządzania FEdKP.</w:t>
      </w:r>
    </w:p>
    <w:p w14:paraId="3CD9E1B8" w14:textId="281EF5C9" w:rsidR="00BB50C3" w:rsidRDefault="00D5639C" w:rsidP="000F022D">
      <w:r>
        <w:t xml:space="preserve">Mimo to, </w:t>
      </w:r>
      <w:r w:rsidR="00BB50C3">
        <w:t xml:space="preserve">warto zwrócić uwagę na opinie części uczestników wywiadów pogłębionych reprezentujących </w:t>
      </w:r>
      <w:r w:rsidR="000F022D">
        <w:t>IZ i IP FEdKP</w:t>
      </w:r>
      <w:r w:rsidR="00BB50C3">
        <w:t>, którzy wskazywali na potrzebę stałego rozwijania kompetencji i potencjału merytorycznego w zakresie znajomości różnych aspektów związanych z poszczególnymi zasadami horyzontalnymi</w:t>
      </w:r>
      <w:r w:rsidR="000F022D">
        <w:t xml:space="preserve"> (nie tylko kwestiami równościowymi)</w:t>
      </w:r>
      <w:r w:rsidR="00BB50C3">
        <w:t xml:space="preserve">. </w:t>
      </w:r>
      <w:r w:rsidR="00BB50C3">
        <w:rPr>
          <w:b/>
          <w:bCs/>
          <w:color w:val="0B0E9D" w:themeColor="accent1" w:themeShade="BF"/>
        </w:rPr>
        <w:t xml:space="preserve">Zalecenie: </w:t>
      </w:r>
      <w:r w:rsidR="00BB50C3">
        <w:t xml:space="preserve">Po pierwsze - prowadzenie cyklicznej analizy (np. w formie ankiet) zapotrzebowania ze strony pracowników </w:t>
      </w:r>
      <w:r w:rsidR="00BB50C3" w:rsidRPr="00351EA2">
        <w:t>UMWKP oraz IP (WUP i ZIT BydOF) zaangażowan</w:t>
      </w:r>
      <w:r w:rsidR="00BB50C3">
        <w:t>ych</w:t>
      </w:r>
      <w:r w:rsidR="00BB50C3" w:rsidRPr="00351EA2">
        <w:t xml:space="preserve"> w realizację FEdKP 2021-2027</w:t>
      </w:r>
      <w:r w:rsidR="00BB50C3">
        <w:t xml:space="preserve"> (w tym członków KOP) na szkolenia dotyczące </w:t>
      </w:r>
      <w:r w:rsidR="000F022D">
        <w:t xml:space="preserve">wszystkich </w:t>
      </w:r>
      <w:r w:rsidR="00BB50C3">
        <w:t>zasad horyzontalnych</w:t>
      </w:r>
      <w:r w:rsidR="003606ED">
        <w:t>. P</w:t>
      </w:r>
      <w:r w:rsidR="00BB50C3">
        <w:t xml:space="preserve">o drugie – prowadzenie szkoleń/ warsztatów praktycznych dla pracowników na temat interpretacji oraz </w:t>
      </w:r>
      <w:r w:rsidR="00BB50C3">
        <w:lastRenderedPageBreak/>
        <w:t>praktycznego stosowania wymagań odnoszących się do</w:t>
      </w:r>
      <w:r w:rsidR="00D80B37">
        <w:t xml:space="preserve"> poszczególnych</w:t>
      </w:r>
      <w:r w:rsidR="00BB50C3">
        <w:t xml:space="preserve"> zasad horyzontalnych</w:t>
      </w:r>
      <w:r w:rsidR="00D80B37">
        <w:t xml:space="preserve"> (zgodnie z wynikami ankiet)</w:t>
      </w:r>
      <w:r w:rsidR="00BB50C3">
        <w:t xml:space="preserve">. </w:t>
      </w:r>
      <w:r w:rsidR="006445A9">
        <w:t xml:space="preserve">Szkolenia takie mogłyby być prowadzone albo przez wybranych przedstawicieli UMWKP, albo przez przedstawicieli organizacji zewnętrznych działających w danym obszarze. </w:t>
      </w:r>
      <w:r w:rsidR="00BB50C3" w:rsidRPr="00E14A9E">
        <w:t xml:space="preserve">Wskazane jest, aby szkolenia były </w:t>
      </w:r>
      <w:r w:rsidR="00BB50C3">
        <w:t>co jakiś czas</w:t>
      </w:r>
      <w:r w:rsidR="00BB50C3" w:rsidRPr="00E14A9E">
        <w:t xml:space="preserve"> powtarzane ze względu na </w:t>
      </w:r>
      <w:r w:rsidR="00BB50C3">
        <w:t>zachodzące</w:t>
      </w:r>
      <w:r w:rsidR="00BB50C3" w:rsidRPr="00E14A9E">
        <w:t xml:space="preserve"> rotacje pracowników w instytucjach</w:t>
      </w:r>
      <w:r w:rsidR="00BB50C3">
        <w:t>. P</w:t>
      </w:r>
      <w:r w:rsidR="00BB50C3" w:rsidRPr="00E14A9E">
        <w:t xml:space="preserve">onadto </w:t>
      </w:r>
      <w:r w:rsidR="00BB50C3">
        <w:t xml:space="preserve">sami </w:t>
      </w:r>
      <w:r w:rsidR="00BB50C3" w:rsidRPr="00E14A9E">
        <w:t>pracownicy IZ i IP wskaz</w:t>
      </w:r>
      <w:r w:rsidR="00BB50C3">
        <w:t>ywali</w:t>
      </w:r>
      <w:r w:rsidR="00BB50C3" w:rsidRPr="00E14A9E">
        <w:t xml:space="preserve"> na potrzebę systematycznej aktualizacji wiedzy w zakresie zasad, jej ciągłego pogłębiania, w tym </w:t>
      </w:r>
      <w:r w:rsidR="007A2934" w:rsidRPr="00E14A9E">
        <w:t>p</w:t>
      </w:r>
      <w:r w:rsidR="007A2934">
        <w:t>rzedstawiania</w:t>
      </w:r>
      <w:r w:rsidR="0083535B" w:rsidRPr="00E14A9E">
        <w:t xml:space="preserve"> </w:t>
      </w:r>
      <w:r w:rsidR="00BB50C3" w:rsidRPr="00E14A9E">
        <w:t>praktycznych aspektów wdrażania zasad.</w:t>
      </w:r>
      <w:r w:rsidR="00BB50C3">
        <w:t xml:space="preserve"> </w:t>
      </w:r>
    </w:p>
    <w:p w14:paraId="0DB53347" w14:textId="01C485FE" w:rsidR="00BB50C3" w:rsidRPr="00AF783F" w:rsidRDefault="00BB50C3" w:rsidP="00BB50C3">
      <w:pPr>
        <w:spacing w:before="60" w:after="60" w:line="264" w:lineRule="auto"/>
        <w:rPr>
          <w:rFonts w:eastAsia="Times New Roman" w:cstheme="minorHAnsi"/>
          <w:color w:val="000000"/>
        </w:rPr>
      </w:pPr>
      <w:r w:rsidRPr="00277B42">
        <w:t>Analiza zg</w:t>
      </w:r>
      <w:r w:rsidR="00C933C5">
        <w:t>ro</w:t>
      </w:r>
      <w:r w:rsidRPr="00277B42">
        <w:t xml:space="preserve">madzonego materiału badawczego pozwala stwierdzić, że </w:t>
      </w:r>
      <w:r w:rsidRPr="00277B42">
        <w:rPr>
          <w:b/>
          <w:bCs/>
        </w:rPr>
        <w:t>zasady horyzontalne nie są czynnikiem zniechęcającym do aplikowania</w:t>
      </w:r>
      <w:r w:rsidRPr="00277B42">
        <w:t xml:space="preserve">, ale w dalszym ciągu stanowią wyzwanie dla wnioskodawców na etapie przygotowywania wniosków o dofinansowanie. </w:t>
      </w:r>
      <w:r w:rsidRPr="00277B42">
        <w:rPr>
          <w:rFonts w:eastAsia="Times New Roman" w:cstheme="minorHAnsi"/>
          <w:color w:val="000000"/>
        </w:rPr>
        <w:t xml:space="preserve">Z badania kryteriów i systemu wyboru projektów FEdKP 2021-2027 wynika, że część wnioskodawców ma trudności z rozumieniem zasad horyzontalnych, a także w konsekwencji z uzasadnieniem zgodności projektów z kryteriami horyzontalnymi. Trudności dotyczą przede wszystkim kwestii dostępności, zgodności z KPP i KPON czy zasadą DNSH. Mimo, że </w:t>
      </w:r>
      <w:r w:rsidRPr="00277B42">
        <w:t>IZ</w:t>
      </w:r>
      <w:r w:rsidR="00277B42" w:rsidRPr="00277B42">
        <w:t xml:space="preserve"> FEdKP 2021-2027</w:t>
      </w:r>
      <w:r w:rsidRPr="00277B42">
        <w:t xml:space="preserve"> na stronie </w:t>
      </w:r>
      <w:r w:rsidR="00BB76C0" w:rsidRPr="00BB76C0">
        <w:t>internetowej</w:t>
      </w:r>
      <w:r w:rsidRPr="00277B42">
        <w:t xml:space="preserve"> poświęconej FEdKP 2021- 2027 publikuje informacje przybliżające tematykę związaną z zasadami horyzontalnymi, organizuje też spotkania informacyjne i webinaria </w:t>
      </w:r>
      <w:r w:rsidR="00517073">
        <w:t>(</w:t>
      </w:r>
      <w:r w:rsidRPr="00277B42">
        <w:t>np. na temat zasad horyzontalnych</w:t>
      </w:r>
      <w:r w:rsidR="00517073">
        <w:t>)</w:t>
      </w:r>
      <w:r w:rsidRPr="00277B42">
        <w:t>, to wnioskodawcy w dalszym ciągu oczekują działań edukacyjnych (w tym przede wszystkim praktycznych wskazówek), które okażą się przydatne w procesie przygotowywania wniosków o dofinansowanie projektów z różnych obszarów wsparcia. Podobne wnioski dot. problemów w zrozumieniu i właściwym uwzględnieniu zasad horyzontalnych w projektach dotyczą także innych programów regionalnych. Z raportu dot. kryteriów i systemu wyboru projektów FE SL 2021-2027 także</w:t>
      </w:r>
      <w:r w:rsidR="00517073">
        <w:t xml:space="preserve"> </w:t>
      </w:r>
      <w:r w:rsidR="00517073" w:rsidRPr="00277B42">
        <w:t>wynika</w:t>
      </w:r>
      <w:r w:rsidRPr="00277B42">
        <w:t xml:space="preserve">, iż wnioskodawcy potrzebują wskazania konkretnych przykładów spełniania zasad horyzontalnych, ponieważ dokumenty z tym związane są dla nich przytłaczające i mało klarowne. </w:t>
      </w:r>
      <w:r w:rsidRPr="00277B42">
        <w:rPr>
          <w:rFonts w:eastAsia="Times New Roman" w:cstheme="minorHAnsi"/>
          <w:color w:val="000000"/>
        </w:rPr>
        <w:t xml:space="preserve">Warto podkreślić, że opisywane trudności – w ocenie przedstawicieli </w:t>
      </w:r>
      <w:r w:rsidRPr="00277B42">
        <w:t>UMWKP oraz IP (WUP i ZIT BydOF) zaangażowanych w realizację FEdKP 2021-2027 – w dalszym ciągu pozostają aktualne (świadczy o tym zarówno poziom zainteresowania wnioskodawców wszelkimi działaniami</w:t>
      </w:r>
      <w:r>
        <w:t xml:space="preserve"> informacyjnymi z tego obszaru, jak i wciąż istotna skala uwag</w:t>
      </w:r>
      <w:r w:rsidR="00AF783F">
        <w:t xml:space="preserve"> w tym zakresie</w:t>
      </w:r>
      <w:r>
        <w:t xml:space="preserve">, jakie formułują osoby </w:t>
      </w:r>
      <w:r w:rsidRPr="00AF783F">
        <w:t>oceniające składane WoD).</w:t>
      </w:r>
      <w:r w:rsidRPr="00AF783F">
        <w:rPr>
          <w:rFonts w:eastAsia="Times New Roman" w:cstheme="minorHAnsi"/>
          <w:color w:val="000000"/>
        </w:rPr>
        <w:t xml:space="preserve"> </w:t>
      </w:r>
      <w:r w:rsidRPr="00AF783F">
        <w:t xml:space="preserve">Autorzy raportu dotyczącego oceny kryteriów i systemu wyboru projektów FEdKP 2021-2027 słusznie zatem zarekomendowali: </w:t>
      </w:r>
      <w:r w:rsidRPr="00AF783F">
        <w:rPr>
          <w:rFonts w:eastAsia="Times New Roman" w:cstheme="minorHAnsi"/>
          <w:color w:val="000000"/>
        </w:rPr>
        <w:t>prowadzenie spotkań informacyjnych i szkoleń dla wnioskodawców; wprowadzenie do regulaminu wyboru projektów (wraz z załącznikami) opisów zasad horyzontalnych ułatwiających wnioskodawcom ich zrozumienie; rozbudowę podstrony Programu poświęconej zasadom horyzontalnym (np. na wzór strony poświęconej Adaptacji do zmian klimatu w okresie programowania 2021-2027 dla jednostek samorządu terytorialnego</w:t>
      </w:r>
      <w:r w:rsidRPr="00AF783F">
        <w:rPr>
          <w:rStyle w:val="Odwoanieprzypisudolnego"/>
          <w:rFonts w:eastAsia="Times New Roman" w:cstheme="minorHAnsi"/>
          <w:color w:val="000000"/>
        </w:rPr>
        <w:footnoteReference w:id="18"/>
      </w:r>
      <w:r w:rsidRPr="00AF783F">
        <w:rPr>
          <w:rFonts w:eastAsia="Times New Roman" w:cstheme="minorHAnsi"/>
          <w:color w:val="000000"/>
        </w:rPr>
        <w:t xml:space="preserve">) – ze wskazaniem dobrych praktyk w tym zakresie, z uwzględnieniem dokumentów </w:t>
      </w:r>
      <w:r w:rsidRPr="00AF783F">
        <w:rPr>
          <w:rFonts w:eastAsia="Times New Roman" w:cstheme="minorHAnsi"/>
          <w:color w:val="000000"/>
        </w:rPr>
        <w:lastRenderedPageBreak/>
        <w:t>strategicznych, publikacji, przewodników, poradników dotyczących zasad horyzontalnych, a także prezentacji ze spotkań informacyjnych. Potrzeba stworzenia katalogu dobrych praktyk realizacji zasad horyzontalnych w projektach</w:t>
      </w:r>
      <w:r w:rsidR="00C046EB">
        <w:rPr>
          <w:rFonts w:eastAsia="Times New Roman" w:cstheme="minorHAnsi"/>
          <w:color w:val="000000"/>
        </w:rPr>
        <w:t>,</w:t>
      </w:r>
      <w:r w:rsidRPr="00AF783F">
        <w:rPr>
          <w:rFonts w:eastAsia="Times New Roman" w:cstheme="minorHAnsi"/>
          <w:color w:val="000000"/>
        </w:rPr>
        <w:t xml:space="preserve"> w podziale na poszczególne obszary wsparcia</w:t>
      </w:r>
      <w:r w:rsidR="00C046EB">
        <w:rPr>
          <w:rFonts w:eastAsia="Times New Roman" w:cstheme="minorHAnsi"/>
          <w:color w:val="000000"/>
        </w:rPr>
        <w:t>,</w:t>
      </w:r>
      <w:r w:rsidRPr="00AF783F">
        <w:rPr>
          <w:rFonts w:eastAsia="Times New Roman" w:cstheme="minorHAnsi"/>
          <w:color w:val="000000"/>
        </w:rPr>
        <w:t xml:space="preserve"> wybrzmiewała także w innych badaniach prowadzonych w perspektywie 2021-2027</w:t>
      </w:r>
      <w:r w:rsidRPr="00AF783F">
        <w:rPr>
          <w:rStyle w:val="Odwoanieprzypisudolnego"/>
          <w:rFonts w:eastAsia="Arial" w:cstheme="minorHAnsi"/>
          <w:color w:val="000000" w:themeColor="text1"/>
        </w:rPr>
        <w:footnoteReference w:id="19"/>
      </w:r>
      <w:r w:rsidRPr="00AF783F">
        <w:rPr>
          <w:rFonts w:eastAsia="Times New Roman" w:cstheme="minorHAnsi"/>
          <w:color w:val="000000"/>
        </w:rPr>
        <w:t>.</w:t>
      </w:r>
    </w:p>
    <w:p w14:paraId="4FECD4AE" w14:textId="3250D9C1" w:rsidR="00D7044D" w:rsidRDefault="00BB50C3" w:rsidP="00D7044D">
      <w:r>
        <w:t xml:space="preserve">W naszej ocenie warto także </w:t>
      </w:r>
      <w:r w:rsidR="00637A61">
        <w:t>bardz</w:t>
      </w:r>
      <w:r w:rsidR="007B2EAA">
        <w:t>iej promować/ eksponować</w:t>
      </w:r>
      <w:r w:rsidR="00C046EB">
        <w:t>,</w:t>
      </w:r>
      <w:r>
        <w:t xml:space="preserve"> stworzony przez </w:t>
      </w:r>
      <w:r w:rsidRPr="009030A6">
        <w:t>Kujawsko-Pomorski</w:t>
      </w:r>
      <w:r>
        <w:t>e</w:t>
      </w:r>
      <w:r w:rsidRPr="009030A6">
        <w:t xml:space="preserve"> Biur</w:t>
      </w:r>
      <w:r>
        <w:t xml:space="preserve">o </w:t>
      </w:r>
      <w:r w:rsidRPr="009030A6">
        <w:t>Planowania Przestrzennego i Regionalnego we Włocławku</w:t>
      </w:r>
      <w:r>
        <w:t xml:space="preserve">, </w:t>
      </w:r>
      <w:r w:rsidR="0072602F">
        <w:t xml:space="preserve">dokument </w:t>
      </w:r>
      <w:r>
        <w:t>dotyczący o</w:t>
      </w:r>
      <w:r w:rsidRPr="0090247E">
        <w:t>cen</w:t>
      </w:r>
      <w:r>
        <w:t>y</w:t>
      </w:r>
      <w:r w:rsidRPr="0090247E">
        <w:t xml:space="preserve"> zgodności z zasadą „nie czyń poważnych szkód” (DNSH)</w:t>
      </w:r>
      <w:r>
        <w:rPr>
          <w:rStyle w:val="Odwoanieprzypisudolnego"/>
        </w:rPr>
        <w:footnoteReference w:id="20"/>
      </w:r>
      <w:r>
        <w:t xml:space="preserve">. </w:t>
      </w:r>
      <w:r w:rsidR="00C647CB">
        <w:t xml:space="preserve">Obejmuje on </w:t>
      </w:r>
      <w:r>
        <w:t>wszystki</w:t>
      </w:r>
      <w:r w:rsidR="00C647CB">
        <w:t>e</w:t>
      </w:r>
      <w:r>
        <w:t xml:space="preserve"> </w:t>
      </w:r>
      <w:r w:rsidR="00C647CB" w:rsidRPr="000A4167">
        <w:t>zakres</w:t>
      </w:r>
      <w:r w:rsidR="00C647CB">
        <w:t>y</w:t>
      </w:r>
      <w:r w:rsidR="00C647CB" w:rsidRPr="000A4167">
        <w:t xml:space="preserve"> </w:t>
      </w:r>
      <w:r w:rsidRPr="000A4167">
        <w:t xml:space="preserve">wsparcia </w:t>
      </w:r>
      <w:r w:rsidR="00C647CB" w:rsidRPr="000A4167">
        <w:t>zawart</w:t>
      </w:r>
      <w:r w:rsidR="00C647CB">
        <w:t>e</w:t>
      </w:r>
      <w:r w:rsidR="00C647CB" w:rsidRPr="000A4167">
        <w:t xml:space="preserve"> </w:t>
      </w:r>
      <w:r w:rsidRPr="000A4167">
        <w:t xml:space="preserve">w projekcie </w:t>
      </w:r>
      <w:r w:rsidR="006445A9">
        <w:t>P</w:t>
      </w:r>
      <w:r w:rsidRPr="000A4167">
        <w:t>rogramu Fundusze Europejskie dla Kujaw i Pomorza</w:t>
      </w:r>
      <w:r w:rsidR="00776243">
        <w:t xml:space="preserve"> </w:t>
      </w:r>
      <w:r w:rsidRPr="000A4167">
        <w:t>na lata 2021-2027</w:t>
      </w:r>
      <w:r>
        <w:t xml:space="preserve">. </w:t>
      </w:r>
      <w:r w:rsidR="00CE7AE4">
        <w:t>W chwili obecnej aktywny link do tego dokumen</w:t>
      </w:r>
      <w:r w:rsidR="00C00B7E">
        <w:t>tu umieszczany jest w opisie kryterium horyzontalnego „</w:t>
      </w:r>
      <w:r w:rsidR="00C00B7E" w:rsidRPr="00C00B7E">
        <w:t>Zgodność projektu z zasadą zrównoważonego rozwoju</w:t>
      </w:r>
      <w:r w:rsidR="00C00B7E">
        <w:t xml:space="preserve">”. </w:t>
      </w:r>
      <w:r w:rsidR="00D073A0">
        <w:t>Analogiczny link można byłoby</w:t>
      </w:r>
      <w:r w:rsidR="00854F86">
        <w:t xml:space="preserve"> umieścić np. w regulaminie</w:t>
      </w:r>
      <w:r w:rsidR="004E275A">
        <w:t xml:space="preserve"> wyboru.</w:t>
      </w:r>
      <w:r w:rsidR="00854F86">
        <w:t xml:space="preserve"> </w:t>
      </w:r>
    </w:p>
    <w:p w14:paraId="24E9E335" w14:textId="67FDC8D6" w:rsidR="00A37B86" w:rsidRDefault="00A37B86" w:rsidP="00E13A52">
      <w:pPr>
        <w:pStyle w:val="Nagwek2"/>
        <w:spacing w:before="240" w:after="120"/>
        <w:rPr>
          <w:rFonts w:cstheme="minorHAnsi"/>
        </w:rPr>
      </w:pPr>
      <w:bookmarkStart w:id="7" w:name="_Toc208593140"/>
      <w:r w:rsidRPr="00A37B86">
        <w:rPr>
          <w:rFonts w:cstheme="minorHAnsi"/>
        </w:rPr>
        <w:t xml:space="preserve">Przyczyny </w:t>
      </w:r>
      <w:r w:rsidR="00956527" w:rsidRPr="00A37B86">
        <w:rPr>
          <w:rFonts w:cstheme="minorHAnsi"/>
        </w:rPr>
        <w:t>niskie</w:t>
      </w:r>
      <w:r w:rsidR="00956527">
        <w:rPr>
          <w:rFonts w:cstheme="minorHAnsi"/>
        </w:rPr>
        <w:t>j</w:t>
      </w:r>
      <w:r w:rsidR="00956527" w:rsidRPr="00A37B86">
        <w:rPr>
          <w:rFonts w:cstheme="minorHAnsi"/>
        </w:rPr>
        <w:t xml:space="preserve"> </w:t>
      </w:r>
      <w:r w:rsidR="00956527">
        <w:rPr>
          <w:rFonts w:cstheme="minorHAnsi"/>
        </w:rPr>
        <w:t xml:space="preserve">skuteczności </w:t>
      </w:r>
      <w:r w:rsidR="001D3F87">
        <w:rPr>
          <w:rFonts w:cstheme="minorHAnsi"/>
        </w:rPr>
        <w:t>naborów</w:t>
      </w:r>
      <w:bookmarkEnd w:id="7"/>
    </w:p>
    <w:p w14:paraId="779408F6" w14:textId="4D060706" w:rsidR="008B45B9" w:rsidRDefault="004A3437" w:rsidP="00A37B86">
      <w:pPr>
        <w:pStyle w:val="Nagwek3"/>
      </w:pPr>
      <w:bookmarkStart w:id="8" w:name="_Toc208593141"/>
      <w:r>
        <w:t>Wprowadzenie</w:t>
      </w:r>
      <w:bookmarkEnd w:id="8"/>
    </w:p>
    <w:p w14:paraId="5363BE41" w14:textId="196349C5" w:rsidR="002B0EB8" w:rsidRDefault="002B0EB8" w:rsidP="008B45B9">
      <w:r>
        <w:t xml:space="preserve">W tym rozdziale </w:t>
      </w:r>
      <w:r w:rsidR="002C358F">
        <w:t xml:space="preserve">przedstawiamy </w:t>
      </w:r>
      <w:r w:rsidR="001F1F27">
        <w:t xml:space="preserve">analizy i wnioski </w:t>
      </w:r>
      <w:r w:rsidR="00A3690E">
        <w:t xml:space="preserve">dotyczące przyczyn </w:t>
      </w:r>
      <w:r w:rsidR="00C84E98">
        <w:t xml:space="preserve">niskiej skuteczności </w:t>
      </w:r>
      <w:r w:rsidR="00A3690E">
        <w:t>nabor</w:t>
      </w:r>
      <w:r w:rsidR="00C84E98">
        <w:t>ów</w:t>
      </w:r>
      <w:r w:rsidR="00A3690E">
        <w:t xml:space="preserve"> objęt</w:t>
      </w:r>
      <w:r w:rsidR="00C84E98">
        <w:t>ych</w:t>
      </w:r>
      <w:r w:rsidR="00A3690E">
        <w:t xml:space="preserve"> zakresem przedmiotowego badania</w:t>
      </w:r>
      <w:r w:rsidR="004C1296">
        <w:t xml:space="preserve">. Zebrane informacje pozwoliły nam na wyodrębnienie </w:t>
      </w:r>
      <w:r w:rsidR="002B0706">
        <w:t xml:space="preserve">trzech głównych obszarów analizy i to te obszary stały się podstawą do </w:t>
      </w:r>
      <w:r w:rsidR="002834C4">
        <w:t>zaproponowanego w rozdziale układu treści.</w:t>
      </w:r>
    </w:p>
    <w:p w14:paraId="7218EDA1" w14:textId="38AE129B" w:rsidR="002834C4" w:rsidRDefault="002834C4" w:rsidP="008B45B9">
      <w:r>
        <w:t xml:space="preserve">W pierwszej kolejności </w:t>
      </w:r>
      <w:r w:rsidR="005305AE">
        <w:t xml:space="preserve">omawiamy zatem </w:t>
      </w:r>
      <w:r w:rsidR="005305AE" w:rsidRPr="00264A59">
        <w:rPr>
          <w:b/>
          <w:bCs/>
        </w:rPr>
        <w:t>specyfikę polityki terytorialnej wdrażanej w ramach FEdKP 2021-2027</w:t>
      </w:r>
      <w:r w:rsidR="00A24EAA">
        <w:t xml:space="preserve">. W tym podrozdziale skupiliśmy się wyłącznie na kwestiach </w:t>
      </w:r>
      <w:r w:rsidR="001D0F82">
        <w:t>bezpośrednio związanych z polityką terytorialną, tj.:</w:t>
      </w:r>
      <w:r w:rsidR="00F67DCF">
        <w:t xml:space="preserve"> </w:t>
      </w:r>
      <w:r w:rsidR="000335D3">
        <w:t>przewidzianej</w:t>
      </w:r>
      <w:r w:rsidR="00F67DCF">
        <w:t xml:space="preserve"> alokacji i zasadach jej podziału</w:t>
      </w:r>
      <w:r w:rsidR="009972BB">
        <w:t>;</w:t>
      </w:r>
      <w:r w:rsidR="00F67DCF">
        <w:t xml:space="preserve"> </w:t>
      </w:r>
      <w:r w:rsidR="000335D3">
        <w:t xml:space="preserve">możliwych </w:t>
      </w:r>
      <w:r w:rsidR="00F67DCF">
        <w:t>obszarach wsparcia</w:t>
      </w:r>
      <w:r w:rsidR="009972BB">
        <w:t>;</w:t>
      </w:r>
      <w:r w:rsidR="000335D3">
        <w:t xml:space="preserve"> przygotowywaniu</w:t>
      </w:r>
      <w:r w:rsidR="005832A7">
        <w:t xml:space="preserve"> i</w:t>
      </w:r>
      <w:r w:rsidR="0016382B">
        <w:t xml:space="preserve"> zatwierdzaniu strategii terytorialnych oraz zawieraniu porozumień terytorialnych</w:t>
      </w:r>
      <w:r w:rsidR="005832A7">
        <w:t>, w tym współpracy i komunikacji w ramach partnerstw</w:t>
      </w:r>
      <w:r w:rsidR="0016382B">
        <w:t xml:space="preserve">; identyfikacji i przygotowywaniu </w:t>
      </w:r>
      <w:r w:rsidR="005832A7">
        <w:t>przedsięwzięć priorytetowych (fiszek projektowych)</w:t>
      </w:r>
      <w:r w:rsidR="00264A59">
        <w:t>. Wszystkie te kwestie były analizowane pod kątem ich wpływu na skuteczność analizowanych naborów.</w:t>
      </w:r>
    </w:p>
    <w:p w14:paraId="5E400D4E" w14:textId="1E091A8D" w:rsidR="005462B3" w:rsidRDefault="005462B3" w:rsidP="005462B3">
      <w:pPr>
        <w:rPr>
          <w:rFonts w:cstheme="minorHAnsi"/>
          <w:szCs w:val="20"/>
        </w:rPr>
      </w:pPr>
      <w:r>
        <w:t xml:space="preserve">Następnie analizie poddaliśmy </w:t>
      </w:r>
      <w:r w:rsidRPr="00C34331">
        <w:rPr>
          <w:b/>
          <w:bCs/>
        </w:rPr>
        <w:t>specyfikę niekonkurencyjnego</w:t>
      </w:r>
      <w:r>
        <w:rPr>
          <w:b/>
          <w:bCs/>
        </w:rPr>
        <w:t xml:space="preserve"> sposobu wyboru projektów</w:t>
      </w:r>
      <w:r>
        <w:t xml:space="preserve">, w tym wybrane konkretne nabory, które okazały się z różnych powodów nieskuteczne. Pod uwagę wzięliśmy zarówno przyjęte procedury/ rozwiązania </w:t>
      </w:r>
      <w:r w:rsidRPr="00560A8A">
        <w:rPr>
          <w:rFonts w:cstheme="minorHAnsi"/>
          <w:szCs w:val="20"/>
        </w:rPr>
        <w:t>naboru i wyboru projektów niekonkurencyjnych</w:t>
      </w:r>
      <w:r>
        <w:rPr>
          <w:rFonts w:cstheme="minorHAnsi"/>
          <w:szCs w:val="20"/>
        </w:rPr>
        <w:t xml:space="preserve">, jak i proces identyfikowania i przygotowywania projektów, w tym wniosków o dofinansowanie - w podrozdziale zwróciłyśmy uwagę na kwestie budzące wątpliwości i będące źródłem trudności zarówno dla wnioskodawców, jak i UMWKP (w tym IZ FEdKP 2021-2027). Analizie </w:t>
      </w:r>
      <w:r>
        <w:rPr>
          <w:rFonts w:cstheme="minorHAnsi"/>
          <w:szCs w:val="20"/>
        </w:rPr>
        <w:lastRenderedPageBreak/>
        <w:t>poddaliśmy także przyczyny nieskładania lub wycofywania złożonych wniosków w naborach objętych badaniem – po to by móc ocenić, czy są to przyczyny systemowe (proceduralne), czy przede wszystkim indywidualne.</w:t>
      </w:r>
    </w:p>
    <w:p w14:paraId="20C1ADE8" w14:textId="25A9F9EB" w:rsidR="00D0149B" w:rsidRPr="008B45B9" w:rsidRDefault="00D0149B" w:rsidP="00D0149B">
      <w:r>
        <w:rPr>
          <w:rFonts w:cstheme="minorHAnsi"/>
          <w:szCs w:val="20"/>
        </w:rPr>
        <w:t xml:space="preserve">W ostatnim podrozdziale analizie poddaliśmy </w:t>
      </w:r>
      <w:r w:rsidRPr="00E611C9">
        <w:rPr>
          <w:rFonts w:cstheme="minorHAnsi"/>
          <w:b/>
          <w:bCs/>
          <w:szCs w:val="20"/>
        </w:rPr>
        <w:t xml:space="preserve">wszystkie inne kwestie mające wpływ na skuteczność </w:t>
      </w:r>
      <w:r w:rsidR="005462B3">
        <w:rPr>
          <w:rFonts w:cstheme="minorHAnsi"/>
          <w:b/>
          <w:bCs/>
          <w:szCs w:val="20"/>
        </w:rPr>
        <w:t xml:space="preserve">konkurencyjnych sposobów </w:t>
      </w:r>
      <w:r w:rsidR="00CD6645">
        <w:rPr>
          <w:rFonts w:cstheme="minorHAnsi"/>
          <w:b/>
          <w:bCs/>
          <w:szCs w:val="20"/>
        </w:rPr>
        <w:t>wy</w:t>
      </w:r>
      <w:r w:rsidR="005462B3">
        <w:rPr>
          <w:rFonts w:cstheme="minorHAnsi"/>
          <w:b/>
          <w:bCs/>
          <w:szCs w:val="20"/>
        </w:rPr>
        <w:t>boru</w:t>
      </w:r>
      <w:r w:rsidR="005462B3" w:rsidRPr="00E611C9">
        <w:rPr>
          <w:rFonts w:cstheme="minorHAnsi"/>
          <w:b/>
          <w:bCs/>
          <w:szCs w:val="20"/>
        </w:rPr>
        <w:t xml:space="preserve"> </w:t>
      </w:r>
      <w:r w:rsidRPr="00E611C9">
        <w:rPr>
          <w:rFonts w:cstheme="minorHAnsi"/>
          <w:b/>
          <w:bCs/>
          <w:szCs w:val="20"/>
        </w:rPr>
        <w:t>– niezależnie czy są to nabory prowadzone w ramach polityki terytorialnej czy poza nią</w:t>
      </w:r>
      <w:r>
        <w:rPr>
          <w:rFonts w:cstheme="minorHAnsi"/>
          <w:szCs w:val="20"/>
        </w:rPr>
        <w:t xml:space="preserve"> (w trakcie badania okazało się bowiem, że sporo przyczyn niskiej skuteczności naborów jest wspólne). W tym przypadku pod uwagę wzięliśmy: </w:t>
      </w:r>
      <w:r w:rsidRPr="00647FC6">
        <w:rPr>
          <w:rFonts w:cstheme="minorHAnsi"/>
          <w:szCs w:val="20"/>
        </w:rPr>
        <w:t>dostępność informacji o naborach i działa</w:t>
      </w:r>
      <w:r>
        <w:rPr>
          <w:rFonts w:cstheme="minorHAnsi"/>
          <w:szCs w:val="20"/>
        </w:rPr>
        <w:t xml:space="preserve">nia </w:t>
      </w:r>
      <w:r w:rsidRPr="00647FC6">
        <w:rPr>
          <w:rFonts w:cstheme="minorHAnsi"/>
          <w:szCs w:val="20"/>
        </w:rPr>
        <w:t>informacyjno-promocyjn</w:t>
      </w:r>
      <w:r>
        <w:rPr>
          <w:rFonts w:cstheme="minorHAnsi"/>
          <w:szCs w:val="20"/>
        </w:rPr>
        <w:t xml:space="preserve">e oraz szkoleniowe; harmonogram naborów – rozłożenie naborów w czasie; czas trwania naborów; typy projektów możliwe do realizacji; jakość dokumentacji naborów; system kryteriów wyboru; systemy informatyczne; potencjał wnioskodawców; alternatywne źródła wsparcia; uwarunkowania prawne. </w:t>
      </w:r>
    </w:p>
    <w:p w14:paraId="30E64781" w14:textId="17151594" w:rsidR="009C4136" w:rsidRPr="008B45B9" w:rsidRDefault="00D0149B" w:rsidP="008B45B9">
      <w:r>
        <w:rPr>
          <w:rFonts w:cstheme="minorHAnsi"/>
          <w:szCs w:val="20"/>
        </w:rPr>
        <w:t xml:space="preserve">W każdym z tych podrozdziałów </w:t>
      </w:r>
      <w:r w:rsidR="000C67CC" w:rsidRPr="00683C4F">
        <w:rPr>
          <w:rFonts w:cstheme="minorHAnsi"/>
          <w:b/>
          <w:bCs/>
          <w:szCs w:val="20"/>
        </w:rPr>
        <w:t>zwróciliśmy</w:t>
      </w:r>
      <w:r w:rsidRPr="00683C4F">
        <w:rPr>
          <w:rFonts w:cstheme="minorHAnsi"/>
          <w:b/>
          <w:bCs/>
          <w:szCs w:val="20"/>
        </w:rPr>
        <w:t xml:space="preserve"> uwagę zarówno na czynniki wewnętrzne</w:t>
      </w:r>
      <w:r>
        <w:rPr>
          <w:rFonts w:cstheme="minorHAnsi"/>
          <w:szCs w:val="20"/>
        </w:rPr>
        <w:t xml:space="preserve"> (związane z systemem wdrażania FEdKP 2021-2027), </w:t>
      </w:r>
      <w:r w:rsidRPr="00683C4F">
        <w:rPr>
          <w:rFonts w:cstheme="minorHAnsi"/>
          <w:b/>
          <w:bCs/>
          <w:szCs w:val="20"/>
        </w:rPr>
        <w:t>jak i zewnętrzne</w:t>
      </w:r>
      <w:r w:rsidR="00E611C9">
        <w:rPr>
          <w:rFonts w:cstheme="minorHAnsi"/>
          <w:szCs w:val="20"/>
        </w:rPr>
        <w:t xml:space="preserve"> </w:t>
      </w:r>
      <w:r>
        <w:rPr>
          <w:rFonts w:cstheme="minorHAnsi"/>
          <w:szCs w:val="20"/>
        </w:rPr>
        <w:t>(niezależne od tego systemu</w:t>
      </w:r>
      <w:r w:rsidR="000C67CC">
        <w:rPr>
          <w:rFonts w:cstheme="minorHAnsi"/>
          <w:szCs w:val="20"/>
        </w:rPr>
        <w:t xml:space="preserve"> – np. uwarunkowania prawne, potencjał wnioskodawców, czynniki polityczne, itp.). </w:t>
      </w:r>
      <w:r w:rsidR="000C67CC" w:rsidRPr="00683C4F">
        <w:rPr>
          <w:rFonts w:cstheme="minorHAnsi"/>
          <w:b/>
          <w:bCs/>
          <w:szCs w:val="20"/>
        </w:rPr>
        <w:t xml:space="preserve">Rozdział kończy się podsumowaniem w formie </w:t>
      </w:r>
      <w:r w:rsidR="00683C4F" w:rsidRPr="00683C4F">
        <w:rPr>
          <w:rFonts w:cstheme="minorHAnsi"/>
          <w:b/>
          <w:bCs/>
          <w:szCs w:val="20"/>
        </w:rPr>
        <w:t>tabelarycznej</w:t>
      </w:r>
      <w:r w:rsidR="000C67CC">
        <w:rPr>
          <w:rFonts w:cstheme="minorHAnsi"/>
          <w:szCs w:val="20"/>
        </w:rPr>
        <w:t xml:space="preserve">, w której </w:t>
      </w:r>
      <w:r w:rsidR="00683C4F">
        <w:rPr>
          <w:rFonts w:cstheme="minorHAnsi"/>
          <w:szCs w:val="20"/>
        </w:rPr>
        <w:t>w sposób syntetyczny wskazujemy główne przyczyny zewnętrzne i wewnętrzne w podziale na omawiane trzy obszary.</w:t>
      </w:r>
    </w:p>
    <w:p w14:paraId="6DCEA5C8" w14:textId="7DB002FF" w:rsidR="0007100C" w:rsidRPr="008570E4" w:rsidRDefault="00281E9D" w:rsidP="00A37B86">
      <w:pPr>
        <w:pStyle w:val="Nagwek3"/>
      </w:pPr>
      <w:bookmarkStart w:id="9" w:name="_Toc208593142"/>
      <w:r w:rsidRPr="00281E9D">
        <w:t>Wpływ specyfiki polityki terytorialnej na skuteczność naborów</w:t>
      </w:r>
      <w:bookmarkEnd w:id="9"/>
    </w:p>
    <w:p w14:paraId="3C3E2B28" w14:textId="390CE6CE" w:rsidR="00F640D7" w:rsidRDefault="00F640D7" w:rsidP="00F640D7">
      <w:pPr>
        <w:rPr>
          <w:rFonts w:cstheme="minorHAnsi"/>
        </w:rPr>
      </w:pPr>
      <w:r w:rsidRPr="0070578D">
        <w:rPr>
          <w:rFonts w:cstheme="minorHAnsi"/>
        </w:rPr>
        <w:t>Jak wskaza</w:t>
      </w:r>
      <w:r>
        <w:rPr>
          <w:rFonts w:cstheme="minorHAnsi"/>
        </w:rPr>
        <w:t>liśmy</w:t>
      </w:r>
      <w:r w:rsidRPr="0070578D">
        <w:rPr>
          <w:rFonts w:cstheme="minorHAnsi"/>
        </w:rPr>
        <w:t xml:space="preserve"> w rozdziale 4.1, </w:t>
      </w:r>
      <w:r w:rsidRPr="0070578D">
        <w:rPr>
          <w:rFonts w:cstheme="minorHAnsi"/>
          <w:b/>
          <w:bCs/>
        </w:rPr>
        <w:t>ponad połowa z naborów objętych badaniem (27 z 47) była realizowana w ramach instrumentu terytorialnego</w:t>
      </w:r>
      <w:r w:rsidRPr="0070578D">
        <w:rPr>
          <w:rFonts w:cstheme="minorHAnsi"/>
        </w:rPr>
        <w:t xml:space="preserve">: 12 naborów w ramach ZIT, 11 naborów w ramach OPPT, 4 nabory dotyczyły </w:t>
      </w:r>
      <w:r w:rsidR="00DD46CF">
        <w:rPr>
          <w:rFonts w:cstheme="minorHAnsi"/>
        </w:rPr>
        <w:t xml:space="preserve">ZIT </w:t>
      </w:r>
      <w:r w:rsidR="009B1046">
        <w:rPr>
          <w:rFonts w:cstheme="minorHAnsi"/>
        </w:rPr>
        <w:t>BydOF</w:t>
      </w:r>
      <w:r w:rsidRPr="0070578D">
        <w:rPr>
          <w:rFonts w:cstheme="minorHAnsi"/>
        </w:rPr>
        <w:t xml:space="preserve">. Wszystkie nabory w ramach instrumentów terytorialnych odbywały się w </w:t>
      </w:r>
      <w:r w:rsidR="00BD6196">
        <w:rPr>
          <w:rFonts w:cstheme="minorHAnsi"/>
        </w:rPr>
        <w:t>ramach</w:t>
      </w:r>
      <w:r w:rsidR="00BD6196" w:rsidRPr="0070578D">
        <w:rPr>
          <w:rFonts w:cstheme="minorHAnsi"/>
        </w:rPr>
        <w:t xml:space="preserve"> konkurencyjn</w:t>
      </w:r>
      <w:r w:rsidR="00BD6196">
        <w:rPr>
          <w:rFonts w:cstheme="minorHAnsi"/>
        </w:rPr>
        <w:t>ego sposobu wyboru projektów</w:t>
      </w:r>
      <w:r w:rsidR="00BD6196" w:rsidRPr="0070578D">
        <w:rPr>
          <w:rFonts w:cstheme="minorHAnsi"/>
        </w:rPr>
        <w:t>.</w:t>
      </w:r>
      <w:r w:rsidRPr="0070578D">
        <w:rPr>
          <w:rFonts w:cstheme="minorHAnsi"/>
        </w:rPr>
        <w:t xml:space="preserve"> Zdecydowana większość w ramach EFRR – jedynie dwa w ramach EFS+, a dotyczyły instrumentu ZIT.</w:t>
      </w:r>
      <w:r>
        <w:rPr>
          <w:rFonts w:cstheme="minorHAnsi"/>
        </w:rPr>
        <w:t xml:space="preserve"> Okoliczności te spowodowały, że szczególną uwagę zwróciliśmy na uwarunkowania polityki terytorialnej – analizując</w:t>
      </w:r>
      <w:r w:rsidR="00BA2637">
        <w:rPr>
          <w:rFonts w:cstheme="minorHAnsi"/>
        </w:rPr>
        <w:t xml:space="preserve">, </w:t>
      </w:r>
      <w:r>
        <w:rPr>
          <w:rFonts w:cstheme="minorHAnsi"/>
        </w:rPr>
        <w:t xml:space="preserve">czy i jaki wpływ </w:t>
      </w:r>
      <w:r w:rsidR="00BA2637">
        <w:rPr>
          <w:rFonts w:cstheme="minorHAnsi"/>
        </w:rPr>
        <w:t>mogły</w:t>
      </w:r>
      <w:r>
        <w:rPr>
          <w:rFonts w:cstheme="minorHAnsi"/>
        </w:rPr>
        <w:t xml:space="preserve"> one</w:t>
      </w:r>
      <w:r w:rsidR="00BA2637">
        <w:rPr>
          <w:rFonts w:cstheme="minorHAnsi"/>
        </w:rPr>
        <w:t xml:space="preserve"> mieć</w:t>
      </w:r>
      <w:r>
        <w:rPr>
          <w:rFonts w:cstheme="minorHAnsi"/>
        </w:rPr>
        <w:t xml:space="preserve"> na zidentyfikowaną niską skuteczność tych 27 naborów.</w:t>
      </w:r>
      <w:r w:rsidRPr="0070578D">
        <w:rPr>
          <w:rFonts w:cstheme="minorHAnsi"/>
        </w:rPr>
        <w:t xml:space="preserve"> </w:t>
      </w:r>
    </w:p>
    <w:p w14:paraId="380A7473" w14:textId="77777777" w:rsidR="00F640D7" w:rsidRPr="008B0229" w:rsidRDefault="00F640D7" w:rsidP="00F640D7">
      <w:pPr>
        <w:rPr>
          <w:rFonts w:cstheme="minorHAnsi"/>
          <w:b/>
          <w:bCs/>
          <w:color w:val="640B68" w:themeColor="accent3" w:themeShade="BF"/>
        </w:rPr>
      </w:pPr>
      <w:r w:rsidRPr="008B0229">
        <w:rPr>
          <w:rFonts w:cstheme="minorHAnsi"/>
          <w:b/>
          <w:bCs/>
          <w:color w:val="640B68" w:themeColor="accent3" w:themeShade="BF"/>
        </w:rPr>
        <w:t>Alokacja i obszary wsparcia</w:t>
      </w:r>
    </w:p>
    <w:p w14:paraId="04222E3B" w14:textId="77777777" w:rsidR="00F640D7" w:rsidRDefault="00F640D7" w:rsidP="00F640D7">
      <w:pPr>
        <w:rPr>
          <w:rFonts w:cstheme="minorHAnsi"/>
        </w:rPr>
      </w:pPr>
      <w:r>
        <w:rPr>
          <w:rFonts w:cstheme="minorHAnsi"/>
        </w:rPr>
        <w:t>W dokumencie regulującym politykę terytorialną w województwie kujawsko-pomorskim</w:t>
      </w:r>
      <w:r>
        <w:rPr>
          <w:rStyle w:val="Odwoanieprzypisudolnego"/>
          <w:rFonts w:cstheme="minorHAnsi"/>
        </w:rPr>
        <w:footnoteReference w:id="21"/>
      </w:r>
      <w:r>
        <w:rPr>
          <w:rFonts w:cstheme="minorHAnsi"/>
        </w:rPr>
        <w:t xml:space="preserve"> wskazano, że – bazując na doświadczeniach z perspektywy 2014-2020 – na politykę terytorialną w ramach FEdKP 2021-2027 przyznano w sumie 23,65% </w:t>
      </w:r>
      <w:r>
        <w:rPr>
          <w:rFonts w:cstheme="minorHAnsi"/>
        </w:rPr>
        <w:lastRenderedPageBreak/>
        <w:t>alokacji (bez środków RLKS). Podziału środków na poszczególne instrumenty terytorialne dokonano stosując zasadę per capita (podział na jednego mieszkańca)</w:t>
      </w:r>
      <w:r w:rsidR="00BC6C72">
        <w:rPr>
          <w:rStyle w:val="Odwoanieprzypisudolnego"/>
          <w:rFonts w:cstheme="minorHAnsi"/>
        </w:rPr>
        <w:footnoteReference w:id="22"/>
      </w:r>
      <w:r>
        <w:rPr>
          <w:rFonts w:cstheme="minorHAnsi"/>
        </w:rPr>
        <w:t xml:space="preserve">. </w:t>
      </w:r>
    </w:p>
    <w:p w14:paraId="2E5447BB" w14:textId="77777777" w:rsidR="00F640D7" w:rsidRDefault="00F640D7" w:rsidP="00F640D7">
      <w:pPr>
        <w:rPr>
          <w:rFonts w:cstheme="minorHAnsi"/>
        </w:rPr>
      </w:pPr>
      <w:r>
        <w:rPr>
          <w:rFonts w:cstheme="minorHAnsi"/>
        </w:rPr>
        <w:t>Z pozyskanych od JST</w:t>
      </w:r>
      <w:r>
        <w:rPr>
          <w:rStyle w:val="Odwoanieprzypisudolnego"/>
          <w:rFonts w:cstheme="minorHAnsi"/>
        </w:rPr>
        <w:footnoteReference w:id="23"/>
      </w:r>
      <w:r>
        <w:rPr>
          <w:rFonts w:cstheme="minorHAnsi"/>
        </w:rPr>
        <w:t xml:space="preserve"> informacji wynika, że analogiczne rozwiązanie (zasada per capita) w zakresie podziału alokacji przyjęto także na poziomie partnerstw. Rozmówcy uznawali taką zasadę za najbardziej obiektywną i sprawiedliwą, a dodatkowo zgodną ze sposobem określania wysokości </w:t>
      </w:r>
      <w:r w:rsidR="008874B2">
        <w:rPr>
          <w:rFonts w:cstheme="minorHAnsi"/>
        </w:rPr>
        <w:t xml:space="preserve">ewentualnych </w:t>
      </w:r>
      <w:r>
        <w:rPr>
          <w:rFonts w:cstheme="minorHAnsi"/>
        </w:rPr>
        <w:t>składek członkowski</w:t>
      </w:r>
      <w:r w:rsidR="009E1DCB">
        <w:rPr>
          <w:rFonts w:cstheme="minorHAnsi"/>
        </w:rPr>
        <w:t>ch</w:t>
      </w:r>
      <w:r w:rsidR="008874B2">
        <w:rPr>
          <w:rFonts w:cstheme="minorHAnsi"/>
        </w:rPr>
        <w:t>.</w:t>
      </w:r>
    </w:p>
    <w:p w14:paraId="7250908C" w14:textId="064AFC21" w:rsidR="00BD6196" w:rsidRDefault="00BD6196" w:rsidP="00BD6196">
      <w:pPr>
        <w:rPr>
          <w:rFonts w:cstheme="minorHAnsi"/>
        </w:rPr>
      </w:pPr>
      <w:r>
        <w:rPr>
          <w:rFonts w:cstheme="minorHAnsi"/>
        </w:rPr>
        <w:t xml:space="preserve">Przedstawiciele </w:t>
      </w:r>
      <w:r w:rsidRPr="00351EA2">
        <w:t>UMWKP oraz IP ZIT BydOF zaangażowan</w:t>
      </w:r>
      <w:r>
        <w:t xml:space="preserve">i </w:t>
      </w:r>
      <w:r w:rsidRPr="00351EA2">
        <w:t>w realizację FEdKP 2021-2027</w:t>
      </w:r>
      <w:r>
        <w:t xml:space="preserve"> przyznawali – podczas wywiadów – że co prawda łączna pula środków na politykę terytorialną może wydawać się dość wysoka, jednak nie jest to w żaden sposób czynnik wpływający na niską skuteczność naborów</w:t>
      </w:r>
      <w:r w:rsidRPr="00077CA0">
        <w:rPr>
          <w:rStyle w:val="Odwoanieprzypisudolnego"/>
        </w:rPr>
        <w:footnoteReference w:id="24"/>
      </w:r>
      <w:r w:rsidRPr="00854041">
        <w:t xml:space="preserve"> </w:t>
      </w:r>
      <w:r>
        <w:t xml:space="preserve">objętych przedmiotowym badaniem. Potwierdzają to także opinie JST (członków/liderów partnerstw). Jak pokazuje wykres poniżej, 49% badanych oceniło, że dostępna alokacja nie do końca była adekwatna do </w:t>
      </w:r>
      <w:r w:rsidRPr="00B577C1">
        <w:t xml:space="preserve">rzeczywistych potrzeb i możliwości realizacyjnych </w:t>
      </w:r>
      <w:r>
        <w:t>JST. Z tej grupy badanych (n=33), aż 88% przyznało właśnie, że środków jest nadal zbyt mało względem realnych potrzeb inwestycyjnych</w:t>
      </w:r>
      <w:r>
        <w:rPr>
          <w:rStyle w:val="Odwoanieprzypisudolnego"/>
        </w:rPr>
        <w:footnoteReference w:id="25"/>
      </w:r>
      <w:r>
        <w:t xml:space="preserve">. Wyniki te oznaczają zatem, że </w:t>
      </w:r>
      <w:r w:rsidRPr="00353772">
        <w:rPr>
          <w:b/>
          <w:bCs/>
        </w:rPr>
        <w:t xml:space="preserve">niska skuteczność części naborów w ramach polityki terytorialnej </w:t>
      </w:r>
      <w:r>
        <w:rPr>
          <w:b/>
          <w:bCs/>
        </w:rPr>
        <w:t xml:space="preserve">z pewnością </w:t>
      </w:r>
      <w:r w:rsidRPr="00353772">
        <w:rPr>
          <w:b/>
          <w:bCs/>
        </w:rPr>
        <w:t xml:space="preserve">nie </w:t>
      </w:r>
      <w:r>
        <w:rPr>
          <w:b/>
          <w:bCs/>
        </w:rPr>
        <w:t>miała związku</w:t>
      </w:r>
      <w:r w:rsidRPr="00353772">
        <w:rPr>
          <w:b/>
          <w:bCs/>
        </w:rPr>
        <w:t xml:space="preserve"> z </w:t>
      </w:r>
      <w:r>
        <w:rPr>
          <w:b/>
          <w:bCs/>
        </w:rPr>
        <w:t xml:space="preserve">wysokością przeznaczonych </w:t>
      </w:r>
      <w:r w:rsidRPr="00353772">
        <w:rPr>
          <w:b/>
          <w:bCs/>
        </w:rPr>
        <w:t>środków finansowych</w:t>
      </w:r>
      <w:r>
        <w:t>.</w:t>
      </w:r>
    </w:p>
    <w:p w14:paraId="17C62CDE" w14:textId="64B181DC" w:rsidR="00F640D7" w:rsidRDefault="00F640D7" w:rsidP="00F640D7">
      <w:pPr>
        <w:pStyle w:val="Legenda"/>
      </w:pPr>
      <w:r>
        <w:t xml:space="preserve">Wykres </w:t>
      </w:r>
      <w:fldSimple w:instr=" SEQ Wykres \* ARABIC ">
        <w:r w:rsidR="00541DFA">
          <w:rPr>
            <w:noProof/>
          </w:rPr>
          <w:t>1</w:t>
        </w:r>
      </w:fldSimple>
      <w:r>
        <w:t xml:space="preserve"> Ocena adekwatności wysokości alokacji </w:t>
      </w:r>
      <w:r w:rsidRPr="00367C70">
        <w:t>do rzeczywistych potrzeb i możliwości realizacyjnych</w:t>
      </w:r>
      <w:r>
        <w:t xml:space="preserve"> wnioskodawców </w:t>
      </w:r>
      <w:r w:rsidRPr="00367C70">
        <w:t>w ramach polityki terytorialnej</w:t>
      </w:r>
    </w:p>
    <w:p w14:paraId="28B40A9B" w14:textId="77777777" w:rsidR="00BD6196" w:rsidRDefault="00BD6196" w:rsidP="00BD6196">
      <w:pPr>
        <w:spacing w:before="0" w:after="0"/>
        <w:rPr>
          <w:rFonts w:cstheme="minorHAnsi"/>
        </w:rPr>
      </w:pPr>
      <w:r>
        <w:rPr>
          <w:noProof/>
        </w:rPr>
        <w:drawing>
          <wp:inline distT="0" distB="0" distL="0" distR="0" wp14:anchorId="139E6436" wp14:editId="5C6C22F6">
            <wp:extent cx="5719445" cy="1494790"/>
            <wp:effectExtent l="0" t="0" r="14605" b="10160"/>
            <wp:docPr id="154483474" name="Wykres 1" descr="Wykres Ocena adekwatności wysokości alokacji do rzeczywistych potrzeb i możliwości realizacyjnych wnioskodawców w ramach polityki terytorialnej&#10;Wykres przedstawia odpowiedzi na pytanie kwestionariusza: Czy Państwa zdaniem dostępna alokacja środków w ramach polityki terytorialnej jest adekwatna do rzeczywistych potrzeb i możliwości realizacyjnych Państwa samorządu?&#10;Tak - 9,0%&#10;Raczej tak - 32,8%&#10;Raczej nie - 34,3%&#10;Nie - 14,9%&#10;Nie wiem/trudno powiedzieć - 9,0%">
              <a:extLst xmlns:a="http://schemas.openxmlformats.org/drawingml/2006/main">
                <a:ext uri="{FF2B5EF4-FFF2-40B4-BE49-F238E27FC236}">
                  <a16:creationId xmlns:a16="http://schemas.microsoft.com/office/drawing/2014/main" id="{569D6579-7839-6ADA-341D-3B7A11920C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E079A80" w14:textId="628669AC" w:rsidR="00BD6196" w:rsidRDefault="00BD6196" w:rsidP="005A2787">
      <w:pPr>
        <w:pStyle w:val="rdo"/>
      </w:pPr>
      <w:r>
        <w:t xml:space="preserve">Źródło: </w:t>
      </w:r>
      <w:r w:rsidRPr="00EE7E76">
        <w:t>CAWI/CATI z wnioskodawcami FEdKP 2021-2027, n=</w:t>
      </w:r>
      <w:r>
        <w:t>67</w:t>
      </w:r>
      <w:r w:rsidRPr="00EE7E76">
        <w:t>. Odpowiedź na pytanie: „</w:t>
      </w:r>
      <w:r w:rsidRPr="0068070F">
        <w:t xml:space="preserve">Czy Państwa zdaniem dostępna alokacja środków w ramach polityki </w:t>
      </w:r>
      <w:r w:rsidRPr="0068070F">
        <w:lastRenderedPageBreak/>
        <w:t>terytorialnej jest adekwatna do rzeczywistych potrzeb i możliwości realizacyjnych Państwa samorządu?</w:t>
      </w:r>
      <w:r>
        <w:t xml:space="preserve">”. </w:t>
      </w:r>
    </w:p>
    <w:p w14:paraId="24BEF133" w14:textId="120EED5C" w:rsidR="00BD6196" w:rsidRDefault="00BD6196" w:rsidP="00BD6196">
      <w:pPr>
        <w:rPr>
          <w:rFonts w:cstheme="minorHAnsi"/>
        </w:rPr>
      </w:pPr>
      <w:r>
        <w:rPr>
          <w:rFonts w:cstheme="minorHAnsi"/>
          <w:b/>
          <w:bCs/>
        </w:rPr>
        <w:t>„Problemem”</w:t>
      </w:r>
      <w:r w:rsidRPr="00353772">
        <w:rPr>
          <w:rFonts w:cstheme="minorHAnsi"/>
          <w:b/>
          <w:bCs/>
        </w:rPr>
        <w:t xml:space="preserve"> okazały się za to </w:t>
      </w:r>
      <w:r>
        <w:rPr>
          <w:rFonts w:cstheme="minorHAnsi"/>
          <w:b/>
          <w:bCs/>
        </w:rPr>
        <w:t xml:space="preserve">niektóre </w:t>
      </w:r>
      <w:r w:rsidRPr="00353772">
        <w:rPr>
          <w:rFonts w:cstheme="minorHAnsi"/>
          <w:b/>
          <w:bCs/>
        </w:rPr>
        <w:t>obszary wsparcia, jakie zostały uwzględnione w ramach polityki terytorialnej</w:t>
      </w:r>
      <w:r>
        <w:rPr>
          <w:rFonts w:cstheme="minorHAnsi"/>
        </w:rPr>
        <w:t xml:space="preserve">. Generalna opinia na temat adekwatności tych obszarów do potrzeb i możliwości JST w ramach polityki terytorialnej jest oczywiście pozytywna. Pewne zastrzeżenia budził jednak szeroki zakres deklarowanych potrzeb przez poszczególne JST, a co za tym idzie – całe partnerstwa OPPT/ZIT. Zdaniem części uczestników wywiadów pogłębionych, powszechna była praktyka identyfikowania i przedkładania fiszek projektowych na przedsięwzięcia w każdym możliwym obszarze wsparcia – tak, by niejako „zabezpieczyć” całą przydzieloną alokację na dane partnerstwo oraz daną JST i w pewnym stopniu licząc też na to, że w przyszłości możliwe będzie zastąpienie takiej fiszki innym projektem (z obszaru w większym stopniu odpowiadającego realnym potrzebom). Analiza zgromadzonych informacji (przede wszystkim jakościowych) pozwala bowiem zidentyfikować obszary wsparcia, na które ostatecznie zabrakło realnego zapotrzebowania wśród wnioskodawców lub zapotrzebowanie okazało się dużo niższe, niż wynikałoby to z listy projektów zidentyfikowanych na etapie zatwierdzania porozumień i strategii terytorialnych. </w:t>
      </w:r>
    </w:p>
    <w:p w14:paraId="4C37FD0E" w14:textId="284B05BA" w:rsidR="00BD6196" w:rsidRDefault="00BD6196" w:rsidP="00BD6196">
      <w:pPr>
        <w:rPr>
          <w:rFonts w:cstheme="minorHAnsi"/>
        </w:rPr>
      </w:pPr>
      <w:r>
        <w:rPr>
          <w:rFonts w:cstheme="minorHAnsi"/>
        </w:rPr>
        <w:t>Przykładem najczęściej przywoływanym w wywiadach</w:t>
      </w:r>
      <w:r>
        <w:rPr>
          <w:rStyle w:val="Odwoanieprzypisudolnego"/>
          <w:rFonts w:cstheme="minorHAnsi"/>
        </w:rPr>
        <w:footnoteReference w:id="26"/>
      </w:r>
      <w:r>
        <w:rPr>
          <w:rFonts w:cstheme="minorHAnsi"/>
        </w:rPr>
        <w:t xml:space="preserve"> był </w:t>
      </w:r>
      <w:r w:rsidRPr="00405AF7">
        <w:rPr>
          <w:rFonts w:cstheme="minorHAnsi"/>
          <w:b/>
          <w:bCs/>
        </w:rPr>
        <w:t>obszar „wsparcie MŚP”</w:t>
      </w:r>
      <w:r>
        <w:rPr>
          <w:rFonts w:cstheme="minorHAnsi"/>
        </w:rPr>
        <w:t>. W ramach dwóch naborów objętych przedmiotowym badaniem</w:t>
      </w:r>
      <w:r>
        <w:rPr>
          <w:rStyle w:val="Odwoanieprzypisudolnego"/>
          <w:rFonts w:cstheme="minorHAnsi"/>
        </w:rPr>
        <w:footnoteReference w:id="27"/>
      </w:r>
      <w:r>
        <w:rPr>
          <w:rFonts w:cstheme="minorHAnsi"/>
        </w:rPr>
        <w:t xml:space="preserve"> zaplanowano dofinansowanie </w:t>
      </w:r>
      <w:r w:rsidRPr="00BA23C7">
        <w:rPr>
          <w:rFonts w:cstheme="minorHAnsi"/>
        </w:rPr>
        <w:t>projekt</w:t>
      </w:r>
      <w:r>
        <w:rPr>
          <w:rFonts w:cstheme="minorHAnsi"/>
        </w:rPr>
        <w:t>ów</w:t>
      </w:r>
      <w:r w:rsidRPr="00BA23C7">
        <w:rPr>
          <w:rFonts w:cstheme="minorHAnsi"/>
        </w:rPr>
        <w:t xml:space="preserve"> dotycząc</w:t>
      </w:r>
      <w:r>
        <w:rPr>
          <w:rFonts w:cstheme="minorHAnsi"/>
        </w:rPr>
        <w:t>ych</w:t>
      </w:r>
      <w:r w:rsidRPr="00BA23C7">
        <w:rPr>
          <w:rFonts w:cstheme="minorHAnsi"/>
        </w:rPr>
        <w:t xml:space="preserve"> wsparcia infrastruktury biznesowej (np.: centra biznesowe, centra demonstracyjne, inkubatory przedsiębiorczości, biura typu co-</w:t>
      </w:r>
      <w:proofErr w:type="spellStart"/>
      <w:r w:rsidRPr="00BA23C7">
        <w:rPr>
          <w:rFonts w:cstheme="minorHAnsi"/>
        </w:rPr>
        <w:t>working</w:t>
      </w:r>
      <w:proofErr w:type="spellEnd"/>
      <w:r w:rsidRPr="00BA23C7">
        <w:rPr>
          <w:rFonts w:cstheme="minorHAnsi"/>
        </w:rPr>
        <w:t xml:space="preserve"> </w:t>
      </w:r>
      <w:proofErr w:type="spellStart"/>
      <w:r w:rsidRPr="00BA23C7">
        <w:rPr>
          <w:rFonts w:cstheme="minorHAnsi"/>
        </w:rPr>
        <w:t>space</w:t>
      </w:r>
      <w:proofErr w:type="spellEnd"/>
      <w:r w:rsidRPr="00BA23C7">
        <w:rPr>
          <w:rFonts w:cstheme="minorHAnsi"/>
        </w:rPr>
        <w:t xml:space="preserve">, </w:t>
      </w:r>
      <w:proofErr w:type="spellStart"/>
      <w:r w:rsidRPr="00BA23C7">
        <w:rPr>
          <w:rFonts w:cstheme="minorHAnsi"/>
        </w:rPr>
        <w:t>fab</w:t>
      </w:r>
      <w:proofErr w:type="spellEnd"/>
      <w:r w:rsidRPr="00BA23C7">
        <w:rPr>
          <w:rFonts w:cstheme="minorHAnsi"/>
        </w:rPr>
        <w:t xml:space="preserve"> </w:t>
      </w:r>
      <w:proofErr w:type="spellStart"/>
      <w:r w:rsidRPr="00BA23C7">
        <w:rPr>
          <w:rFonts w:cstheme="minorHAnsi"/>
        </w:rPr>
        <w:t>labs</w:t>
      </w:r>
      <w:proofErr w:type="spellEnd"/>
      <w:r w:rsidRPr="00BA23C7">
        <w:rPr>
          <w:rFonts w:cstheme="minorHAnsi"/>
        </w:rPr>
        <w:t xml:space="preserve">, czy też </w:t>
      </w:r>
      <w:proofErr w:type="spellStart"/>
      <w:r w:rsidRPr="00BA23C7">
        <w:rPr>
          <w:rFonts w:cstheme="minorHAnsi"/>
        </w:rPr>
        <w:t>living</w:t>
      </w:r>
      <w:proofErr w:type="spellEnd"/>
      <w:r w:rsidRPr="00BA23C7">
        <w:rPr>
          <w:rFonts w:cstheme="minorHAnsi"/>
        </w:rPr>
        <w:t xml:space="preserve"> </w:t>
      </w:r>
      <w:proofErr w:type="spellStart"/>
      <w:r w:rsidRPr="00BA23C7">
        <w:rPr>
          <w:rFonts w:cstheme="minorHAnsi"/>
        </w:rPr>
        <w:t>labs</w:t>
      </w:r>
      <w:proofErr w:type="spellEnd"/>
      <w:r w:rsidRPr="00BA23C7">
        <w:rPr>
          <w:rFonts w:cstheme="minorHAnsi"/>
        </w:rPr>
        <w:t>), w tym powstawani</w:t>
      </w:r>
      <w:r>
        <w:rPr>
          <w:rFonts w:cstheme="minorHAnsi"/>
        </w:rPr>
        <w:t>a</w:t>
      </w:r>
      <w:r w:rsidRPr="00BA23C7">
        <w:rPr>
          <w:rFonts w:cstheme="minorHAnsi"/>
        </w:rPr>
        <w:t xml:space="preserve"> platform współpracy oraz rozwoju ośrodków wspierających przedsiębiorczość</w:t>
      </w:r>
      <w:r>
        <w:rPr>
          <w:rFonts w:cstheme="minorHAnsi"/>
        </w:rPr>
        <w:t>. N</w:t>
      </w:r>
      <w:r w:rsidRPr="009770EF">
        <w:rPr>
          <w:rFonts w:cstheme="minorHAnsi"/>
        </w:rPr>
        <w:t xml:space="preserve">a etapie planowania </w:t>
      </w:r>
      <w:r>
        <w:rPr>
          <w:rFonts w:cstheme="minorHAnsi"/>
        </w:rPr>
        <w:t xml:space="preserve">porozumień i </w:t>
      </w:r>
      <w:r w:rsidRPr="009770EF">
        <w:rPr>
          <w:rFonts w:cstheme="minorHAnsi"/>
        </w:rPr>
        <w:t xml:space="preserve">strategii </w:t>
      </w:r>
      <w:r>
        <w:rPr>
          <w:rFonts w:cstheme="minorHAnsi"/>
        </w:rPr>
        <w:t xml:space="preserve">terytorialnych </w:t>
      </w:r>
      <w:r w:rsidRPr="009770EF">
        <w:rPr>
          <w:rFonts w:cstheme="minorHAnsi"/>
        </w:rPr>
        <w:t>częś</w:t>
      </w:r>
      <w:r>
        <w:rPr>
          <w:rFonts w:cstheme="minorHAnsi"/>
        </w:rPr>
        <w:t>ć</w:t>
      </w:r>
      <w:r w:rsidRPr="009770EF">
        <w:rPr>
          <w:rFonts w:cstheme="minorHAnsi"/>
        </w:rPr>
        <w:t xml:space="preserve"> partnerstw włączył</w:t>
      </w:r>
      <w:r>
        <w:rPr>
          <w:rFonts w:cstheme="minorHAnsi"/>
        </w:rPr>
        <w:t>o</w:t>
      </w:r>
      <w:r w:rsidRPr="009770EF">
        <w:rPr>
          <w:rFonts w:cstheme="minorHAnsi"/>
        </w:rPr>
        <w:t xml:space="preserve"> ten obszar do </w:t>
      </w:r>
      <w:r>
        <w:rPr>
          <w:rFonts w:cstheme="minorHAnsi"/>
        </w:rPr>
        <w:t>zakresu</w:t>
      </w:r>
      <w:r w:rsidRPr="009770EF">
        <w:rPr>
          <w:rFonts w:cstheme="minorHAnsi"/>
        </w:rPr>
        <w:t xml:space="preserve"> przedsięwzięć, ale z perspektywy czasu okazało się, że nie ciesz</w:t>
      </w:r>
      <w:r>
        <w:rPr>
          <w:rFonts w:cstheme="minorHAnsi"/>
        </w:rPr>
        <w:t>ą</w:t>
      </w:r>
      <w:r w:rsidRPr="009770EF">
        <w:rPr>
          <w:rFonts w:cstheme="minorHAnsi"/>
        </w:rPr>
        <w:t xml:space="preserve"> się on</w:t>
      </w:r>
      <w:r>
        <w:rPr>
          <w:rFonts w:cstheme="minorHAnsi"/>
        </w:rPr>
        <w:t>e dostatecznym</w:t>
      </w:r>
      <w:r w:rsidRPr="009770EF">
        <w:rPr>
          <w:rFonts w:cstheme="minorHAnsi"/>
        </w:rPr>
        <w:t xml:space="preserve"> zainteresowaniem. W jednym z ZIT regionalnych zidentyfikowano projekty inkubatorów, lecz w trakcie naboru żaden wniosek nie został złożony</w:t>
      </w:r>
      <w:r>
        <w:rPr>
          <w:rFonts w:cstheme="minorHAnsi"/>
        </w:rPr>
        <w:t>. Jak wynika z wypowiedzi różnych badanych – wynikało to z ponownej analizy potrzeb/ możliwości</w:t>
      </w:r>
      <w:r w:rsidRPr="009770EF">
        <w:rPr>
          <w:rFonts w:cstheme="minorHAnsi"/>
        </w:rPr>
        <w:t xml:space="preserve"> i</w:t>
      </w:r>
      <w:r>
        <w:rPr>
          <w:rFonts w:cstheme="minorHAnsi"/>
        </w:rPr>
        <w:t xml:space="preserve"> stwierdzenia, że</w:t>
      </w:r>
      <w:r w:rsidRPr="009770EF">
        <w:rPr>
          <w:rFonts w:cstheme="minorHAnsi"/>
        </w:rPr>
        <w:t xml:space="preserve"> lepiej</w:t>
      </w:r>
      <w:r>
        <w:rPr>
          <w:rFonts w:cstheme="minorHAnsi"/>
        </w:rPr>
        <w:t xml:space="preserve"> byłoby</w:t>
      </w:r>
      <w:r w:rsidRPr="009770EF">
        <w:rPr>
          <w:rFonts w:cstheme="minorHAnsi"/>
        </w:rPr>
        <w:t xml:space="preserve"> przesunąć </w:t>
      </w:r>
      <w:r>
        <w:rPr>
          <w:rFonts w:cstheme="minorHAnsi"/>
        </w:rPr>
        <w:t xml:space="preserve">przewidziane </w:t>
      </w:r>
      <w:r w:rsidRPr="009770EF">
        <w:rPr>
          <w:rFonts w:cstheme="minorHAnsi"/>
        </w:rPr>
        <w:t xml:space="preserve">środki </w:t>
      </w:r>
      <w:r>
        <w:rPr>
          <w:rFonts w:cstheme="minorHAnsi"/>
        </w:rPr>
        <w:t>na projekty z innych obszarów</w:t>
      </w:r>
      <w:r w:rsidRPr="009770EF">
        <w:rPr>
          <w:rFonts w:cstheme="minorHAnsi"/>
        </w:rPr>
        <w:t xml:space="preserve">. W </w:t>
      </w:r>
      <w:r>
        <w:rPr>
          <w:rFonts w:cstheme="minorHAnsi"/>
        </w:rPr>
        <w:t>części</w:t>
      </w:r>
      <w:r w:rsidRPr="009770EF">
        <w:rPr>
          <w:rFonts w:cstheme="minorHAnsi"/>
        </w:rPr>
        <w:t xml:space="preserve"> partnerstw już </w:t>
      </w:r>
      <w:r>
        <w:rPr>
          <w:rFonts w:cstheme="minorHAnsi"/>
        </w:rPr>
        <w:t>na etapie</w:t>
      </w:r>
      <w:r w:rsidRPr="009770EF">
        <w:rPr>
          <w:rFonts w:cstheme="minorHAnsi"/>
        </w:rPr>
        <w:t xml:space="preserve"> </w:t>
      </w:r>
      <w:r>
        <w:rPr>
          <w:rFonts w:cstheme="minorHAnsi"/>
        </w:rPr>
        <w:t>identyfikowania projektów</w:t>
      </w:r>
      <w:r w:rsidRPr="009770EF">
        <w:rPr>
          <w:rFonts w:cstheme="minorHAnsi"/>
        </w:rPr>
        <w:t xml:space="preserve"> </w:t>
      </w:r>
      <w:r>
        <w:rPr>
          <w:rFonts w:cstheme="minorHAnsi"/>
        </w:rPr>
        <w:t>stwierdzono</w:t>
      </w:r>
      <w:r w:rsidRPr="009770EF">
        <w:rPr>
          <w:rFonts w:cstheme="minorHAnsi"/>
        </w:rPr>
        <w:t xml:space="preserve"> brak </w:t>
      </w:r>
      <w:r>
        <w:rPr>
          <w:rFonts w:cstheme="minorHAnsi"/>
        </w:rPr>
        <w:t>zainteresowania</w:t>
      </w:r>
      <w:r w:rsidRPr="009770EF">
        <w:rPr>
          <w:rFonts w:cstheme="minorHAnsi"/>
        </w:rPr>
        <w:t xml:space="preserve"> działa</w:t>
      </w:r>
      <w:r>
        <w:rPr>
          <w:rFonts w:cstheme="minorHAnsi"/>
        </w:rPr>
        <w:t>niami</w:t>
      </w:r>
      <w:r w:rsidRPr="009770EF">
        <w:rPr>
          <w:rFonts w:cstheme="minorHAnsi"/>
        </w:rPr>
        <w:t xml:space="preserve"> pro-biznesowy</w:t>
      </w:r>
      <w:r>
        <w:rPr>
          <w:rFonts w:cstheme="minorHAnsi"/>
        </w:rPr>
        <w:t>mi</w:t>
      </w:r>
      <w:r w:rsidRPr="009770EF">
        <w:rPr>
          <w:rFonts w:cstheme="minorHAnsi"/>
        </w:rPr>
        <w:t>. W efekcie</w:t>
      </w:r>
      <w:r>
        <w:rPr>
          <w:rFonts w:cstheme="minorHAnsi"/>
        </w:rPr>
        <w:t>,</w:t>
      </w:r>
      <w:r w:rsidRPr="009770EF">
        <w:rPr>
          <w:rFonts w:cstheme="minorHAnsi"/>
        </w:rPr>
        <w:t xml:space="preserve"> w</w:t>
      </w:r>
      <w:r>
        <w:rPr>
          <w:rFonts w:cstheme="minorHAnsi"/>
        </w:rPr>
        <w:t xml:space="preserve"> takich</w:t>
      </w:r>
      <w:r w:rsidRPr="009770EF">
        <w:rPr>
          <w:rFonts w:cstheme="minorHAnsi"/>
        </w:rPr>
        <w:t xml:space="preserve"> </w:t>
      </w:r>
      <w:r>
        <w:rPr>
          <w:rFonts w:cstheme="minorHAnsi"/>
        </w:rPr>
        <w:t xml:space="preserve">porozumieniach i </w:t>
      </w:r>
      <w:r w:rsidRPr="009770EF">
        <w:rPr>
          <w:rFonts w:cstheme="minorHAnsi"/>
        </w:rPr>
        <w:t>strategi</w:t>
      </w:r>
      <w:r>
        <w:rPr>
          <w:rFonts w:cstheme="minorHAnsi"/>
        </w:rPr>
        <w:t>ach</w:t>
      </w:r>
      <w:r w:rsidRPr="009770EF">
        <w:rPr>
          <w:rFonts w:cstheme="minorHAnsi"/>
        </w:rPr>
        <w:t xml:space="preserve"> </w:t>
      </w:r>
      <w:r>
        <w:rPr>
          <w:rFonts w:cstheme="minorHAnsi"/>
        </w:rPr>
        <w:t xml:space="preserve">nie </w:t>
      </w:r>
      <w:r w:rsidRPr="009770EF">
        <w:rPr>
          <w:rFonts w:cstheme="minorHAnsi"/>
        </w:rPr>
        <w:t xml:space="preserve">wydzielono lub </w:t>
      </w:r>
      <w:r>
        <w:rPr>
          <w:rFonts w:cstheme="minorHAnsi"/>
        </w:rPr>
        <w:t xml:space="preserve">wydzielono </w:t>
      </w:r>
      <w:r w:rsidRPr="009770EF">
        <w:rPr>
          <w:rFonts w:cstheme="minorHAnsi"/>
        </w:rPr>
        <w:t>minimalną pulę środków na przedsiębiorczość</w:t>
      </w:r>
      <w:r>
        <w:rPr>
          <w:rFonts w:cstheme="minorHAnsi"/>
        </w:rPr>
        <w:t xml:space="preserve"> –</w:t>
      </w:r>
      <w:r w:rsidRPr="009770EF">
        <w:rPr>
          <w:rFonts w:cstheme="minorHAnsi"/>
        </w:rPr>
        <w:t xml:space="preserve"> koncentrując fundusze na inn</w:t>
      </w:r>
      <w:r>
        <w:rPr>
          <w:rFonts w:cstheme="minorHAnsi"/>
        </w:rPr>
        <w:t>ych</w:t>
      </w:r>
      <w:r w:rsidRPr="009770EF">
        <w:rPr>
          <w:rFonts w:cstheme="minorHAnsi"/>
        </w:rPr>
        <w:t xml:space="preserve"> cel</w:t>
      </w:r>
      <w:r>
        <w:rPr>
          <w:rFonts w:cstheme="minorHAnsi"/>
        </w:rPr>
        <w:t>ach</w:t>
      </w:r>
      <w:r w:rsidRPr="009770EF">
        <w:rPr>
          <w:rFonts w:cstheme="minorHAnsi"/>
        </w:rPr>
        <w:t>.</w:t>
      </w:r>
      <w:r>
        <w:rPr>
          <w:rFonts w:cstheme="minorHAnsi"/>
        </w:rPr>
        <w:t xml:space="preserve"> Brak składania wniosków na tego typu projekty mógł być także wynikiem warunków wsparcia i wymogów zewnętrznych (przede wszystkim ze strony KE), które nie były znane na etapie identyfikowania projektów i przygotowywania </w:t>
      </w:r>
      <w:r>
        <w:rPr>
          <w:rFonts w:cstheme="minorHAnsi"/>
        </w:rPr>
        <w:lastRenderedPageBreak/>
        <w:t>porozumień oraz strategii terytorialnych</w:t>
      </w:r>
      <w:r w:rsidRPr="009770EF">
        <w:rPr>
          <w:rFonts w:cstheme="minorHAnsi"/>
        </w:rPr>
        <w:t>.</w:t>
      </w:r>
      <w:r>
        <w:rPr>
          <w:rFonts w:cstheme="minorHAnsi"/>
        </w:rPr>
        <w:t xml:space="preserve"> Do takich okoliczności można zaliczyć np. kwestie związane z pomocą publiczną, konieczność osiągnięcia odpowiednej wartości wskaźnika rezultatu dotyczącego liczby wspartych przedsiębiorstw czy obowiązek monitorowania powstałych inkubatorów aż przez 40 lat</w:t>
      </w:r>
      <w:r>
        <w:rPr>
          <w:rStyle w:val="Odwoanieprzypisudolnego"/>
          <w:rFonts w:cstheme="minorHAnsi"/>
        </w:rPr>
        <w:footnoteReference w:id="28"/>
      </w:r>
      <w:r>
        <w:rPr>
          <w:rFonts w:cstheme="minorHAnsi"/>
        </w:rPr>
        <w:t>.</w:t>
      </w:r>
    </w:p>
    <w:p w14:paraId="1AF3DF86" w14:textId="612785FD" w:rsidR="00BD6196" w:rsidRDefault="00BD6196" w:rsidP="00BD6196">
      <w:pPr>
        <w:rPr>
          <w:rFonts w:cstheme="minorHAnsi"/>
        </w:rPr>
      </w:pPr>
      <w:r>
        <w:rPr>
          <w:rFonts w:cstheme="minorHAnsi"/>
        </w:rPr>
        <w:t xml:space="preserve">Drugim obszarem wsparcia wskazywanym jako mniej trafny, był </w:t>
      </w:r>
      <w:r w:rsidRPr="001E26AE">
        <w:rPr>
          <w:rFonts w:cstheme="minorHAnsi"/>
          <w:b/>
          <w:bCs/>
        </w:rPr>
        <w:t>obszar „adaptacja do zmian klimatu”</w:t>
      </w:r>
      <w:r>
        <w:rPr>
          <w:rFonts w:cstheme="minorHAnsi"/>
        </w:rPr>
        <w:t>. W ramach trzech naborów objętych przedmiotowym badaniem</w:t>
      </w:r>
      <w:r>
        <w:rPr>
          <w:rStyle w:val="Odwoanieprzypisudolnego"/>
          <w:rFonts w:cstheme="minorHAnsi"/>
        </w:rPr>
        <w:footnoteReference w:id="29"/>
      </w:r>
      <w:r>
        <w:rPr>
          <w:rFonts w:cstheme="minorHAnsi"/>
        </w:rPr>
        <w:t xml:space="preserve"> dofinansowywano przede wszystkim </w:t>
      </w:r>
      <w:r w:rsidRPr="00C70DE0">
        <w:rPr>
          <w:rFonts w:cstheme="minorHAnsi"/>
        </w:rPr>
        <w:t>działania w zakresie adaptacji do zmian klimatu w miastach i innych obszarach zurbanizowanych, ukierunkowane na zapobieganie i ograniczenie skutków ekstremalnych zjawisk klimatycznych.</w:t>
      </w:r>
      <w:r>
        <w:rPr>
          <w:rFonts w:cstheme="minorHAnsi"/>
        </w:rPr>
        <w:t xml:space="preserve"> W ocenie różnych uczestników wywiadów pogłębionych, problem polegał na tym, że władze różnych JST w pierwszym okresie wdrażania nie traktowały projektów z tego obszaru wsparcia jako priorytetowe. Podkreślić należy jednak, że zainteresowanie to z czasem poprawiło się – władze JST w większym stopniu zaczęły rozumieć znaczenie takich inwestycji.</w:t>
      </w:r>
    </w:p>
    <w:p w14:paraId="18D2DE91" w14:textId="773901C4" w:rsidR="00BD6196" w:rsidRDefault="00BD6196" w:rsidP="00BD6196">
      <w:pPr>
        <w:rPr>
          <w:rFonts w:cstheme="minorHAnsi"/>
        </w:rPr>
      </w:pPr>
      <w:r w:rsidRPr="008777E6">
        <w:rPr>
          <w:rFonts w:cstheme="minorHAnsi"/>
          <w:b/>
          <w:bCs/>
        </w:rPr>
        <w:t>Trzecim obszarem problemowym</w:t>
      </w:r>
      <w:r>
        <w:rPr>
          <w:rFonts w:cstheme="minorHAnsi"/>
        </w:rPr>
        <w:t xml:space="preserve">, na który w wywiadach zwracali uwagę zarówno przedstawiciele JST, jak i </w:t>
      </w:r>
      <w:r w:rsidRPr="008777E6">
        <w:rPr>
          <w:rFonts w:cstheme="minorHAnsi"/>
        </w:rPr>
        <w:t>UMWKP oraz IP ZIT BydOF zaangażowani w realizację FEdKP 2021-2027</w:t>
      </w:r>
      <w:r>
        <w:rPr>
          <w:rFonts w:cstheme="minorHAnsi"/>
        </w:rPr>
        <w:t xml:space="preserve"> są </w:t>
      </w:r>
      <w:r w:rsidRPr="008777E6">
        <w:rPr>
          <w:rFonts w:cstheme="minorHAnsi"/>
          <w:b/>
          <w:bCs/>
        </w:rPr>
        <w:t xml:space="preserve">instrumenty finansowe </w:t>
      </w:r>
      <w:r>
        <w:rPr>
          <w:rFonts w:cstheme="minorHAnsi"/>
          <w:b/>
          <w:bCs/>
        </w:rPr>
        <w:t>w</w:t>
      </w:r>
      <w:r w:rsidRPr="008777E6">
        <w:rPr>
          <w:rFonts w:cstheme="minorHAnsi"/>
          <w:b/>
          <w:bCs/>
        </w:rPr>
        <w:t xml:space="preserve"> polityce terytorialnej</w:t>
      </w:r>
      <w:r>
        <w:rPr>
          <w:rFonts w:cstheme="minorHAnsi"/>
        </w:rPr>
        <w:t xml:space="preserve">. Chcemy jednak zaznaczyć, że nabory takie (tj. z Działania 2.1 i 2.17 dotyczące efektywności energetycznej) nie były objęte przedmiotowym badaniem. Z informacji pozyskanych od przedstawicieli UMWKP i IP ZIT BydOF wynika jednak, że połączenie wymogów dotyczących zarówno polityki terytorialnej oraz instrumentów finansowych okazało się bardzo dużym wyzwaniem i przysporzyło problemów wdrożeniowych. Z kolei badani przedstawiciele wybranych liderów partnerstw wskazywali, że realne </w:t>
      </w:r>
      <w:r w:rsidRPr="00147DC8">
        <w:rPr>
          <w:rFonts w:cstheme="minorHAnsi"/>
        </w:rPr>
        <w:t xml:space="preserve">zainteresowanie samorządów </w:t>
      </w:r>
      <w:r>
        <w:rPr>
          <w:rFonts w:cstheme="minorHAnsi"/>
        </w:rPr>
        <w:t>instrumentami zwrotnymi</w:t>
      </w:r>
      <w:r w:rsidRPr="00147DC8">
        <w:rPr>
          <w:rFonts w:cstheme="minorHAnsi"/>
        </w:rPr>
        <w:t xml:space="preserve"> </w:t>
      </w:r>
      <w:r>
        <w:rPr>
          <w:rFonts w:cstheme="minorHAnsi"/>
        </w:rPr>
        <w:t>jest niewielkie – przede wszystkim z uwagi na sformułowane warunki, zasady wsparcia, czas na przygotowanie wniosków, ale także z uwagi na możliwość skorzystania ze wsparcia na analogiczne typy projektów ze środków KPO i Polskiego Ładu</w:t>
      </w:r>
      <w:r w:rsidRPr="00147DC8">
        <w:rPr>
          <w:rFonts w:cstheme="minorHAnsi"/>
        </w:rPr>
        <w:t xml:space="preserve">. </w:t>
      </w:r>
      <w:r>
        <w:rPr>
          <w:rFonts w:cstheme="minorHAnsi"/>
        </w:rPr>
        <w:t xml:space="preserve">Powodowało to np., że część JST, które deklarowały pierwotnie chęć realizacji projektów </w:t>
      </w:r>
      <w:r w:rsidRPr="004A1F0D">
        <w:rPr>
          <w:rFonts w:cstheme="minorHAnsi"/>
        </w:rPr>
        <w:t>dot. oświetlenia ulicznego</w:t>
      </w:r>
      <w:r>
        <w:rPr>
          <w:rFonts w:cstheme="minorHAnsi"/>
        </w:rPr>
        <w:t xml:space="preserve"> rezygnowało z tego zamiaru,</w:t>
      </w:r>
      <w:r w:rsidRPr="004A1F0D">
        <w:rPr>
          <w:rFonts w:cstheme="minorHAnsi"/>
        </w:rPr>
        <w:t xml:space="preserve"> przy jednoczesnej chęci wykorzystania środków na projekty z zakresu termomodernizacji.</w:t>
      </w:r>
    </w:p>
    <w:p w14:paraId="6CB10DB5" w14:textId="5F317EB3" w:rsidR="00F640D7" w:rsidRDefault="00F640D7" w:rsidP="00F640D7">
      <w:pPr>
        <w:rPr>
          <w:rFonts w:cstheme="minorHAnsi"/>
        </w:rPr>
      </w:pPr>
      <w:r>
        <w:rPr>
          <w:rFonts w:cstheme="minorHAnsi"/>
        </w:rPr>
        <w:t xml:space="preserve">Pewnym problemem związanym z wdrażaniem polityki terytorialnej, na który zwrócili uwagę wybrani przedstawiciele </w:t>
      </w:r>
      <w:r w:rsidRPr="00930719">
        <w:rPr>
          <w:rFonts w:cstheme="minorHAnsi"/>
        </w:rPr>
        <w:t>UMWKP oraz IP ZIT BydOF zaangażowan</w:t>
      </w:r>
      <w:r>
        <w:rPr>
          <w:rFonts w:cstheme="minorHAnsi"/>
        </w:rPr>
        <w:t>i</w:t>
      </w:r>
      <w:r w:rsidRPr="00930719">
        <w:rPr>
          <w:rFonts w:cstheme="minorHAnsi"/>
        </w:rPr>
        <w:t xml:space="preserve"> w realizację FEdKP 2021-2027</w:t>
      </w:r>
      <w:r>
        <w:rPr>
          <w:rFonts w:cstheme="minorHAnsi"/>
        </w:rPr>
        <w:t xml:space="preserve"> jest nadmierne – ich zdaniem – </w:t>
      </w:r>
      <w:r w:rsidRPr="00782728">
        <w:rPr>
          <w:rFonts w:cstheme="minorHAnsi"/>
          <w:b/>
          <w:bCs/>
        </w:rPr>
        <w:t xml:space="preserve">rozdrobnienie naborów w każdym z obszarów wsparcia, który jest wdrażany zarówno w </w:t>
      </w:r>
      <w:r w:rsidRPr="00782728">
        <w:rPr>
          <w:rFonts w:cstheme="minorHAnsi"/>
          <w:b/>
          <w:bCs/>
        </w:rPr>
        <w:lastRenderedPageBreak/>
        <w:t xml:space="preserve">ramach </w:t>
      </w:r>
      <w:r w:rsidR="0016472A">
        <w:rPr>
          <w:rFonts w:cstheme="minorHAnsi"/>
          <w:b/>
          <w:bCs/>
        </w:rPr>
        <w:t>ZIT, jak i OPPT</w:t>
      </w:r>
      <w:r w:rsidR="00BD6196">
        <w:rPr>
          <w:rStyle w:val="Odwoanieprzypisudolnego"/>
          <w:rFonts w:cstheme="minorHAnsi"/>
          <w:b/>
          <w:bCs/>
        </w:rPr>
        <w:footnoteReference w:id="30"/>
      </w:r>
      <w:r w:rsidR="00BD6196">
        <w:rPr>
          <w:rFonts w:cstheme="minorHAnsi"/>
          <w:b/>
          <w:bCs/>
        </w:rPr>
        <w:t xml:space="preserve">. </w:t>
      </w:r>
      <w:r>
        <w:rPr>
          <w:rFonts w:cstheme="minorHAnsi"/>
        </w:rPr>
        <w:t xml:space="preserve">W przypadku bowiem takich obszarów wsparcia prowadzone są niemal równolegle lub w bliskim odstępie czasu po </w:t>
      </w:r>
      <w:r w:rsidR="0016472A">
        <w:rPr>
          <w:rFonts w:cstheme="minorHAnsi"/>
        </w:rPr>
        <w:t xml:space="preserve">dwa </w:t>
      </w:r>
      <w:r>
        <w:rPr>
          <w:rFonts w:cstheme="minorHAnsi"/>
        </w:rPr>
        <w:t>nabory (</w:t>
      </w:r>
      <w:r w:rsidR="00BD6196">
        <w:rPr>
          <w:rFonts w:cstheme="minorHAnsi"/>
        </w:rPr>
        <w:t xml:space="preserve">osobno dla OPPT i ZIT Regionalnych). </w:t>
      </w:r>
      <w:r>
        <w:rPr>
          <w:rFonts w:cstheme="minorHAnsi"/>
        </w:rPr>
        <w:t xml:space="preserve">Nie jest to co prawda czynnik bezpośrednio wpływający na poziom zainteresowania naborami ze strony wnioskodawców, ale pośrednio może wpływać na skuteczność naborów po stronie ION. W ocenie rozmówców prowadzenie równolegle po </w:t>
      </w:r>
      <w:r w:rsidR="00C9231F">
        <w:rPr>
          <w:rFonts w:cstheme="minorHAnsi"/>
        </w:rPr>
        <w:t xml:space="preserve">dwa </w:t>
      </w:r>
      <w:r>
        <w:rPr>
          <w:rFonts w:cstheme="minorHAnsi"/>
        </w:rPr>
        <w:t>nabory w tym samym obszarze wsparcia może generować dodatkowe obciążenia instytucjonalne – są one związane przede wszystkim z pracami natury techniczno-formalnej, w tym z koniecznością przygotowania, procedowania i ewentualnego aktualizowania niemal takich samych dokumentów, ale w podziale na OPPT</w:t>
      </w:r>
      <w:r w:rsidR="00C812C3">
        <w:rPr>
          <w:rFonts w:cstheme="minorHAnsi"/>
        </w:rPr>
        <w:t xml:space="preserve"> i</w:t>
      </w:r>
      <w:r>
        <w:rPr>
          <w:rFonts w:cstheme="minorHAnsi"/>
        </w:rPr>
        <w:t xml:space="preserve"> ZIT. </w:t>
      </w:r>
      <w:r w:rsidR="00A61FCA">
        <w:rPr>
          <w:rFonts w:cstheme="minorHAnsi"/>
        </w:rPr>
        <w:t>Rozwiązanie takie wynika jednak bezpośrednio z zapisów Umowy Partnerstwa</w:t>
      </w:r>
      <w:r w:rsidR="00B7535A">
        <w:rPr>
          <w:rStyle w:val="Odwoanieprzypisudolnego"/>
          <w:rFonts w:cstheme="minorHAnsi"/>
        </w:rPr>
        <w:footnoteReference w:id="31"/>
      </w:r>
      <w:r w:rsidR="00E740C0">
        <w:rPr>
          <w:rFonts w:cstheme="minorHAnsi"/>
        </w:rPr>
        <w:t xml:space="preserve"> oraz </w:t>
      </w:r>
      <w:r w:rsidR="00BD6196">
        <w:rPr>
          <w:rFonts w:cstheme="minorHAnsi"/>
        </w:rPr>
        <w:t>przyjętego podejścia w zakresie zapewnienia równego traktowania każdego z poziomów PT.</w:t>
      </w:r>
      <w:r w:rsidR="0044245F">
        <w:rPr>
          <w:rFonts w:cstheme="minorHAnsi"/>
        </w:rPr>
        <w:t xml:space="preserve"> To zaś oznacza, że w obecnej perspektywie finansowej nie jest możliwe wprowadzenie zmian w tym zakresie.</w:t>
      </w:r>
    </w:p>
    <w:p w14:paraId="5F67B8F6" w14:textId="77777777" w:rsidR="00F640D7" w:rsidRPr="008B0229" w:rsidRDefault="00F640D7" w:rsidP="00F640D7">
      <w:pPr>
        <w:rPr>
          <w:rFonts w:cstheme="minorHAnsi"/>
          <w:b/>
          <w:bCs/>
          <w:color w:val="640B68" w:themeColor="accent3" w:themeShade="BF"/>
        </w:rPr>
      </w:pPr>
      <w:r w:rsidRPr="008B0229">
        <w:rPr>
          <w:rFonts w:cstheme="minorHAnsi"/>
          <w:b/>
          <w:bCs/>
          <w:color w:val="640B68" w:themeColor="accent3" w:themeShade="BF"/>
        </w:rPr>
        <w:t>Porozumienia i strategie terytorialne</w:t>
      </w:r>
    </w:p>
    <w:p w14:paraId="292F97E6" w14:textId="77777777" w:rsidR="00F640D7" w:rsidRDefault="00F640D7" w:rsidP="00F640D7">
      <w:pPr>
        <w:rPr>
          <w:rFonts w:cstheme="minorHAnsi"/>
        </w:rPr>
      </w:pPr>
      <w:r w:rsidRPr="009E0435">
        <w:rPr>
          <w:rFonts w:cstheme="minorHAnsi"/>
        </w:rPr>
        <w:t>Podstawą ubiegania się o wsparcie w ramach PT WK-P jest posiadanie przez dane partnerstwo strategii terytorialnej (spełniającej wymogi formalne wynikające z rozporządzenia ogólnego), sporządzonej wyłącznie w tym celu. Dokument ten nie zastępuje strategii rozwoju gmin, powiatów. Strategia powinna być jednak spójna z tymi dokumentami, a interwencja realizowana w ramach PT WK-P ze środków FEdKP 2021</w:t>
      </w:r>
      <w:r w:rsidR="00162F43">
        <w:rPr>
          <w:rFonts w:cstheme="minorHAnsi"/>
        </w:rPr>
        <w:t>-</w:t>
      </w:r>
      <w:r w:rsidRPr="009E0435">
        <w:rPr>
          <w:rFonts w:cstheme="minorHAnsi"/>
        </w:rPr>
        <w:t>2027 powinna dotyczyć istotnych potrzeb rozwojowych danego obszaru, przyczyniając się tym samym do jego rozwoju społeczno-gospodarczego. Strategie służące wsparciu rozwoju w ramach PT WK-P powinny formułować</w:t>
      </w:r>
      <w:r w:rsidR="00776243">
        <w:rPr>
          <w:rFonts w:cstheme="minorHAnsi"/>
        </w:rPr>
        <w:t xml:space="preserve"> </w:t>
      </w:r>
      <w:r w:rsidRPr="009E0435">
        <w:rPr>
          <w:rFonts w:cstheme="minorHAnsi"/>
        </w:rPr>
        <w:t>–</w:t>
      </w:r>
      <w:r w:rsidR="00776243">
        <w:rPr>
          <w:rFonts w:cstheme="minorHAnsi"/>
        </w:rPr>
        <w:t xml:space="preserve"> </w:t>
      </w:r>
      <w:r w:rsidRPr="009E0435">
        <w:rPr>
          <w:rFonts w:cstheme="minorHAnsi"/>
        </w:rPr>
        <w:t>wynikające ze zidentyfikowanych potrzeb (przezwyciężenia problemów i/lub wykorzystania potencjałów) – cele rozwojowe danego obszaru, które zamierza się zrealizować za pomocą konkretnie określonych w strategii projektów</w:t>
      </w:r>
      <w:r>
        <w:rPr>
          <w:rFonts w:cstheme="minorHAnsi"/>
        </w:rPr>
        <w:t xml:space="preserve"> (tych samych, które ujęte są w porozumieniach terytorialnych)</w:t>
      </w:r>
      <w:r w:rsidRPr="009E0435">
        <w:rPr>
          <w:rFonts w:cstheme="minorHAnsi"/>
        </w:rPr>
        <w:t>.</w:t>
      </w:r>
    </w:p>
    <w:p w14:paraId="21E326ED" w14:textId="08D69171" w:rsidR="00F640D7" w:rsidRDefault="00F640D7" w:rsidP="00F640D7">
      <w:pPr>
        <w:rPr>
          <w:rFonts w:cstheme="minorHAnsi"/>
        </w:rPr>
      </w:pPr>
      <w:r>
        <w:rPr>
          <w:rFonts w:cstheme="minorHAnsi"/>
        </w:rPr>
        <w:t>Z kolei</w:t>
      </w:r>
      <w:r w:rsidR="00FE7412">
        <w:rPr>
          <w:rFonts w:cstheme="minorHAnsi"/>
        </w:rPr>
        <w:t>,</w:t>
      </w:r>
      <w:r>
        <w:rPr>
          <w:rFonts w:cstheme="minorHAnsi"/>
        </w:rPr>
        <w:t xml:space="preserve"> w</w:t>
      </w:r>
      <w:r w:rsidRPr="006632AA">
        <w:rPr>
          <w:rFonts w:cstheme="minorHAnsi"/>
        </w:rPr>
        <w:t xml:space="preserve"> celu określenia zasad i zakresu współpracy między Samorządem Województwa Kujawsko-Pomorskiego a partnerstwami ZIT/IIT dla OPPT w aspekcie realizacji PT WK-P podpisane zosta</w:t>
      </w:r>
      <w:r>
        <w:rPr>
          <w:rFonts w:cstheme="minorHAnsi"/>
        </w:rPr>
        <w:t>ły</w:t>
      </w:r>
      <w:r w:rsidRPr="006632AA">
        <w:rPr>
          <w:rFonts w:cstheme="minorHAnsi"/>
        </w:rPr>
        <w:t xml:space="preserve"> porozumienia terytorialne</w:t>
      </w:r>
      <w:r>
        <w:rPr>
          <w:rFonts w:cstheme="minorHAnsi"/>
        </w:rPr>
        <w:t xml:space="preserve">. </w:t>
      </w:r>
      <w:r w:rsidRPr="00562AD1">
        <w:rPr>
          <w:rFonts w:cstheme="minorHAnsi"/>
        </w:rPr>
        <w:t>Porozumieni</w:t>
      </w:r>
      <w:r w:rsidR="00162F43">
        <w:rPr>
          <w:rFonts w:cstheme="minorHAnsi"/>
        </w:rPr>
        <w:t>a</w:t>
      </w:r>
      <w:r w:rsidRPr="00562AD1">
        <w:rPr>
          <w:rFonts w:cstheme="minorHAnsi"/>
        </w:rPr>
        <w:t xml:space="preserve"> terytorialne zawiera</w:t>
      </w:r>
      <w:r>
        <w:rPr>
          <w:rFonts w:cstheme="minorHAnsi"/>
        </w:rPr>
        <w:t>ją</w:t>
      </w:r>
      <w:r w:rsidRPr="00562AD1">
        <w:rPr>
          <w:rFonts w:cstheme="minorHAnsi"/>
        </w:rPr>
        <w:t xml:space="preserve">: </w:t>
      </w:r>
    </w:p>
    <w:p w14:paraId="225919CE" w14:textId="77777777" w:rsidR="00F640D7" w:rsidRDefault="00F640D7" w:rsidP="00103D76">
      <w:pPr>
        <w:pStyle w:val="Akapitzlist"/>
        <w:numPr>
          <w:ilvl w:val="0"/>
          <w:numId w:val="31"/>
        </w:numPr>
        <w:rPr>
          <w:rFonts w:cstheme="minorHAnsi"/>
        </w:rPr>
      </w:pPr>
      <w:r w:rsidRPr="00562AD1">
        <w:rPr>
          <w:rFonts w:cstheme="minorHAnsi"/>
        </w:rPr>
        <w:t xml:space="preserve">listę przedsięwzięć priorytetowych, ważnych dla rozwoju obszaru objętego porozumieniem; </w:t>
      </w:r>
    </w:p>
    <w:p w14:paraId="4F3FC728" w14:textId="77777777" w:rsidR="00F640D7" w:rsidRDefault="00F640D7" w:rsidP="00103D76">
      <w:pPr>
        <w:pStyle w:val="Akapitzlist"/>
        <w:numPr>
          <w:ilvl w:val="0"/>
          <w:numId w:val="31"/>
        </w:numPr>
        <w:rPr>
          <w:rFonts w:cstheme="minorHAnsi"/>
        </w:rPr>
      </w:pPr>
      <w:r w:rsidRPr="00562AD1">
        <w:rPr>
          <w:rFonts w:cstheme="minorHAnsi"/>
        </w:rPr>
        <w:lastRenderedPageBreak/>
        <w:t>listę przedsięwzięć warunkowych (fakultatywnie);</w:t>
      </w:r>
    </w:p>
    <w:p w14:paraId="5CC822C5" w14:textId="77777777" w:rsidR="00F640D7" w:rsidRDefault="00F640D7" w:rsidP="00103D76">
      <w:pPr>
        <w:pStyle w:val="Akapitzlist"/>
        <w:numPr>
          <w:ilvl w:val="0"/>
          <w:numId w:val="31"/>
        </w:numPr>
        <w:rPr>
          <w:rFonts w:cstheme="minorHAnsi"/>
        </w:rPr>
      </w:pPr>
      <w:r w:rsidRPr="00562AD1">
        <w:rPr>
          <w:rFonts w:cstheme="minorHAnsi"/>
        </w:rPr>
        <w:t>fiszki projektowe będące uszczegółowieniem projektów ujętych na liście projektów priorytetowych</w:t>
      </w:r>
      <w:r>
        <w:rPr>
          <w:rFonts w:cstheme="minorHAnsi"/>
        </w:rPr>
        <w:t>;</w:t>
      </w:r>
      <w:r w:rsidRPr="00562AD1">
        <w:rPr>
          <w:rFonts w:cstheme="minorHAnsi"/>
        </w:rPr>
        <w:t xml:space="preserve"> </w:t>
      </w:r>
    </w:p>
    <w:p w14:paraId="04EAC639" w14:textId="77777777" w:rsidR="00F640D7" w:rsidRDefault="00F640D7" w:rsidP="00103D76">
      <w:pPr>
        <w:pStyle w:val="Akapitzlist"/>
        <w:numPr>
          <w:ilvl w:val="0"/>
          <w:numId w:val="31"/>
        </w:numPr>
        <w:rPr>
          <w:rFonts w:cstheme="minorHAnsi"/>
        </w:rPr>
      </w:pPr>
      <w:r w:rsidRPr="00562AD1">
        <w:rPr>
          <w:rFonts w:cstheme="minorHAnsi"/>
        </w:rPr>
        <w:t xml:space="preserve">harmonogram przygotowania, realizacji oraz płatności przedsięwzięć priorytetowych; </w:t>
      </w:r>
    </w:p>
    <w:p w14:paraId="3DC32657" w14:textId="77777777" w:rsidR="00F640D7" w:rsidRDefault="00F640D7" w:rsidP="00103D76">
      <w:pPr>
        <w:pStyle w:val="Akapitzlist"/>
        <w:numPr>
          <w:ilvl w:val="0"/>
          <w:numId w:val="31"/>
        </w:numPr>
        <w:rPr>
          <w:rFonts w:cstheme="minorHAnsi"/>
        </w:rPr>
      </w:pPr>
      <w:r w:rsidRPr="00562AD1">
        <w:rPr>
          <w:rFonts w:cstheme="minorHAnsi"/>
        </w:rPr>
        <w:t>wartości wskaźników produktu i rezultatu zaplanowane do realizacji</w:t>
      </w:r>
      <w:r>
        <w:rPr>
          <w:rFonts w:cstheme="minorHAnsi"/>
        </w:rPr>
        <w:t>.</w:t>
      </w:r>
    </w:p>
    <w:p w14:paraId="02A2A2D6" w14:textId="4AB6A67D" w:rsidR="00F640D7" w:rsidRPr="005B328A" w:rsidRDefault="00F640D7" w:rsidP="00F640D7">
      <w:pPr>
        <w:rPr>
          <w:rFonts w:cstheme="minorHAnsi"/>
        </w:rPr>
      </w:pPr>
      <w:r>
        <w:rPr>
          <w:rFonts w:cstheme="minorHAnsi"/>
        </w:rPr>
        <w:t xml:space="preserve">Przeprowadzona analiza dat zawarcia porozumień oraz dat zatwierdzania strategii wskazuje, że w </w:t>
      </w:r>
      <w:r w:rsidR="00BD6196">
        <w:rPr>
          <w:rFonts w:cstheme="minorHAnsi"/>
        </w:rPr>
        <w:t xml:space="preserve">zdecydowanej większości partnerstw w </w:t>
      </w:r>
      <w:r>
        <w:rPr>
          <w:rFonts w:cstheme="minorHAnsi"/>
        </w:rPr>
        <w:t>pierwszej kolejności zawierane były porozumienia, a w drugiej zatwierdzano strategie</w:t>
      </w:r>
      <w:r w:rsidR="00BD6196">
        <w:rPr>
          <w:rStyle w:val="Odwoanieprzypisudolnego"/>
          <w:rFonts w:cstheme="minorHAnsi"/>
        </w:rPr>
        <w:footnoteReference w:id="32"/>
      </w:r>
      <w:r w:rsidR="00BD6196">
        <w:rPr>
          <w:rStyle w:val="Odwoanieprzypisudolnego"/>
          <w:rFonts w:cstheme="minorHAnsi"/>
        </w:rPr>
        <w:footnoteReference w:id="33"/>
      </w:r>
      <w:r w:rsidR="00BD6196">
        <w:rPr>
          <w:rFonts w:cstheme="minorHAnsi"/>
        </w:rPr>
        <w:t>.</w:t>
      </w:r>
      <w:r>
        <w:rPr>
          <w:rFonts w:cstheme="minorHAnsi"/>
        </w:rPr>
        <w:t xml:space="preserve"> W praktyce jednak prace nad przygotowaniem strategii rozpoczęły się na długo przed zawarciem porozumień – to wyniki prowadzonych diagnoz</w:t>
      </w:r>
      <w:r w:rsidR="00E61600">
        <w:rPr>
          <w:rFonts w:cstheme="minorHAnsi"/>
        </w:rPr>
        <w:t xml:space="preserve"> oraz</w:t>
      </w:r>
      <w:r>
        <w:rPr>
          <w:rFonts w:cstheme="minorHAnsi"/>
        </w:rPr>
        <w:t xml:space="preserve"> wskazane w strategiach cele były bowiem podstawą do zidentyfikowania i wyboru przedsięwzięć priorytetowych i warunkowych, które </w:t>
      </w:r>
      <w:r w:rsidR="00BD6196">
        <w:rPr>
          <w:rFonts w:cstheme="minorHAnsi"/>
        </w:rPr>
        <w:t>były akceptowane</w:t>
      </w:r>
      <w:r>
        <w:rPr>
          <w:rFonts w:cstheme="minorHAnsi"/>
        </w:rPr>
        <w:t xml:space="preserve"> przez IZ </w:t>
      </w:r>
      <w:r w:rsidR="00E61600">
        <w:rPr>
          <w:rFonts w:cstheme="minorHAnsi"/>
        </w:rPr>
        <w:t>oraz</w:t>
      </w:r>
      <w:r>
        <w:rPr>
          <w:rFonts w:cstheme="minorHAnsi"/>
        </w:rPr>
        <w:t xml:space="preserve"> </w:t>
      </w:r>
      <w:r w:rsidR="00BD6196">
        <w:rPr>
          <w:rFonts w:cstheme="minorHAnsi"/>
        </w:rPr>
        <w:t>stanowiły załączniki do porozumień.</w:t>
      </w:r>
      <w:r>
        <w:rPr>
          <w:rFonts w:cstheme="minorHAnsi"/>
        </w:rPr>
        <w:t xml:space="preserve"> W ramach przedmiotowego badania staraliśmy się zatem określić możliwy wpływ zarówno prac nad strategiami, jak i dat zawierania porozumień na skuteczność naborów. </w:t>
      </w:r>
    </w:p>
    <w:p w14:paraId="344DAD4E" w14:textId="5990DD4D" w:rsidR="00F640D7" w:rsidRPr="0070578D" w:rsidRDefault="00F640D7" w:rsidP="00F640D7">
      <w:pPr>
        <w:rPr>
          <w:rFonts w:cstheme="minorHAnsi"/>
        </w:rPr>
      </w:pPr>
      <w:r>
        <w:rPr>
          <w:rFonts w:cstheme="minorHAnsi"/>
        </w:rPr>
        <w:t>Na wstępie chcemy zaznaczyć, że w ramach przeprowadzonej analizy danych zastanych oraz wywiadów pogłębionych nie zidentyfikowaliśmy negatywnego wpływu wprowadzonej</w:t>
      </w:r>
      <w:r w:rsidRPr="008C7CE9">
        <w:rPr>
          <w:rFonts w:cstheme="minorHAnsi"/>
        </w:rPr>
        <w:t xml:space="preserve"> zmian</w:t>
      </w:r>
      <w:r>
        <w:rPr>
          <w:rFonts w:cstheme="minorHAnsi"/>
        </w:rPr>
        <w:t>y</w:t>
      </w:r>
      <w:r w:rsidRPr="008C7CE9">
        <w:rPr>
          <w:rFonts w:cstheme="minorHAnsi"/>
        </w:rPr>
        <w:t xml:space="preserve"> delimitacji ZIT-ów wokół najważniejszych miast regionu</w:t>
      </w:r>
      <w:r>
        <w:rPr>
          <w:rFonts w:cstheme="minorHAnsi"/>
        </w:rPr>
        <w:t xml:space="preserve"> na skuteczność naborów. Bydgoszcz i Toruń w tej perspektywie finansowej </w:t>
      </w:r>
      <w:r w:rsidRPr="003027CB">
        <w:rPr>
          <w:rFonts w:cstheme="minorHAnsi"/>
        </w:rPr>
        <w:t>powołały osobne obszary funkcjonalne, nie pokrywające się terytorialnie z wcześniejszym zasięgiem wspólnego Bydgosko</w:t>
      </w:r>
      <w:r w:rsidR="008F2CBA">
        <w:rPr>
          <w:rFonts w:cstheme="minorHAnsi"/>
        </w:rPr>
        <w:t>-</w:t>
      </w:r>
      <w:r w:rsidRPr="003027CB">
        <w:rPr>
          <w:rFonts w:cstheme="minorHAnsi"/>
        </w:rPr>
        <w:t xml:space="preserve">Toruńskiego Obszaru Funkcjonalnego. </w:t>
      </w:r>
      <w:r>
        <w:rPr>
          <w:rFonts w:cstheme="minorHAnsi"/>
        </w:rPr>
        <w:t>Co prawda,</w:t>
      </w:r>
      <w:r w:rsidRPr="003027CB">
        <w:rPr>
          <w:rFonts w:cstheme="minorHAnsi"/>
        </w:rPr>
        <w:t xml:space="preserve"> stało się to relatywnie późno</w:t>
      </w:r>
      <w:r>
        <w:rPr>
          <w:rFonts w:cstheme="minorHAnsi"/>
        </w:rPr>
        <w:t xml:space="preserve"> –</w:t>
      </w:r>
      <w:r w:rsidRPr="003027CB">
        <w:rPr>
          <w:rFonts w:cstheme="minorHAnsi"/>
        </w:rPr>
        <w:t xml:space="preserve"> gdyż umowa pomiędzy Urzędem Marszałkowskim a ZIT BydOF, stanowiąca ostateczne potwierdzenie rezygnacji ze wspólnego obszaru funkcjonalnego, zawarta została dopiero w kwietniu 2023 roku. </w:t>
      </w:r>
      <w:r>
        <w:rPr>
          <w:rFonts w:cstheme="minorHAnsi"/>
        </w:rPr>
        <w:t>Ale z drugiej strony to te dwa ZIT zawarły w zasadzie jako jedne z pierwszych porozumienia terytorialne z IZ</w:t>
      </w:r>
      <w:r>
        <w:rPr>
          <w:rStyle w:val="Odwoanieprzypisudolnego"/>
          <w:rFonts w:cstheme="minorHAnsi"/>
        </w:rPr>
        <w:footnoteReference w:id="34"/>
      </w:r>
      <w:r>
        <w:rPr>
          <w:rFonts w:cstheme="minorHAnsi"/>
        </w:rPr>
        <w:t xml:space="preserve"> – to zaś dowodzić może w znacznej mierze sprawności organizacyjnej obu liderów</w:t>
      </w:r>
      <w:r w:rsidR="00C213C0">
        <w:rPr>
          <w:rFonts w:cstheme="minorHAnsi"/>
        </w:rPr>
        <w:t xml:space="preserve">. To te partnerstwa jako </w:t>
      </w:r>
      <w:r>
        <w:rPr>
          <w:rFonts w:cstheme="minorHAnsi"/>
        </w:rPr>
        <w:t>jedn</w:t>
      </w:r>
      <w:r w:rsidR="00C213C0">
        <w:rPr>
          <w:rFonts w:cstheme="minorHAnsi"/>
        </w:rPr>
        <w:t>e</w:t>
      </w:r>
      <w:r>
        <w:rPr>
          <w:rFonts w:cstheme="minorHAnsi"/>
        </w:rPr>
        <w:t xml:space="preserve"> z pierwszych osiągnę</w:t>
      </w:r>
      <w:r w:rsidR="00C213C0">
        <w:rPr>
          <w:rFonts w:cstheme="minorHAnsi"/>
        </w:rPr>
        <w:t>ły</w:t>
      </w:r>
      <w:r>
        <w:rPr>
          <w:rFonts w:cstheme="minorHAnsi"/>
        </w:rPr>
        <w:t xml:space="preserve"> gotowość do wdrażania swoich strategii terytorialnych</w:t>
      </w:r>
      <w:r w:rsidR="00AC1178">
        <w:rPr>
          <w:rStyle w:val="Odwoanieprzypisudolnego"/>
          <w:rFonts w:cstheme="minorHAnsi"/>
        </w:rPr>
        <w:footnoteReference w:id="35"/>
      </w:r>
      <w:r>
        <w:rPr>
          <w:rFonts w:cstheme="minorHAnsi"/>
        </w:rPr>
        <w:t xml:space="preserve"> </w:t>
      </w:r>
      <w:r w:rsidR="00BD6196">
        <w:rPr>
          <w:rFonts w:cstheme="minorHAnsi"/>
        </w:rPr>
        <w:t>i zidentyfikowanych projektów.</w:t>
      </w:r>
      <w:r w:rsidR="00776243">
        <w:rPr>
          <w:rFonts w:cstheme="minorHAnsi"/>
        </w:rPr>
        <w:t xml:space="preserve"> </w:t>
      </w:r>
    </w:p>
    <w:p w14:paraId="22FE60B5" w14:textId="77777777" w:rsidR="00813551" w:rsidRDefault="00BE4D25" w:rsidP="00F640D7">
      <w:pPr>
        <w:rPr>
          <w:rFonts w:cstheme="minorHAnsi"/>
        </w:rPr>
      </w:pPr>
      <w:r>
        <w:rPr>
          <w:rFonts w:cstheme="minorHAnsi"/>
        </w:rPr>
        <w:t xml:space="preserve">Strategie tworzone </w:t>
      </w:r>
      <w:r w:rsidR="006952A3">
        <w:rPr>
          <w:rFonts w:cstheme="minorHAnsi"/>
        </w:rPr>
        <w:t>były wspólnie przez</w:t>
      </w:r>
      <w:r w:rsidR="00287118">
        <w:rPr>
          <w:rFonts w:cstheme="minorHAnsi"/>
        </w:rPr>
        <w:t xml:space="preserve"> członków</w:t>
      </w:r>
      <w:r w:rsidR="006952A3">
        <w:rPr>
          <w:rFonts w:cstheme="minorHAnsi"/>
        </w:rPr>
        <w:t xml:space="preserve"> partnerstw</w:t>
      </w:r>
      <w:r w:rsidR="00287118">
        <w:rPr>
          <w:rFonts w:cstheme="minorHAnsi"/>
        </w:rPr>
        <w:t xml:space="preserve"> we współpracy i z pomocą </w:t>
      </w:r>
      <w:r w:rsidR="00D25AC2">
        <w:rPr>
          <w:rFonts w:cstheme="minorHAnsi"/>
        </w:rPr>
        <w:t>UMWKP</w:t>
      </w:r>
      <w:r w:rsidR="00287118">
        <w:rPr>
          <w:rFonts w:cstheme="minorHAnsi"/>
        </w:rPr>
        <w:t xml:space="preserve">. </w:t>
      </w:r>
      <w:r w:rsidR="0057230E">
        <w:rPr>
          <w:rFonts w:cstheme="minorHAnsi"/>
        </w:rPr>
        <w:t xml:space="preserve">Wsparcie </w:t>
      </w:r>
      <w:r w:rsidR="0094539A">
        <w:rPr>
          <w:rFonts w:cstheme="minorHAnsi"/>
        </w:rPr>
        <w:t>UM dotyczyło zarówno etapu diagnozy (</w:t>
      </w:r>
      <w:r w:rsidR="009A5AA3" w:rsidRPr="009A5AA3">
        <w:rPr>
          <w:rFonts w:cstheme="minorHAnsi"/>
        </w:rPr>
        <w:t>przygotowanie kompletnej diagnozy dla obszaru partnerstwa</w:t>
      </w:r>
      <w:r w:rsidR="009A5AA3">
        <w:rPr>
          <w:rFonts w:cstheme="minorHAnsi"/>
        </w:rPr>
        <w:t xml:space="preserve">, </w:t>
      </w:r>
      <w:r w:rsidR="00EB6F3A">
        <w:rPr>
          <w:rFonts w:cstheme="minorHAnsi"/>
        </w:rPr>
        <w:t>identyfikacja potrzeb rozwojowych</w:t>
      </w:r>
      <w:r w:rsidR="005B505F">
        <w:rPr>
          <w:rFonts w:cstheme="minorHAnsi"/>
        </w:rPr>
        <w:t xml:space="preserve"> oraz skonsultowanie wyników</w:t>
      </w:r>
      <w:r w:rsidR="00A96932">
        <w:rPr>
          <w:rFonts w:cstheme="minorHAnsi"/>
        </w:rPr>
        <w:t xml:space="preserve"> z partnerstwami), jak i etapu formułowania ustaleń i systemu realizacji (</w:t>
      </w:r>
      <w:r w:rsidR="0033440C">
        <w:rPr>
          <w:rFonts w:cstheme="minorHAnsi"/>
        </w:rPr>
        <w:t xml:space="preserve">m.in. </w:t>
      </w:r>
      <w:r w:rsidR="00C977CF">
        <w:rPr>
          <w:rFonts w:cstheme="minorHAnsi"/>
        </w:rPr>
        <w:t xml:space="preserve">weryfikacja projektów, </w:t>
      </w:r>
      <w:r w:rsidR="00C977CF" w:rsidRPr="00C977CF">
        <w:rPr>
          <w:rFonts w:cstheme="minorHAnsi"/>
        </w:rPr>
        <w:t xml:space="preserve">przygotowanie uniwersalnego </w:t>
      </w:r>
      <w:r w:rsidR="00C977CF" w:rsidRPr="00C977CF">
        <w:rPr>
          <w:rFonts w:cstheme="minorHAnsi"/>
        </w:rPr>
        <w:lastRenderedPageBreak/>
        <w:t>systemu monitorowania strategii</w:t>
      </w:r>
      <w:r w:rsidR="00C977CF">
        <w:rPr>
          <w:rFonts w:cstheme="minorHAnsi"/>
        </w:rPr>
        <w:t xml:space="preserve">, </w:t>
      </w:r>
      <w:r w:rsidR="009B10D6" w:rsidRPr="009B10D6">
        <w:rPr>
          <w:rFonts w:cstheme="minorHAnsi"/>
        </w:rPr>
        <w:t>przygotowanie wytycznych dla uniwersalnego systemu konsultacji społecznych</w:t>
      </w:r>
      <w:r w:rsidR="009C4352">
        <w:rPr>
          <w:rFonts w:cstheme="minorHAnsi"/>
        </w:rPr>
        <w:t xml:space="preserve"> oraz inne wsparcie w zależności od potrzeb poszczególnych partnerstw).</w:t>
      </w:r>
      <w:r w:rsidR="00DD42F0">
        <w:rPr>
          <w:rFonts w:cstheme="minorHAnsi"/>
        </w:rPr>
        <w:t xml:space="preserve"> </w:t>
      </w:r>
    </w:p>
    <w:p w14:paraId="13D0C24B" w14:textId="77777777" w:rsidR="00F640D7" w:rsidRDefault="00EB30AF" w:rsidP="00F640D7">
      <w:pPr>
        <w:rPr>
          <w:rFonts w:cstheme="minorHAnsi"/>
        </w:rPr>
      </w:pPr>
      <w:r>
        <w:rPr>
          <w:rFonts w:cstheme="minorHAnsi"/>
        </w:rPr>
        <w:t xml:space="preserve">Przygotowanie strategii wiązało się </w:t>
      </w:r>
      <w:r w:rsidR="00813551">
        <w:rPr>
          <w:rFonts w:cstheme="minorHAnsi"/>
        </w:rPr>
        <w:t xml:space="preserve">przede wszystkim </w:t>
      </w:r>
      <w:r w:rsidR="00E241D2">
        <w:rPr>
          <w:rFonts w:cstheme="minorHAnsi"/>
        </w:rPr>
        <w:t xml:space="preserve">z </w:t>
      </w:r>
      <w:r w:rsidR="00813551">
        <w:rPr>
          <w:rFonts w:cstheme="minorHAnsi"/>
        </w:rPr>
        <w:t xml:space="preserve">negocjacjami i kompromisami między członkami partnerstw. </w:t>
      </w:r>
      <w:r w:rsidR="00D00CDC">
        <w:rPr>
          <w:rFonts w:cstheme="minorHAnsi"/>
        </w:rPr>
        <w:t>Tym bardziej warto podkreślić, że s</w:t>
      </w:r>
      <w:r w:rsidR="00F640D7">
        <w:rPr>
          <w:rFonts w:cstheme="minorHAnsi"/>
        </w:rPr>
        <w:t>am proces przygotowania strategii terytorialnych (jak pokazuje wykres poniżej) został przez większość badanych przedstawicieli JST oceniony dobrze – z drugiej strony 15% badanych oceniło go przeciętnie, a</w:t>
      </w:r>
      <w:r w:rsidR="00D00CDC">
        <w:rPr>
          <w:rFonts w:cstheme="minorHAnsi"/>
        </w:rPr>
        <w:t xml:space="preserve"> tylko</w:t>
      </w:r>
      <w:r w:rsidR="00F640D7">
        <w:rPr>
          <w:rFonts w:cstheme="minorHAnsi"/>
        </w:rPr>
        <w:t xml:space="preserve"> 6% źle. </w:t>
      </w:r>
    </w:p>
    <w:p w14:paraId="4ABA761C" w14:textId="7DB794FB" w:rsidR="00F640D7" w:rsidRDefault="00F640D7" w:rsidP="00F640D7">
      <w:pPr>
        <w:pStyle w:val="Legenda"/>
      </w:pPr>
      <w:r>
        <w:t xml:space="preserve">Wykres </w:t>
      </w:r>
      <w:fldSimple w:instr=" SEQ Wykres \* ARABIC ">
        <w:r w:rsidR="00541DFA">
          <w:rPr>
            <w:noProof/>
          </w:rPr>
          <w:t>2</w:t>
        </w:r>
      </w:fldSimple>
      <w:r>
        <w:t xml:space="preserve"> Ocena procesu przygotowania strategii terytorialnych</w:t>
      </w:r>
    </w:p>
    <w:p w14:paraId="6E51F938" w14:textId="2586A971" w:rsidR="00BD6196" w:rsidRDefault="00BD6196" w:rsidP="00BD6196">
      <w:pPr>
        <w:spacing w:before="0" w:after="0"/>
        <w:rPr>
          <w:rFonts w:cstheme="minorHAnsi"/>
        </w:rPr>
      </w:pPr>
      <w:r w:rsidRPr="00077CA0">
        <w:rPr>
          <w:noProof/>
          <w:sz w:val="22"/>
        </w:rPr>
        <w:drawing>
          <wp:inline distT="0" distB="0" distL="0" distR="0" wp14:anchorId="7A32F5EC" wp14:editId="44044C05">
            <wp:extent cx="5719445" cy="2062480"/>
            <wp:effectExtent l="0" t="0" r="14605" b="13970"/>
            <wp:docPr id="2093406632" name="Wykres 1" descr="Wykres Ocena procesu przygotowania strategii terytorialnych&#10;Wykres przedstawia odpowiedzi na pytanie kwestionariusza: Jak oceniają Państwo przebieg procesu przygotowania strategii terytorialnej, w ramach której identyfikowany był projekt?&#10;Bardzo dobrze - 16,4%&#10;Raczej dobrze - 52,2%&#10;Przeciętnie - 14,9%&#10;Raczej źle - 3,0%&#10;Bardzo źle - 3,0%&#10;Nie wiem/trudno powiedzieć - 10,4%">
              <a:extLst xmlns:a="http://schemas.openxmlformats.org/drawingml/2006/main">
                <a:ext uri="{FF2B5EF4-FFF2-40B4-BE49-F238E27FC236}">
                  <a16:creationId xmlns:a16="http://schemas.microsoft.com/office/drawing/2014/main" id="{9A9C85C9-50D1-5730-54FD-037F6666E54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9D2CC82" w14:textId="77777777" w:rsidR="00BD6196" w:rsidRDefault="00BD6196" w:rsidP="005A2787">
      <w:pPr>
        <w:pStyle w:val="rdo"/>
        <w:rPr>
          <w:rFonts w:cstheme="minorHAnsi"/>
        </w:rPr>
      </w:pPr>
      <w:r>
        <w:t xml:space="preserve">Źródło: </w:t>
      </w:r>
      <w:r w:rsidRPr="00EE7E76">
        <w:t>CAWI/CATI z wnioskodawcami FEdKP 2021-2027, n=</w:t>
      </w:r>
      <w:r>
        <w:t>67</w:t>
      </w:r>
      <w:r w:rsidRPr="00EE7E76">
        <w:t>. Odpowiedź na pytanie: „</w:t>
      </w:r>
      <w:r w:rsidRPr="001174DA">
        <w:t>Jak oceniają Państwo przebieg procesu przygotowania strategii terytorialnej, w ramach której identyfikowany był projekt</w:t>
      </w:r>
      <w:r>
        <w:t>?”. Wartości mogą nie sumować się do 100,0% z powodu zaokrągleń.</w:t>
      </w:r>
    </w:p>
    <w:p w14:paraId="06FC781D" w14:textId="6D5A5C14" w:rsidR="00BD6196" w:rsidRDefault="00BD6196" w:rsidP="00BD6196">
      <w:pPr>
        <w:rPr>
          <w:rFonts w:cstheme="minorHAnsi"/>
          <w:b/>
          <w:bCs/>
        </w:rPr>
      </w:pPr>
      <w:r>
        <w:rPr>
          <w:rFonts w:cstheme="minorHAnsi"/>
        </w:rPr>
        <w:t xml:space="preserve">Wśród zastrzeżeń pojawiały się takie kwestie jak: zbyt późne rozpoczęcie prac nad strategiami, niedostateczna komunikacja ze strony liderów partnerstw, zbyt krótki czas na możliwość zgłaszania propozycji projektów. Problemowe były także uzgodnienia między partnerami tworzącymi dane ZIT/OPPT. Jak się bowiem okazało w praktyce, </w:t>
      </w:r>
      <w:r w:rsidRPr="00F3306D">
        <w:rPr>
          <w:rFonts w:cstheme="minorHAnsi"/>
          <w:b/>
          <w:bCs/>
        </w:rPr>
        <w:t xml:space="preserve">limity alokacji per capita oraz wzajemne uzgodnienia mogły </w:t>
      </w:r>
      <w:r>
        <w:rPr>
          <w:rFonts w:cstheme="minorHAnsi"/>
          <w:b/>
          <w:bCs/>
        </w:rPr>
        <w:t>czasem s</w:t>
      </w:r>
      <w:r w:rsidRPr="00F3306D">
        <w:rPr>
          <w:rFonts w:cstheme="minorHAnsi"/>
          <w:b/>
          <w:bCs/>
        </w:rPr>
        <w:t>powodować</w:t>
      </w:r>
      <w:r>
        <w:rPr>
          <w:rFonts w:cstheme="minorHAnsi"/>
          <w:b/>
          <w:bCs/>
        </w:rPr>
        <w:t xml:space="preserve"> to</w:t>
      </w:r>
      <w:r w:rsidRPr="00F3306D">
        <w:rPr>
          <w:rFonts w:cstheme="minorHAnsi"/>
          <w:b/>
          <w:bCs/>
        </w:rPr>
        <w:t xml:space="preserve">, że </w:t>
      </w:r>
      <w:r>
        <w:rPr>
          <w:rFonts w:cstheme="minorHAnsi"/>
          <w:b/>
          <w:bCs/>
        </w:rPr>
        <w:t>niektóre</w:t>
      </w:r>
      <w:r w:rsidRPr="00F3306D">
        <w:rPr>
          <w:rFonts w:cstheme="minorHAnsi"/>
          <w:b/>
          <w:bCs/>
        </w:rPr>
        <w:t xml:space="preserve"> JST otrzymywały środki na projekty </w:t>
      </w:r>
      <w:r>
        <w:rPr>
          <w:rFonts w:cstheme="minorHAnsi"/>
          <w:b/>
          <w:bCs/>
        </w:rPr>
        <w:t>nie tylko w obszarach zidentyfikowanych jako najbardziej priorytetowe</w:t>
      </w:r>
      <w:r>
        <w:rPr>
          <w:rFonts w:cstheme="minorHAnsi"/>
        </w:rPr>
        <w:t xml:space="preserve">. To z kolei mogło być jedną z przyczyn tego, że </w:t>
      </w:r>
      <w:r w:rsidRPr="00C62B9D">
        <w:rPr>
          <w:rFonts w:cstheme="minorHAnsi"/>
          <w:b/>
          <w:bCs/>
        </w:rPr>
        <w:t xml:space="preserve">część JST finalnie wycofywała się z zamiaru realizacji </w:t>
      </w:r>
      <w:r>
        <w:rPr>
          <w:rFonts w:cstheme="minorHAnsi"/>
          <w:b/>
          <w:bCs/>
        </w:rPr>
        <w:t xml:space="preserve">niektórych takich </w:t>
      </w:r>
      <w:r w:rsidRPr="00C62B9D">
        <w:rPr>
          <w:rFonts w:cstheme="minorHAnsi"/>
          <w:b/>
          <w:bCs/>
        </w:rPr>
        <w:t>projektów – po części zakładając, że w ten sposób uda się</w:t>
      </w:r>
      <w:r>
        <w:rPr>
          <w:rFonts w:cstheme="minorHAnsi"/>
          <w:b/>
          <w:bCs/>
        </w:rPr>
        <w:t xml:space="preserve"> im</w:t>
      </w:r>
      <w:r w:rsidRPr="00C62B9D">
        <w:rPr>
          <w:rFonts w:cstheme="minorHAnsi"/>
          <w:b/>
          <w:bCs/>
        </w:rPr>
        <w:t xml:space="preserve"> przesunąć uwolnione środki na projekty bardziej związane z ich </w:t>
      </w:r>
      <w:r>
        <w:rPr>
          <w:rFonts w:cstheme="minorHAnsi"/>
          <w:b/>
          <w:bCs/>
        </w:rPr>
        <w:t xml:space="preserve">głównymi </w:t>
      </w:r>
      <w:r w:rsidRPr="00C62B9D">
        <w:rPr>
          <w:rFonts w:cstheme="minorHAnsi"/>
          <w:b/>
          <w:bCs/>
        </w:rPr>
        <w:t>potrzebami</w:t>
      </w:r>
      <w:r>
        <w:rPr>
          <w:rFonts w:cstheme="minorHAnsi"/>
          <w:b/>
          <w:bCs/>
        </w:rPr>
        <w:t xml:space="preserve">. </w:t>
      </w:r>
    </w:p>
    <w:p w14:paraId="1E989EB1" w14:textId="77777777" w:rsidR="00F640D7" w:rsidRPr="00D355F7" w:rsidRDefault="00F640D7" w:rsidP="00F640D7">
      <w:pPr>
        <w:rPr>
          <w:rFonts w:cstheme="minorHAnsi"/>
        </w:rPr>
      </w:pPr>
      <w:r w:rsidRPr="00D355F7">
        <w:rPr>
          <w:rFonts w:cstheme="minorHAnsi"/>
        </w:rPr>
        <w:t>Jak widać, ocena procesu przygotowania strategii w znacznej mierze pokrywa się z całościową oceną współpracy między samorządami w ramach partnerstw. W tym przypadku jednak żaden z badanych nie wybrał odpowiedzi negatywnych („źle” czy „bardzo źle”).</w:t>
      </w:r>
    </w:p>
    <w:p w14:paraId="600CC1F1" w14:textId="47052242" w:rsidR="00F640D7" w:rsidRDefault="00F640D7" w:rsidP="00F640D7">
      <w:pPr>
        <w:pStyle w:val="Legenda"/>
      </w:pPr>
      <w:r>
        <w:lastRenderedPageBreak/>
        <w:t xml:space="preserve">Wykres </w:t>
      </w:r>
      <w:fldSimple w:instr=" SEQ Wykres \* ARABIC ">
        <w:r w:rsidR="00541DFA">
          <w:rPr>
            <w:noProof/>
          </w:rPr>
          <w:t>3</w:t>
        </w:r>
      </w:fldSimple>
      <w:r>
        <w:t xml:space="preserve"> Ocena współpracy między samorządami w ramach partnerstw terytorialnych</w:t>
      </w:r>
    </w:p>
    <w:p w14:paraId="64792BFE" w14:textId="27087C6E" w:rsidR="00BD6196" w:rsidRDefault="00D56E55" w:rsidP="00BD6196">
      <w:pPr>
        <w:spacing w:before="0" w:after="0"/>
        <w:rPr>
          <w:rFonts w:cstheme="minorHAnsi"/>
        </w:rPr>
      </w:pPr>
      <w:r>
        <w:rPr>
          <w:noProof/>
        </w:rPr>
        <w:drawing>
          <wp:inline distT="0" distB="0" distL="0" distR="0" wp14:anchorId="265ABE31" wp14:editId="169C65AB">
            <wp:extent cx="5410200" cy="2648309"/>
            <wp:effectExtent l="0" t="0" r="0" b="0"/>
            <wp:docPr id="1609236058" name="Wykres 1" descr="Wykres Ocena współpracy między samorządami w ramach partnerstw terytorialnych&#10;Wykres przedstawia odpowiedzi na pytanie kwestionariusza: Jak oceniają Państwo współpracę między samorządami w ramach partnerstwa terytorialnego?&#10;Bardzo dobrze - 32,8%&#10;Dobrze - 26,9%&#10;Przeciętnie - 19,4%&#10;Źle - 0,0%&#10;Bardzo źle - 0,0%&#10;Nie uczestniczyliśmy bezpośrednio we współpracy między JST - 4,5%&#10;Nie wiem/trudno powiedzieć - 16,4%">
              <a:extLst xmlns:a="http://schemas.openxmlformats.org/drawingml/2006/main">
                <a:ext uri="{FF2B5EF4-FFF2-40B4-BE49-F238E27FC236}">
                  <a16:creationId xmlns:a16="http://schemas.microsoft.com/office/drawing/2014/main" id="{E87D3B6E-CA9D-4737-AF85-C0B1EB86ABC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Del="005717DE">
        <w:rPr>
          <w:noProof/>
        </w:rPr>
        <w:t xml:space="preserve"> </w:t>
      </w:r>
    </w:p>
    <w:p w14:paraId="17998944" w14:textId="7E8E72A7" w:rsidR="00BD6196" w:rsidRDefault="00BD6196" w:rsidP="005A2787">
      <w:pPr>
        <w:pStyle w:val="rdo"/>
      </w:pPr>
      <w:r>
        <w:t xml:space="preserve">Źródło: </w:t>
      </w:r>
      <w:r w:rsidRPr="00EE7E76">
        <w:t>CAWI/CATI z wnioskodawcami FEdKP 2021-2027, n=</w:t>
      </w:r>
      <w:r>
        <w:t>67</w:t>
      </w:r>
      <w:r w:rsidRPr="00EE7E76">
        <w:t>. Odpowiedź na pytanie: „</w:t>
      </w:r>
      <w:r w:rsidRPr="00143C50">
        <w:t>Jak oceniają Państwo współpracę między samorządami w ramach partnerstwa terytorialnego?</w:t>
      </w:r>
      <w:r>
        <w:t>”.</w:t>
      </w:r>
    </w:p>
    <w:p w14:paraId="7833AEF2" w14:textId="059B2CDD" w:rsidR="00F640D7" w:rsidRDefault="00F640D7" w:rsidP="00F640D7">
      <w:pPr>
        <w:rPr>
          <w:rFonts w:cstheme="minorHAnsi"/>
        </w:rPr>
      </w:pPr>
      <w:r w:rsidRPr="0021237C">
        <w:rPr>
          <w:rFonts w:cstheme="minorHAnsi"/>
          <w:b/>
          <w:bCs/>
        </w:rPr>
        <w:t>W toku prac nad strategiami zawierano z IZ porozumienia terytorialne</w:t>
      </w:r>
      <w:r>
        <w:rPr>
          <w:rFonts w:cstheme="minorHAnsi"/>
        </w:rPr>
        <w:t xml:space="preserve">. To ten dokument </w:t>
      </w:r>
      <w:r w:rsidRPr="008B2473">
        <w:rPr>
          <w:rFonts w:cstheme="minorHAnsi"/>
        </w:rPr>
        <w:t xml:space="preserve">dawał samorządom lokalnym względną </w:t>
      </w:r>
      <w:r w:rsidRPr="0021237C">
        <w:rPr>
          <w:rFonts w:cstheme="minorHAnsi"/>
        </w:rPr>
        <w:t>pewność, że dana pula funduszy („koperta”) jest dla nich zarezerwowana na uzgodnione przed</w:t>
      </w:r>
      <w:r w:rsidRPr="008B2473">
        <w:rPr>
          <w:rFonts w:cstheme="minorHAnsi"/>
        </w:rPr>
        <w:t xml:space="preserve">sięwzięcia. Zapisanie w </w:t>
      </w:r>
      <w:r>
        <w:rPr>
          <w:rFonts w:cstheme="minorHAnsi"/>
        </w:rPr>
        <w:t>p</w:t>
      </w:r>
      <w:r w:rsidRPr="008B2473">
        <w:rPr>
          <w:rFonts w:cstheme="minorHAnsi"/>
        </w:rPr>
        <w:t>orozumieni</w:t>
      </w:r>
      <w:r>
        <w:rPr>
          <w:rFonts w:cstheme="minorHAnsi"/>
        </w:rPr>
        <w:t>ach</w:t>
      </w:r>
      <w:r w:rsidRPr="008B2473">
        <w:rPr>
          <w:rFonts w:cstheme="minorHAnsi"/>
        </w:rPr>
        <w:t xml:space="preserve"> listy projektów z przydzielonym finansowaniem</w:t>
      </w:r>
      <w:r>
        <w:rPr>
          <w:rFonts w:cstheme="minorHAnsi"/>
        </w:rPr>
        <w:t xml:space="preserve"> miało</w:t>
      </w:r>
      <w:r w:rsidRPr="008B2473">
        <w:rPr>
          <w:rFonts w:cstheme="minorHAnsi"/>
        </w:rPr>
        <w:t xml:space="preserve"> stanowi</w:t>
      </w:r>
      <w:r>
        <w:rPr>
          <w:rFonts w:cstheme="minorHAnsi"/>
        </w:rPr>
        <w:t>ć w teorii</w:t>
      </w:r>
      <w:r w:rsidRPr="008B2473">
        <w:rPr>
          <w:rFonts w:cstheme="minorHAnsi"/>
        </w:rPr>
        <w:t xml:space="preserve"> motywację do ich</w:t>
      </w:r>
      <w:r>
        <w:rPr>
          <w:rFonts w:cstheme="minorHAnsi"/>
        </w:rPr>
        <w:t xml:space="preserve"> sprawnego</w:t>
      </w:r>
      <w:r w:rsidRPr="008B2473">
        <w:rPr>
          <w:rFonts w:cstheme="minorHAnsi"/>
        </w:rPr>
        <w:t xml:space="preserve"> przygotowania</w:t>
      </w:r>
      <w:r>
        <w:rPr>
          <w:rFonts w:cstheme="minorHAnsi"/>
        </w:rPr>
        <w:t xml:space="preserve"> i wdrożenia</w:t>
      </w:r>
      <w:r w:rsidRPr="008B2473">
        <w:rPr>
          <w:rFonts w:cstheme="minorHAnsi"/>
        </w:rPr>
        <w:t xml:space="preserve"> – </w:t>
      </w:r>
      <w:r w:rsidR="001D0CE9">
        <w:rPr>
          <w:rFonts w:cstheme="minorHAnsi"/>
        </w:rPr>
        <w:t>poszczególne JST</w:t>
      </w:r>
      <w:r w:rsidR="001D0CE9" w:rsidRPr="008B2473">
        <w:rPr>
          <w:rFonts w:cstheme="minorHAnsi"/>
        </w:rPr>
        <w:t xml:space="preserve"> </w:t>
      </w:r>
      <w:r w:rsidRPr="008B2473">
        <w:rPr>
          <w:rFonts w:cstheme="minorHAnsi"/>
        </w:rPr>
        <w:t>wiedziały</w:t>
      </w:r>
      <w:r w:rsidR="00BD6196" w:rsidRPr="008B2473">
        <w:rPr>
          <w:rFonts w:cstheme="minorHAnsi"/>
        </w:rPr>
        <w:t>, jakie inwestycje mają pierwszeństwo</w:t>
      </w:r>
      <w:r w:rsidR="00BD6196">
        <w:rPr>
          <w:rFonts w:cstheme="minorHAnsi"/>
        </w:rPr>
        <w:t>, a jakie mogą być realizowane w rezerwie</w:t>
      </w:r>
      <w:r w:rsidR="00BD6196" w:rsidRPr="008B2473">
        <w:rPr>
          <w:rFonts w:cstheme="minorHAnsi"/>
        </w:rPr>
        <w:t>.</w:t>
      </w:r>
      <w:r>
        <w:rPr>
          <w:rFonts w:cstheme="minorHAnsi"/>
        </w:rPr>
        <w:t xml:space="preserve"> W praktyce jednak owa „pewność” mogła przynieść odwrotny skutek od zamierzonego – o czym mowa w dalszej części rozdziału. </w:t>
      </w:r>
    </w:p>
    <w:p w14:paraId="71CB716C" w14:textId="77777777" w:rsidR="00F640D7" w:rsidRPr="00087525" w:rsidRDefault="00F640D7" w:rsidP="00F640D7">
      <w:r w:rsidRPr="00087525">
        <w:rPr>
          <w:rFonts w:cstheme="minorHAnsi"/>
          <w:b/>
          <w:bCs/>
        </w:rPr>
        <w:t>Zawarcie porozumień było kluczowe do tego, by móc złożyć wniosek w nabor</w:t>
      </w:r>
      <w:r>
        <w:rPr>
          <w:rFonts w:cstheme="minorHAnsi"/>
          <w:b/>
          <w:bCs/>
        </w:rPr>
        <w:t>ze</w:t>
      </w:r>
      <w:r>
        <w:rPr>
          <w:rFonts w:cstheme="minorHAnsi"/>
        </w:rPr>
        <w:t xml:space="preserve">. </w:t>
      </w:r>
      <w:r w:rsidRPr="00087525">
        <w:rPr>
          <w:rFonts w:cstheme="minorHAnsi"/>
        </w:rPr>
        <w:t>Wynik</w:t>
      </w:r>
      <w:r w:rsidR="0020351D">
        <w:rPr>
          <w:rFonts w:cstheme="minorHAnsi"/>
        </w:rPr>
        <w:t>a</w:t>
      </w:r>
      <w:r w:rsidRPr="00087525">
        <w:rPr>
          <w:rFonts w:cstheme="minorHAnsi"/>
        </w:rPr>
        <w:t xml:space="preserve"> to bezpośrednio z zapisów kryteri</w:t>
      </w:r>
      <w:r>
        <w:rPr>
          <w:rFonts w:cstheme="minorHAnsi"/>
        </w:rPr>
        <w:t>ów</w:t>
      </w:r>
      <w:r w:rsidRPr="00087525">
        <w:rPr>
          <w:rFonts w:cstheme="minorHAnsi"/>
        </w:rPr>
        <w:t xml:space="preserve"> wyboru </w:t>
      </w:r>
      <w:r w:rsidRPr="00087525">
        <w:t>„Zgodność z właściwą strategią IIT dla OPPT” / „Zgodność z właściwą strategią ZIT”. W ramach tych kryteriów sprawdzane jest, czy:</w:t>
      </w:r>
    </w:p>
    <w:p w14:paraId="24CB31A6" w14:textId="77777777" w:rsidR="00F640D7" w:rsidRDefault="00F640D7" w:rsidP="00103D76">
      <w:pPr>
        <w:pStyle w:val="Akapitzlist"/>
        <w:numPr>
          <w:ilvl w:val="0"/>
          <w:numId w:val="24"/>
        </w:numPr>
      </w:pPr>
      <w:r>
        <w:t xml:space="preserve">„projekt został zamieszczony na liście podstawowej projektów, we właściwej ze względu na obszar </w:t>
      </w:r>
      <w:r w:rsidRPr="00CF1ED0">
        <w:t>strategii</w:t>
      </w:r>
      <w:r>
        <w:t xml:space="preserve"> –</w:t>
      </w:r>
      <w:r w:rsidRPr="00CF1ED0">
        <w:t xml:space="preserve"> ZIT posiadającej pozytywną opinię ministra właściwego do spraw rozwoju</w:t>
      </w:r>
      <w:r>
        <w:t xml:space="preserve"> regionalnego (jeśli dotyczy)/ IIT dla OPPT – posiadającej pozytywną opinię Instytucji Zarządzającej FEdKP</w:t>
      </w:r>
      <w:r>
        <w:rPr>
          <w:rStyle w:val="Odwoanieprzypisudolnego"/>
        </w:rPr>
        <w:footnoteReference w:id="36"/>
      </w:r>
      <w:r>
        <w:t>;</w:t>
      </w:r>
    </w:p>
    <w:p w14:paraId="223C790F" w14:textId="77777777" w:rsidR="00F640D7" w:rsidRDefault="00F640D7" w:rsidP="00103D76">
      <w:pPr>
        <w:pStyle w:val="Akapitzlist"/>
        <w:numPr>
          <w:ilvl w:val="0"/>
          <w:numId w:val="24"/>
        </w:numPr>
      </w:pPr>
      <w:r>
        <w:lastRenderedPageBreak/>
        <w:t>wartość dofinansowania UE określona we wniosku o dofinansowanie projektu nie przekracza wartości dofinansowania UE tego projektu wskazanej w fiszkach projektowych stanowiących załącznik do porozumienia terytorialnego;</w:t>
      </w:r>
    </w:p>
    <w:p w14:paraId="04FD006E" w14:textId="77777777" w:rsidR="00F640D7" w:rsidRPr="00087525" w:rsidRDefault="00F640D7" w:rsidP="00103D76">
      <w:pPr>
        <w:pStyle w:val="Akapitzlist"/>
        <w:numPr>
          <w:ilvl w:val="0"/>
          <w:numId w:val="24"/>
        </w:numPr>
      </w:pPr>
      <w:r>
        <w:t>we wniosku o dofinansowanie projektu zachowano wartości wskaźników wskazane w fiszkach projektowych stanowiących załącznik do porozumienia terytorialnego.”</w:t>
      </w:r>
    </w:p>
    <w:p w14:paraId="7906367A" w14:textId="7916C22A" w:rsidR="00F640D7" w:rsidRPr="008570E4" w:rsidRDefault="00F640D7" w:rsidP="00F640D7">
      <w:pPr>
        <w:rPr>
          <w:rFonts w:cstheme="minorHAnsi"/>
        </w:rPr>
      </w:pPr>
      <w:r>
        <w:rPr>
          <w:rFonts w:cstheme="minorHAnsi"/>
        </w:rPr>
        <w:t xml:space="preserve">Z uwagi na znaczenie faktu zawarcia porozumień terytorialnych dla skuteczności naborów, w ramach badania </w:t>
      </w:r>
      <w:r w:rsidRPr="00120EEF">
        <w:rPr>
          <w:rFonts w:cstheme="minorHAnsi"/>
        </w:rPr>
        <w:t>analizie poddano daty zawarcia porozumień terytorialnych (dla ZIT i OPPT) oraz daty rozpoczęcia i zakończenia naborów dotyczących tych instrumentów terytorialnych.</w:t>
      </w:r>
      <w:r>
        <w:rPr>
          <w:rFonts w:cstheme="minorHAnsi"/>
        </w:rPr>
        <w:t xml:space="preserve"> </w:t>
      </w:r>
      <w:r w:rsidR="00966C54">
        <w:rPr>
          <w:rFonts w:cstheme="minorHAnsi"/>
        </w:rPr>
        <w:t>D</w:t>
      </w:r>
      <w:r w:rsidRPr="008570E4">
        <w:rPr>
          <w:rFonts w:cstheme="minorHAnsi"/>
        </w:rPr>
        <w:t>aty zawarcia porozumień terytorialnych ZIT i OPPT prezentują się następująco:</w:t>
      </w:r>
    </w:p>
    <w:p w14:paraId="7E64E133" w14:textId="77A6BF87" w:rsidR="00F640D7" w:rsidRDefault="00F640D7" w:rsidP="00F640D7">
      <w:pPr>
        <w:pStyle w:val="Legenda"/>
      </w:pPr>
      <w:r>
        <w:t xml:space="preserve">Tabela </w:t>
      </w:r>
      <w:fldSimple w:instr=" SEQ Tabela \* ARABIC ">
        <w:r w:rsidR="00541DFA">
          <w:rPr>
            <w:noProof/>
          </w:rPr>
          <w:t>6</w:t>
        </w:r>
      </w:fldSimple>
      <w:r w:rsidR="001E1AAC">
        <w:t>.</w:t>
      </w:r>
      <w:r>
        <w:t xml:space="preserve"> Daty zawarcia porozumień terytorialnych ZIT/OPPT</w:t>
      </w:r>
    </w:p>
    <w:tbl>
      <w:tblPr>
        <w:tblStyle w:val="Tabelasiatki4akcent11"/>
        <w:tblW w:w="5000" w:type="pct"/>
        <w:tblLook w:val="04A0" w:firstRow="1" w:lastRow="0" w:firstColumn="1" w:lastColumn="0" w:noHBand="0" w:noVBand="1"/>
        <w:tblCaption w:val="Daty zawarcia porozumień terytorialnych ZIT/OPPT"/>
        <w:tblDescription w:val="Tabela przedstawia Daty zawarcia porozumień terytorialnych ZIT/OPPT ZIT Bydgoszczy 16.08.2023&#10;ZIT Torunia 24.10.2023&#10;ZIT Włocławka 26.10.2023&#10;ZIT Inowrocławia 06.10.2023&#10;ZIT Grudziądza 03.11.2023&#10;OPPT Brodnicy 19.12.2023&#10;OPPT Grudziądza 06.11.2023&#10;OPPT Inowrocławia 19.12.2023&#10;OPPT Lipna 04.12.2023&#10;OPPT Mogilna 24.11.2023&#10;OPPT Nakła nad Notecią 04.12.2023&#10;OPPT Radziejowa 19.12.2023&#10;OPPT Rypina 19.12.2023&#10;OPPT Sępólna Krajeńskiego 04.12.2023&#10;OPPT Świecia 24.11.2023&#10;OPPT Tucholi 16.11.2023&#10;OPPT Wąbrzeźna 16.11.2023&#10;OPPT Żnina 06.11.2023&#10;"/>
      </w:tblPr>
      <w:tblGrid>
        <w:gridCol w:w="3627"/>
        <w:gridCol w:w="5435"/>
      </w:tblGrid>
      <w:tr w:rsidR="00F640D7" w:rsidRPr="001C51A0" w14:paraId="00890DC5" w14:textId="77777777" w:rsidTr="00B87283">
        <w:trPr>
          <w:cnfStyle w:val="100000000000" w:firstRow="1" w:lastRow="0" w:firstColumn="0" w:lastColumn="0" w:oddVBand="0" w:evenVBand="0" w:oddHBand="0" w:evenHBand="0" w:firstRowFirstColumn="0" w:firstRowLastColumn="0" w:lastRowFirstColumn="0" w:lastRowLastColumn="0"/>
          <w:trHeight w:val="57"/>
          <w:tblHeader/>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7F205D88" w14:textId="77777777" w:rsidR="00F640D7" w:rsidRPr="001C51A0" w:rsidRDefault="00F640D7" w:rsidP="00B87283">
            <w:pPr>
              <w:spacing w:before="0"/>
              <w:rPr>
                <w:rFonts w:cstheme="minorHAnsi"/>
                <w:b w:val="0"/>
                <w:szCs w:val="24"/>
              </w:rPr>
            </w:pPr>
            <w:r w:rsidRPr="001C51A0">
              <w:rPr>
                <w:rFonts w:cstheme="minorHAnsi"/>
                <w:szCs w:val="24"/>
              </w:rPr>
              <w:t>Nazwa IT</w:t>
            </w:r>
          </w:p>
        </w:tc>
        <w:tc>
          <w:tcPr>
            <w:tcW w:w="2500" w:type="pct"/>
            <w:noWrap/>
            <w:vAlign w:val="center"/>
            <w:hideMark/>
          </w:tcPr>
          <w:p w14:paraId="17B11BED" w14:textId="77777777" w:rsidR="00F640D7" w:rsidRPr="001C51A0" w:rsidRDefault="00F640D7" w:rsidP="00B87283">
            <w:pPr>
              <w:spacing w:before="0"/>
              <w:cnfStyle w:val="100000000000" w:firstRow="1" w:lastRow="0" w:firstColumn="0" w:lastColumn="0" w:oddVBand="0" w:evenVBand="0" w:oddHBand="0" w:evenHBand="0" w:firstRowFirstColumn="0" w:firstRowLastColumn="0" w:lastRowFirstColumn="0" w:lastRowLastColumn="0"/>
              <w:rPr>
                <w:rFonts w:cstheme="minorHAnsi"/>
                <w:b w:val="0"/>
                <w:szCs w:val="24"/>
              </w:rPr>
            </w:pPr>
            <w:r w:rsidRPr="001C51A0">
              <w:rPr>
                <w:rFonts w:cstheme="minorHAnsi"/>
                <w:szCs w:val="24"/>
              </w:rPr>
              <w:t>Data zawarcia porozumienia terytorialnego</w:t>
            </w:r>
          </w:p>
        </w:tc>
      </w:tr>
      <w:tr w:rsidR="00F640D7" w:rsidRPr="001C51A0" w14:paraId="71C45370"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24E1FAA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Bydgoszczy</w:t>
            </w:r>
          </w:p>
        </w:tc>
        <w:tc>
          <w:tcPr>
            <w:tcW w:w="2500" w:type="pct"/>
            <w:noWrap/>
            <w:vAlign w:val="center"/>
            <w:hideMark/>
          </w:tcPr>
          <w:p w14:paraId="0C59F2CD" w14:textId="10D9C20C" w:rsidR="00F640D7" w:rsidRPr="001C51A0" w:rsidRDefault="00E92D58"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07.09.2023</w:t>
            </w:r>
          </w:p>
        </w:tc>
      </w:tr>
      <w:tr w:rsidR="00F640D7" w:rsidRPr="001C51A0" w14:paraId="7EF9925B"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3C1D14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Torunia</w:t>
            </w:r>
          </w:p>
        </w:tc>
        <w:tc>
          <w:tcPr>
            <w:tcW w:w="2500" w:type="pct"/>
            <w:noWrap/>
            <w:vAlign w:val="center"/>
            <w:hideMark/>
          </w:tcPr>
          <w:p w14:paraId="0D869472"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24.10.2023</w:t>
            </w:r>
          </w:p>
        </w:tc>
      </w:tr>
      <w:tr w:rsidR="00F640D7" w:rsidRPr="001C51A0" w14:paraId="07D0DABB"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770AF0F"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Włocławka</w:t>
            </w:r>
          </w:p>
        </w:tc>
        <w:tc>
          <w:tcPr>
            <w:tcW w:w="2500" w:type="pct"/>
            <w:noWrap/>
            <w:vAlign w:val="center"/>
            <w:hideMark/>
          </w:tcPr>
          <w:p w14:paraId="48F8B1F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26.10.2023</w:t>
            </w:r>
          </w:p>
        </w:tc>
      </w:tr>
      <w:tr w:rsidR="00F640D7" w:rsidRPr="001C51A0" w14:paraId="56AAAD28"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7263E4AA"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Inowrocławia</w:t>
            </w:r>
          </w:p>
        </w:tc>
        <w:tc>
          <w:tcPr>
            <w:tcW w:w="2500" w:type="pct"/>
            <w:noWrap/>
            <w:vAlign w:val="center"/>
            <w:hideMark/>
          </w:tcPr>
          <w:p w14:paraId="7D483874"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06.10.2023</w:t>
            </w:r>
          </w:p>
        </w:tc>
      </w:tr>
      <w:tr w:rsidR="00F640D7" w:rsidRPr="001C51A0" w14:paraId="496EE5AC"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6CC1AA79" w14:textId="77777777" w:rsidR="00F640D7" w:rsidRPr="001C51A0" w:rsidRDefault="00F640D7" w:rsidP="00B87283">
            <w:pPr>
              <w:spacing w:before="0"/>
              <w:rPr>
                <w:rFonts w:cstheme="minorHAnsi"/>
                <w:b w:val="0"/>
                <w:bCs w:val="0"/>
                <w:szCs w:val="24"/>
              </w:rPr>
            </w:pPr>
            <w:r w:rsidRPr="001C51A0">
              <w:rPr>
                <w:rFonts w:cstheme="minorHAnsi"/>
                <w:b w:val="0"/>
                <w:bCs w:val="0"/>
                <w:szCs w:val="24"/>
              </w:rPr>
              <w:t>ZIT Grudziądza</w:t>
            </w:r>
          </w:p>
        </w:tc>
        <w:tc>
          <w:tcPr>
            <w:tcW w:w="2500" w:type="pct"/>
            <w:noWrap/>
            <w:vAlign w:val="center"/>
            <w:hideMark/>
          </w:tcPr>
          <w:p w14:paraId="5CB5E715"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03.11.2023</w:t>
            </w:r>
          </w:p>
        </w:tc>
      </w:tr>
      <w:tr w:rsidR="00F640D7" w:rsidRPr="001C51A0" w14:paraId="7A5982F7"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E6DD78B"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Brodnicy</w:t>
            </w:r>
          </w:p>
        </w:tc>
        <w:tc>
          <w:tcPr>
            <w:tcW w:w="2500" w:type="pct"/>
            <w:noWrap/>
            <w:vAlign w:val="center"/>
            <w:hideMark/>
          </w:tcPr>
          <w:p w14:paraId="16F2C418"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215443F4"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57022B0D"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Grudziądza</w:t>
            </w:r>
          </w:p>
        </w:tc>
        <w:tc>
          <w:tcPr>
            <w:tcW w:w="2500" w:type="pct"/>
            <w:noWrap/>
            <w:vAlign w:val="center"/>
            <w:hideMark/>
          </w:tcPr>
          <w:p w14:paraId="093A6C2A"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06.11.2023</w:t>
            </w:r>
          </w:p>
        </w:tc>
      </w:tr>
      <w:tr w:rsidR="00F640D7" w:rsidRPr="001C51A0" w14:paraId="1953CA37"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8BFA010"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Inowrocławia</w:t>
            </w:r>
          </w:p>
        </w:tc>
        <w:tc>
          <w:tcPr>
            <w:tcW w:w="2500" w:type="pct"/>
            <w:noWrap/>
            <w:vAlign w:val="center"/>
            <w:hideMark/>
          </w:tcPr>
          <w:p w14:paraId="2A6C5709"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5369D79A"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E81609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Lipna</w:t>
            </w:r>
          </w:p>
        </w:tc>
        <w:tc>
          <w:tcPr>
            <w:tcW w:w="2500" w:type="pct"/>
            <w:noWrap/>
            <w:vAlign w:val="center"/>
            <w:hideMark/>
          </w:tcPr>
          <w:p w14:paraId="04628A8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20CDE0F3"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E81185F"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Mogilna</w:t>
            </w:r>
          </w:p>
        </w:tc>
        <w:tc>
          <w:tcPr>
            <w:tcW w:w="2500" w:type="pct"/>
            <w:noWrap/>
            <w:vAlign w:val="center"/>
            <w:hideMark/>
          </w:tcPr>
          <w:p w14:paraId="5990BDCA"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24.11.2023</w:t>
            </w:r>
          </w:p>
        </w:tc>
      </w:tr>
      <w:tr w:rsidR="00F640D7" w:rsidRPr="001C51A0" w14:paraId="31F90FA1"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53B99B4"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Nakła nad Notecią</w:t>
            </w:r>
          </w:p>
        </w:tc>
        <w:tc>
          <w:tcPr>
            <w:tcW w:w="2500" w:type="pct"/>
            <w:noWrap/>
            <w:vAlign w:val="center"/>
            <w:hideMark/>
          </w:tcPr>
          <w:p w14:paraId="2A84568C"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2CF698C9"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3AD95401"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Radziejowa</w:t>
            </w:r>
          </w:p>
        </w:tc>
        <w:tc>
          <w:tcPr>
            <w:tcW w:w="2500" w:type="pct"/>
            <w:noWrap/>
            <w:vAlign w:val="center"/>
            <w:hideMark/>
          </w:tcPr>
          <w:p w14:paraId="3E786CE6"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11038565"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0B5019B6"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Rypina</w:t>
            </w:r>
          </w:p>
        </w:tc>
        <w:tc>
          <w:tcPr>
            <w:tcW w:w="2500" w:type="pct"/>
            <w:noWrap/>
            <w:vAlign w:val="center"/>
            <w:hideMark/>
          </w:tcPr>
          <w:p w14:paraId="1AF7018F"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19.12.2023</w:t>
            </w:r>
          </w:p>
        </w:tc>
      </w:tr>
      <w:tr w:rsidR="00F640D7" w:rsidRPr="001C51A0" w14:paraId="6893FE96"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F21413E"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Sępólna Krajeńskiego</w:t>
            </w:r>
          </w:p>
        </w:tc>
        <w:tc>
          <w:tcPr>
            <w:tcW w:w="2500" w:type="pct"/>
            <w:noWrap/>
            <w:vAlign w:val="center"/>
            <w:hideMark/>
          </w:tcPr>
          <w:p w14:paraId="49D0C14A"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04.12.2023</w:t>
            </w:r>
          </w:p>
        </w:tc>
      </w:tr>
      <w:tr w:rsidR="00F640D7" w:rsidRPr="001C51A0" w14:paraId="6D0DBF41"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109A9E0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Świecia</w:t>
            </w:r>
          </w:p>
        </w:tc>
        <w:tc>
          <w:tcPr>
            <w:tcW w:w="2500" w:type="pct"/>
            <w:noWrap/>
            <w:vAlign w:val="center"/>
            <w:hideMark/>
          </w:tcPr>
          <w:p w14:paraId="16AC5A37"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24.11.2023</w:t>
            </w:r>
          </w:p>
        </w:tc>
      </w:tr>
      <w:tr w:rsidR="00F640D7" w:rsidRPr="001C51A0" w14:paraId="1C2EEFFC"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36F0132"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Tucholi</w:t>
            </w:r>
          </w:p>
        </w:tc>
        <w:tc>
          <w:tcPr>
            <w:tcW w:w="2500" w:type="pct"/>
            <w:noWrap/>
            <w:vAlign w:val="center"/>
            <w:hideMark/>
          </w:tcPr>
          <w:p w14:paraId="148DBA40"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16.11.2023</w:t>
            </w:r>
          </w:p>
        </w:tc>
      </w:tr>
      <w:tr w:rsidR="00F640D7" w:rsidRPr="001C51A0" w14:paraId="74735F57" w14:textId="77777777" w:rsidTr="00B87283">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4FB95C01"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Wąbrzeźna</w:t>
            </w:r>
          </w:p>
        </w:tc>
        <w:tc>
          <w:tcPr>
            <w:tcW w:w="2500" w:type="pct"/>
            <w:noWrap/>
            <w:vAlign w:val="center"/>
            <w:hideMark/>
          </w:tcPr>
          <w:p w14:paraId="150B7AD1" w14:textId="77777777" w:rsidR="00F640D7" w:rsidRPr="001C51A0" w:rsidRDefault="00F640D7" w:rsidP="00FA4EE0">
            <w:pPr>
              <w:spacing w:before="0"/>
              <w:jc w:val="right"/>
              <w:cnfStyle w:val="000000100000" w:firstRow="0" w:lastRow="0" w:firstColumn="0" w:lastColumn="0" w:oddVBand="0" w:evenVBand="0" w:oddHBand="1" w:evenHBand="0" w:firstRowFirstColumn="0" w:firstRowLastColumn="0" w:lastRowFirstColumn="0" w:lastRowLastColumn="0"/>
              <w:rPr>
                <w:rFonts w:cstheme="minorHAnsi"/>
                <w:szCs w:val="24"/>
              </w:rPr>
            </w:pPr>
            <w:r w:rsidRPr="001C51A0">
              <w:rPr>
                <w:rFonts w:cstheme="minorHAnsi"/>
                <w:szCs w:val="24"/>
              </w:rPr>
              <w:t>16.11.2023</w:t>
            </w:r>
          </w:p>
        </w:tc>
      </w:tr>
      <w:tr w:rsidR="00F640D7" w:rsidRPr="001C51A0" w14:paraId="74349E1A" w14:textId="77777777" w:rsidTr="00B87283">
        <w:trPr>
          <w:trHeight w:val="57"/>
        </w:trPr>
        <w:tc>
          <w:tcPr>
            <w:cnfStyle w:val="001000000000" w:firstRow="0" w:lastRow="0" w:firstColumn="1" w:lastColumn="0" w:oddVBand="0" w:evenVBand="0" w:oddHBand="0" w:evenHBand="0" w:firstRowFirstColumn="0" w:firstRowLastColumn="0" w:lastRowFirstColumn="0" w:lastRowLastColumn="0"/>
            <w:tcW w:w="2500" w:type="pct"/>
            <w:noWrap/>
            <w:vAlign w:val="center"/>
            <w:hideMark/>
          </w:tcPr>
          <w:p w14:paraId="091D8E63" w14:textId="77777777" w:rsidR="00F640D7" w:rsidRPr="001C51A0" w:rsidRDefault="00F640D7" w:rsidP="00B87283">
            <w:pPr>
              <w:spacing w:before="0"/>
              <w:rPr>
                <w:rFonts w:cstheme="minorHAnsi"/>
                <w:b w:val="0"/>
                <w:bCs w:val="0"/>
                <w:szCs w:val="24"/>
              </w:rPr>
            </w:pPr>
            <w:r w:rsidRPr="001C51A0">
              <w:rPr>
                <w:rFonts w:cstheme="minorHAnsi"/>
                <w:b w:val="0"/>
                <w:bCs w:val="0"/>
                <w:szCs w:val="24"/>
              </w:rPr>
              <w:t>OPPT Żnina</w:t>
            </w:r>
          </w:p>
        </w:tc>
        <w:tc>
          <w:tcPr>
            <w:tcW w:w="2500" w:type="pct"/>
            <w:noWrap/>
            <w:vAlign w:val="center"/>
            <w:hideMark/>
          </w:tcPr>
          <w:p w14:paraId="4DEC1028" w14:textId="77777777" w:rsidR="00F640D7" w:rsidRPr="001C51A0" w:rsidRDefault="00F640D7" w:rsidP="00FA4EE0">
            <w:pPr>
              <w:spacing w:before="0"/>
              <w:jc w:val="right"/>
              <w:cnfStyle w:val="000000000000" w:firstRow="0" w:lastRow="0" w:firstColumn="0" w:lastColumn="0" w:oddVBand="0" w:evenVBand="0" w:oddHBand="0" w:evenHBand="0" w:firstRowFirstColumn="0" w:firstRowLastColumn="0" w:lastRowFirstColumn="0" w:lastRowLastColumn="0"/>
              <w:rPr>
                <w:rFonts w:cstheme="minorHAnsi"/>
                <w:szCs w:val="24"/>
              </w:rPr>
            </w:pPr>
            <w:r w:rsidRPr="001C51A0">
              <w:rPr>
                <w:rFonts w:cstheme="minorHAnsi"/>
                <w:szCs w:val="24"/>
              </w:rPr>
              <w:t>06.11.2023</w:t>
            </w:r>
          </w:p>
        </w:tc>
      </w:tr>
    </w:tbl>
    <w:p w14:paraId="21A247E7" w14:textId="462B4260" w:rsidR="00F640D7" w:rsidRPr="008570E4" w:rsidRDefault="00F640D7" w:rsidP="005A2787">
      <w:pPr>
        <w:pStyle w:val="rdo"/>
      </w:pPr>
      <w:r>
        <w:t xml:space="preserve">Źródło: </w:t>
      </w:r>
      <w:r w:rsidRPr="008570E4">
        <w:t xml:space="preserve">Opracowanie własne na podstawie danych zawartych na </w:t>
      </w:r>
      <w:r w:rsidR="00880563">
        <w:t>stronie</w:t>
      </w:r>
      <w:r w:rsidR="00DB021A">
        <w:t xml:space="preserve"> </w:t>
      </w:r>
      <w:hyperlink r:id="rId20" w:history="1">
        <w:r w:rsidR="00DB021A">
          <w:rPr>
            <w:rStyle w:val="Hipercze"/>
          </w:rPr>
          <w:t>Instrumenty terytorialne</w:t>
        </w:r>
      </w:hyperlink>
      <w:r w:rsidR="00966C54">
        <w:t xml:space="preserve"> [Dostęp dnia 01.08.2025r.]</w:t>
      </w:r>
      <w:r w:rsidR="00DB021A">
        <w:t xml:space="preserve">. </w:t>
      </w:r>
    </w:p>
    <w:p w14:paraId="69AD3784" w14:textId="17C05A59" w:rsidR="00BD6196" w:rsidRPr="008570E4" w:rsidRDefault="00BD6196" w:rsidP="00BD6196">
      <w:pPr>
        <w:rPr>
          <w:rFonts w:cstheme="minorHAnsi"/>
        </w:rPr>
      </w:pPr>
      <w:r w:rsidRPr="000C4056">
        <w:rPr>
          <w:rFonts w:cstheme="minorHAnsi"/>
        </w:rPr>
        <w:t xml:space="preserve">Wszystkie porozumienia podpisane zostały w </w:t>
      </w:r>
      <w:r>
        <w:rPr>
          <w:rFonts w:cstheme="minorHAnsi"/>
        </w:rPr>
        <w:t>okresie od września do grudnia</w:t>
      </w:r>
      <w:r w:rsidRPr="000C4056">
        <w:rPr>
          <w:rFonts w:cstheme="minorHAnsi"/>
        </w:rPr>
        <w:t xml:space="preserve"> 2023 roku – </w:t>
      </w:r>
      <w:r>
        <w:rPr>
          <w:rFonts w:cstheme="minorHAnsi"/>
        </w:rPr>
        <w:t>z czego 7</w:t>
      </w:r>
      <w:r w:rsidRPr="000C4056">
        <w:rPr>
          <w:rFonts w:cstheme="minorHAnsi"/>
        </w:rPr>
        <w:t xml:space="preserve"> pod koniec roku. </w:t>
      </w:r>
    </w:p>
    <w:p w14:paraId="3537B18C" w14:textId="5F4B6AE2" w:rsidR="00BD6196" w:rsidRDefault="00BD6196" w:rsidP="00BD6196">
      <w:pPr>
        <w:rPr>
          <w:rFonts w:cstheme="minorHAnsi"/>
        </w:rPr>
        <w:sectPr w:rsidR="00BD6196" w:rsidSect="00BD6196">
          <w:pgSz w:w="11906" w:h="16838"/>
          <w:pgMar w:top="1417" w:right="1417" w:bottom="1417" w:left="1417" w:header="708" w:footer="708" w:gutter="0"/>
          <w:cols w:space="708"/>
          <w:docGrid w:linePitch="360"/>
        </w:sectPr>
      </w:pPr>
      <w:r>
        <w:rPr>
          <w:rFonts w:cstheme="minorHAnsi"/>
        </w:rPr>
        <w:t>W kolejnym kroku z</w:t>
      </w:r>
      <w:r w:rsidRPr="000A7E37">
        <w:rPr>
          <w:rFonts w:cstheme="minorHAnsi"/>
        </w:rPr>
        <w:t>estawi</w:t>
      </w:r>
      <w:r>
        <w:rPr>
          <w:rFonts w:cstheme="minorHAnsi"/>
        </w:rPr>
        <w:t>ono</w:t>
      </w:r>
      <w:r w:rsidRPr="000A7E37">
        <w:rPr>
          <w:rFonts w:cstheme="minorHAnsi"/>
        </w:rPr>
        <w:t xml:space="preserve"> te </w:t>
      </w:r>
      <w:r>
        <w:rPr>
          <w:rFonts w:cstheme="minorHAnsi"/>
        </w:rPr>
        <w:t xml:space="preserve">wybrane </w:t>
      </w:r>
      <w:r w:rsidRPr="000A7E37">
        <w:rPr>
          <w:rFonts w:cstheme="minorHAnsi"/>
        </w:rPr>
        <w:t xml:space="preserve">daty z datami ogłoszenia i zakończenia naborów „problemowych”, aby </w:t>
      </w:r>
      <w:r>
        <w:rPr>
          <w:rFonts w:cstheme="minorHAnsi"/>
        </w:rPr>
        <w:t>sprawdzić czy</w:t>
      </w:r>
      <w:r w:rsidRPr="000A7E37">
        <w:rPr>
          <w:rFonts w:cstheme="minorHAnsi"/>
        </w:rPr>
        <w:t xml:space="preserve"> </w:t>
      </w:r>
      <w:r>
        <w:rPr>
          <w:rFonts w:cstheme="minorHAnsi"/>
        </w:rPr>
        <w:t>brak składania WoD</w:t>
      </w:r>
      <w:r w:rsidRPr="000A7E37">
        <w:rPr>
          <w:rFonts w:cstheme="minorHAnsi"/>
        </w:rPr>
        <w:t xml:space="preserve"> związany</w:t>
      </w:r>
      <w:r>
        <w:rPr>
          <w:rFonts w:cstheme="minorHAnsi"/>
        </w:rPr>
        <w:t xml:space="preserve"> mógł być</w:t>
      </w:r>
      <w:r w:rsidRPr="000A7E37">
        <w:rPr>
          <w:rFonts w:cstheme="minorHAnsi"/>
        </w:rPr>
        <w:t xml:space="preserve"> z niewystarczając</w:t>
      </w:r>
      <w:r>
        <w:rPr>
          <w:rFonts w:cstheme="minorHAnsi"/>
        </w:rPr>
        <w:t>ą ilością</w:t>
      </w:r>
      <w:r w:rsidRPr="000A7E37">
        <w:rPr>
          <w:rFonts w:cstheme="minorHAnsi"/>
        </w:rPr>
        <w:t xml:space="preserve"> czas</w:t>
      </w:r>
      <w:r>
        <w:rPr>
          <w:rFonts w:cstheme="minorHAnsi"/>
        </w:rPr>
        <w:t>u</w:t>
      </w:r>
      <w:r w:rsidRPr="000A7E37">
        <w:rPr>
          <w:rFonts w:cstheme="minorHAnsi"/>
        </w:rPr>
        <w:t xml:space="preserve"> między przyjęciem porozumie</w:t>
      </w:r>
      <w:r>
        <w:rPr>
          <w:rFonts w:cstheme="minorHAnsi"/>
        </w:rPr>
        <w:t>ń</w:t>
      </w:r>
      <w:r w:rsidRPr="000A7E37">
        <w:rPr>
          <w:rFonts w:cstheme="minorHAnsi"/>
        </w:rPr>
        <w:t xml:space="preserve"> (a tym samym list zidentyfikowanych projektów) a naborami.</w:t>
      </w:r>
    </w:p>
    <w:p w14:paraId="71E61AF9" w14:textId="296D79EE" w:rsidR="00BD6196" w:rsidRDefault="00BD6196" w:rsidP="00BD6196">
      <w:pPr>
        <w:pStyle w:val="Legenda"/>
      </w:pPr>
      <w:r>
        <w:lastRenderedPageBreak/>
        <w:t xml:space="preserve">Tabela </w:t>
      </w:r>
      <w:fldSimple w:instr=" SEQ Tabela \* ARABIC ">
        <w:r w:rsidR="00541DFA">
          <w:rPr>
            <w:noProof/>
          </w:rPr>
          <w:t>7</w:t>
        </w:r>
      </w:fldSimple>
      <w:r>
        <w:t>. Różnica (wyrażona liczbą dni) między datami startu i zakończenia naborów a datami pierwszego i ostatniego porozumienia ZIT/OPPT</w:t>
      </w:r>
    </w:p>
    <w:tbl>
      <w:tblPr>
        <w:tblStyle w:val="Tabelasiatki4akcent11"/>
        <w:tblW w:w="5000" w:type="pct"/>
        <w:tblLook w:val="04A0" w:firstRow="1" w:lastRow="0" w:firstColumn="1" w:lastColumn="0" w:noHBand="0" w:noVBand="1"/>
        <w:tblCaption w:val="Różnica (wyrażona liczbą dni) między datami startu i zakończenia naborów a datami pierwszego i ostatniego porozumienia ZIT/OPPT"/>
        <w:tblDescription w:val="Tabela prezentuje różnice (w dniach) pomiędzy datami rozpoczęcia i zakończenia poszczególnych naborów projektowych a datami podpisania pierwszego i ostatniego porozumienia ZIT/OPPT. Zestawienie obejmuje nabory w różnych trybach, m.in. OPPT, ZIT oraz BydOF-IP, wraz z numerami naborów i konkretnymi datami startu oraz zakończenia.&#10;&#10;W pierwszej części tabeli widoczne są nabory z drugiej połowy 2023 roku, w których daty startu naboru poprzedzały podpisanie pierwszych porozumień nawet o ponad 120 dni, a zakończenie naboru następowało do około 200 dni po tej dacie. Przykładowo, dla naboru FEKP.02.18-IZ.00-022/23 (OPPT) rozpoczętego 7 lipca 2023 r., pierwsze porozumienie podpisano 6 listopada 2023 r., co daje różnicę -122 dni względem startu i 144 dni względem końca naboru.&#10;&#10;Kolejne pozycje dotyczą naborów rozpoczętych w 2024 roku, gdzie wartości te są dodatnie – oznacza to, że start i koniec naboru miały miejsce odpowiednio po podpisaniu pierwszych porozumień. Przykładowo, nabór FEKP.02.18-IZ.00-090/24 (OPPT) rozpoczął się 10 stycznia 2024 r., czyli 65 dni po pierwszym porozumieniu (6 listopada 2023 r.) i zakończył się 268 dni później.&#10;&#10;W przypadku naborów w trybie BydOF-IP, daty podpisania porozumień w sierpniu 2023 r. często znacznie wyprzedzały terminy naborów, co przekłada się na wysokie dodatnie wartości w kolumnach różnic. Rekordowe odstępy czasowe, przekraczające 400 dni, widoczne są w ostatnich pozycjach tabeli, np. dla naboru FEKP.03.02-IZ.00-168/24 (ZIT) zakończonego w styczniu 2025 r."/>
      </w:tblPr>
      <w:tblGrid>
        <w:gridCol w:w="2228"/>
        <w:gridCol w:w="1316"/>
        <w:gridCol w:w="958"/>
        <w:gridCol w:w="1428"/>
        <w:gridCol w:w="1467"/>
        <w:gridCol w:w="1747"/>
        <w:gridCol w:w="1790"/>
        <w:gridCol w:w="763"/>
        <w:gridCol w:w="763"/>
        <w:gridCol w:w="766"/>
        <w:gridCol w:w="768"/>
      </w:tblGrid>
      <w:tr w:rsidR="00BD6196" w:rsidRPr="001362B4" w14:paraId="38A543A0" w14:textId="77777777" w:rsidTr="00543FCF">
        <w:trPr>
          <w:cnfStyle w:val="100000000000" w:firstRow="1" w:lastRow="0" w:firstColumn="0" w:lastColumn="0" w:oddVBand="0" w:evenVBand="0" w:oddHBand="0" w:evenHBand="0" w:firstRowFirstColumn="0" w:firstRowLastColumn="0" w:lastRowFirstColumn="0" w:lastRowLastColumn="0"/>
          <w:trHeight w:val="886"/>
          <w:tblHeader/>
        </w:trPr>
        <w:tc>
          <w:tcPr>
            <w:cnfStyle w:val="001000000000" w:firstRow="0" w:lastRow="0" w:firstColumn="1" w:lastColumn="0" w:oddVBand="0" w:evenVBand="0" w:oddHBand="0" w:evenHBand="0" w:firstRowFirstColumn="0" w:firstRowLastColumn="0" w:lastRowFirstColumn="0" w:lastRowLastColumn="0"/>
            <w:tcW w:w="796" w:type="pct"/>
            <w:hideMark/>
          </w:tcPr>
          <w:p w14:paraId="23A5ABBC" w14:textId="77777777" w:rsidR="00BD6196" w:rsidRPr="0042335D" w:rsidRDefault="00BD6196" w:rsidP="00543FCF">
            <w:pPr>
              <w:spacing w:before="0" w:line="240" w:lineRule="auto"/>
              <w:rPr>
                <w:rFonts w:eastAsia="Times New Roman" w:cstheme="minorHAnsi"/>
                <w:color w:val="FFFFFF" w:themeColor="background1"/>
                <w:sz w:val="18"/>
                <w:szCs w:val="18"/>
                <w:lang w:eastAsia="pl-PL"/>
              </w:rPr>
            </w:pPr>
            <w:r>
              <w:rPr>
                <w:rFonts w:eastAsia="Times New Roman" w:cstheme="minorHAnsi"/>
                <w:color w:val="FFFFFF" w:themeColor="background1"/>
                <w:sz w:val="18"/>
                <w:szCs w:val="18"/>
                <w:lang w:eastAsia="pl-PL"/>
              </w:rPr>
              <w:t>N</w:t>
            </w:r>
            <w:r w:rsidRPr="0042335D">
              <w:rPr>
                <w:rFonts w:eastAsia="Times New Roman" w:cstheme="minorHAnsi"/>
                <w:color w:val="FFFFFF" w:themeColor="background1"/>
                <w:sz w:val="18"/>
                <w:szCs w:val="18"/>
                <w:lang w:eastAsia="pl-PL"/>
              </w:rPr>
              <w:t>umer naboru</w:t>
            </w:r>
          </w:p>
        </w:tc>
        <w:tc>
          <w:tcPr>
            <w:tcW w:w="366" w:type="pct"/>
          </w:tcPr>
          <w:p w14:paraId="25BA06B8" w14:textId="77777777" w:rsidR="00BD6196" w:rsidRPr="0099118C"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99118C">
              <w:rPr>
                <w:rFonts w:eastAsia="Times New Roman" w:cstheme="minorHAnsi"/>
                <w:color w:val="FFFFFF" w:themeColor="background1"/>
                <w:sz w:val="18"/>
                <w:szCs w:val="18"/>
                <w:lang w:eastAsia="pl-PL"/>
              </w:rPr>
              <w:t>Obszar wsparcia</w:t>
            </w:r>
          </w:p>
        </w:tc>
        <w:tc>
          <w:tcPr>
            <w:tcW w:w="354" w:type="pct"/>
            <w:hideMark/>
          </w:tcPr>
          <w:p w14:paraId="6CA075E4"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1362B4">
              <w:rPr>
                <w:rFonts w:eastAsia="Times New Roman" w:cstheme="minorHAnsi"/>
                <w:color w:val="FFFFFF" w:themeColor="background1"/>
                <w:sz w:val="18"/>
                <w:szCs w:val="18"/>
                <w:lang w:eastAsia="pl-PL"/>
              </w:rPr>
              <w:t>IT</w:t>
            </w:r>
          </w:p>
        </w:tc>
        <w:tc>
          <w:tcPr>
            <w:tcW w:w="522" w:type="pct"/>
            <w:hideMark/>
          </w:tcPr>
          <w:p w14:paraId="62D79CBE"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Start naboru [SN]</w:t>
            </w:r>
          </w:p>
        </w:tc>
        <w:tc>
          <w:tcPr>
            <w:tcW w:w="536" w:type="pct"/>
            <w:hideMark/>
          </w:tcPr>
          <w:p w14:paraId="04A51B0A"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Koniec naboru [KN]</w:t>
            </w:r>
          </w:p>
        </w:tc>
        <w:tc>
          <w:tcPr>
            <w:tcW w:w="636" w:type="pct"/>
            <w:hideMark/>
          </w:tcPr>
          <w:p w14:paraId="4D0B0554"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Data </w:t>
            </w:r>
            <w:r>
              <w:rPr>
                <w:rFonts w:eastAsia="Times New Roman" w:cstheme="minorHAnsi"/>
                <w:color w:val="FFFFFF" w:themeColor="background1"/>
                <w:sz w:val="18"/>
                <w:szCs w:val="18"/>
                <w:lang w:eastAsia="pl-PL"/>
              </w:rPr>
              <w:t xml:space="preserve">pierwszego </w:t>
            </w:r>
            <w:r w:rsidRPr="0042335D">
              <w:rPr>
                <w:rFonts w:eastAsia="Times New Roman" w:cstheme="minorHAnsi"/>
                <w:color w:val="FFFFFF" w:themeColor="background1"/>
                <w:sz w:val="18"/>
                <w:szCs w:val="18"/>
                <w:lang w:eastAsia="pl-PL"/>
              </w:rPr>
              <w:t>porozumienia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r w:rsidRPr="0042335D">
              <w:rPr>
                <w:rFonts w:eastAsia="Times New Roman" w:cstheme="minorHAnsi"/>
                <w:color w:val="FFFFFF" w:themeColor="background1"/>
                <w:sz w:val="18"/>
                <w:szCs w:val="18"/>
                <w:lang w:eastAsia="pl-PL"/>
              </w:rPr>
              <w:t>]</w:t>
            </w:r>
          </w:p>
        </w:tc>
        <w:tc>
          <w:tcPr>
            <w:tcW w:w="651" w:type="pct"/>
            <w:hideMark/>
          </w:tcPr>
          <w:p w14:paraId="3AD85849"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Data </w:t>
            </w:r>
            <w:r>
              <w:rPr>
                <w:rFonts w:eastAsia="Times New Roman" w:cstheme="minorHAnsi"/>
                <w:color w:val="FFFFFF" w:themeColor="background1"/>
                <w:sz w:val="18"/>
                <w:szCs w:val="18"/>
                <w:lang w:eastAsia="pl-PL"/>
              </w:rPr>
              <w:t>ostatniego</w:t>
            </w:r>
            <w:r w:rsidRPr="0042335D">
              <w:rPr>
                <w:rFonts w:eastAsia="Times New Roman" w:cstheme="minorHAnsi"/>
                <w:color w:val="FFFFFF" w:themeColor="background1"/>
                <w:sz w:val="18"/>
                <w:szCs w:val="18"/>
                <w:lang w:eastAsia="pl-PL"/>
              </w:rPr>
              <w:t xml:space="preserve"> porozumienia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r w:rsidRPr="0042335D">
              <w:rPr>
                <w:rFonts w:eastAsia="Times New Roman" w:cstheme="minorHAnsi"/>
                <w:color w:val="FFFFFF" w:themeColor="background1"/>
                <w:sz w:val="18"/>
                <w:szCs w:val="18"/>
                <w:lang w:eastAsia="pl-PL"/>
              </w:rPr>
              <w:t>]</w:t>
            </w:r>
          </w:p>
        </w:tc>
        <w:tc>
          <w:tcPr>
            <w:tcW w:w="284" w:type="pct"/>
            <w:hideMark/>
          </w:tcPr>
          <w:p w14:paraId="18BFAA29"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SN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p>
        </w:tc>
        <w:tc>
          <w:tcPr>
            <w:tcW w:w="284" w:type="pct"/>
            <w:hideMark/>
          </w:tcPr>
          <w:p w14:paraId="0BEF9EDF"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KN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p</w:t>
            </w:r>
            <w:proofErr w:type="spellEnd"/>
          </w:p>
        </w:tc>
        <w:tc>
          <w:tcPr>
            <w:tcW w:w="285" w:type="pct"/>
            <w:hideMark/>
          </w:tcPr>
          <w:p w14:paraId="02AE786E"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SN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p>
        </w:tc>
        <w:tc>
          <w:tcPr>
            <w:tcW w:w="286" w:type="pct"/>
            <w:hideMark/>
          </w:tcPr>
          <w:p w14:paraId="7A4EB5E6" w14:textId="77777777" w:rsidR="00BD6196" w:rsidRPr="0042335D" w:rsidRDefault="00BD6196" w:rsidP="00543FCF">
            <w:pPr>
              <w:spacing w:before="0" w:line="240" w:lineRule="auto"/>
              <w:cnfStyle w:val="100000000000" w:firstRow="1" w:lastRow="0" w:firstColumn="0" w:lastColumn="0" w:oddVBand="0" w:evenVBand="0" w:oddHBand="0" w:evenHBand="0" w:firstRowFirstColumn="0" w:firstRowLastColumn="0" w:lastRowFirstColumn="0" w:lastRowLastColumn="0"/>
              <w:rPr>
                <w:rFonts w:eastAsia="Times New Roman" w:cstheme="minorHAnsi"/>
                <w:color w:val="FFFFFF" w:themeColor="background1"/>
                <w:sz w:val="18"/>
                <w:szCs w:val="18"/>
                <w:lang w:eastAsia="pl-PL"/>
              </w:rPr>
            </w:pPr>
            <w:r w:rsidRPr="0042335D">
              <w:rPr>
                <w:rFonts w:eastAsia="Times New Roman" w:cstheme="minorHAnsi"/>
                <w:color w:val="FFFFFF" w:themeColor="background1"/>
                <w:sz w:val="18"/>
                <w:szCs w:val="18"/>
                <w:lang w:eastAsia="pl-PL"/>
              </w:rPr>
              <w:t xml:space="preserve">KN - </w:t>
            </w:r>
            <w:proofErr w:type="spellStart"/>
            <w:r w:rsidRPr="0042335D">
              <w:rPr>
                <w:rFonts w:eastAsia="Times New Roman" w:cstheme="minorHAnsi"/>
                <w:color w:val="FFFFFF" w:themeColor="background1"/>
                <w:sz w:val="18"/>
                <w:szCs w:val="18"/>
                <w:lang w:eastAsia="pl-PL"/>
              </w:rPr>
              <w:t>DPT</w:t>
            </w:r>
            <w:r>
              <w:rPr>
                <w:rFonts w:eastAsia="Times New Roman" w:cstheme="minorHAnsi"/>
                <w:color w:val="FFFFFF" w:themeColor="background1"/>
                <w:sz w:val="18"/>
                <w:szCs w:val="18"/>
                <w:lang w:eastAsia="pl-PL"/>
              </w:rPr>
              <w:t>o</w:t>
            </w:r>
            <w:proofErr w:type="spellEnd"/>
          </w:p>
        </w:tc>
      </w:tr>
      <w:tr w:rsidR="00BD6196" w:rsidRPr="0042335D" w14:paraId="6900FB71" w14:textId="77777777" w:rsidTr="00543FCF">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796" w:type="pct"/>
            <w:hideMark/>
          </w:tcPr>
          <w:p w14:paraId="3720207A"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FEKP.02.18-IZ.00-022/23</w:t>
            </w:r>
          </w:p>
        </w:tc>
        <w:tc>
          <w:tcPr>
            <w:tcW w:w="366" w:type="pct"/>
          </w:tcPr>
          <w:p w14:paraId="668AA982"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7095BB1D"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B382E0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07.07.2023</w:t>
            </w:r>
          </w:p>
        </w:tc>
        <w:tc>
          <w:tcPr>
            <w:tcW w:w="536" w:type="pct"/>
            <w:hideMark/>
          </w:tcPr>
          <w:p w14:paraId="754AFBB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29.03.2024</w:t>
            </w:r>
          </w:p>
        </w:tc>
        <w:tc>
          <w:tcPr>
            <w:tcW w:w="636" w:type="pct"/>
            <w:hideMark/>
          </w:tcPr>
          <w:p w14:paraId="58A688C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07D9D4E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4AC91B2D"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-122</w:t>
            </w:r>
          </w:p>
        </w:tc>
        <w:tc>
          <w:tcPr>
            <w:tcW w:w="284" w:type="pct"/>
            <w:hideMark/>
          </w:tcPr>
          <w:p w14:paraId="202459D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144</w:t>
            </w:r>
          </w:p>
        </w:tc>
        <w:tc>
          <w:tcPr>
            <w:tcW w:w="285" w:type="pct"/>
            <w:hideMark/>
          </w:tcPr>
          <w:p w14:paraId="2D97C521"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-165</w:t>
            </w:r>
          </w:p>
        </w:tc>
        <w:tc>
          <w:tcPr>
            <w:tcW w:w="286" w:type="pct"/>
            <w:hideMark/>
          </w:tcPr>
          <w:p w14:paraId="3272610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101</w:t>
            </w:r>
          </w:p>
        </w:tc>
      </w:tr>
      <w:tr w:rsidR="00BD6196" w:rsidRPr="0042335D" w14:paraId="468DA3C9" w14:textId="77777777" w:rsidTr="00543FCF">
        <w:trPr>
          <w:trHeight w:val="300"/>
        </w:trPr>
        <w:tc>
          <w:tcPr>
            <w:cnfStyle w:val="001000000000" w:firstRow="0" w:lastRow="0" w:firstColumn="1" w:lastColumn="0" w:oddVBand="0" w:evenVBand="0" w:oddHBand="0" w:evenHBand="0" w:firstRowFirstColumn="0" w:firstRowLastColumn="0" w:lastRowFirstColumn="0" w:lastRowLastColumn="0"/>
            <w:tcW w:w="796" w:type="pct"/>
            <w:hideMark/>
          </w:tcPr>
          <w:p w14:paraId="65BB1D3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FEKP.03.03-IZ.00-044/23</w:t>
            </w:r>
          </w:p>
        </w:tc>
        <w:tc>
          <w:tcPr>
            <w:tcW w:w="366" w:type="pct"/>
          </w:tcPr>
          <w:p w14:paraId="565C3718"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2ABA8071"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4FDE380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17.08.2023</w:t>
            </w:r>
          </w:p>
        </w:tc>
        <w:tc>
          <w:tcPr>
            <w:tcW w:w="536" w:type="pct"/>
            <w:hideMark/>
          </w:tcPr>
          <w:p w14:paraId="1B18619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11.03.2024</w:t>
            </w:r>
          </w:p>
        </w:tc>
        <w:tc>
          <w:tcPr>
            <w:tcW w:w="636" w:type="pct"/>
            <w:hideMark/>
          </w:tcPr>
          <w:p w14:paraId="11650A7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6C504A6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F4442D0"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-81</w:t>
            </w:r>
          </w:p>
        </w:tc>
        <w:tc>
          <w:tcPr>
            <w:tcW w:w="284" w:type="pct"/>
            <w:hideMark/>
          </w:tcPr>
          <w:p w14:paraId="58C4124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126</w:t>
            </w:r>
          </w:p>
        </w:tc>
        <w:tc>
          <w:tcPr>
            <w:tcW w:w="285" w:type="pct"/>
            <w:hideMark/>
          </w:tcPr>
          <w:p w14:paraId="74FE437F"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-124</w:t>
            </w:r>
          </w:p>
        </w:tc>
        <w:tc>
          <w:tcPr>
            <w:tcW w:w="286" w:type="pct"/>
            <w:hideMark/>
          </w:tcPr>
          <w:p w14:paraId="59705C3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83</w:t>
            </w:r>
          </w:p>
        </w:tc>
      </w:tr>
      <w:tr w:rsidR="00BD6196" w:rsidRPr="0042335D" w14:paraId="1D30E73C"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42D123A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FEKP.02.03-IZ.00-021/23</w:t>
            </w:r>
          </w:p>
        </w:tc>
        <w:tc>
          <w:tcPr>
            <w:tcW w:w="366" w:type="pct"/>
          </w:tcPr>
          <w:p w14:paraId="6C5151AC"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06B7206F"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3A63F9F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07.07.2023</w:t>
            </w:r>
          </w:p>
        </w:tc>
        <w:tc>
          <w:tcPr>
            <w:tcW w:w="536" w:type="pct"/>
            <w:hideMark/>
          </w:tcPr>
          <w:p w14:paraId="287A83E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29.03.2024</w:t>
            </w:r>
          </w:p>
        </w:tc>
        <w:tc>
          <w:tcPr>
            <w:tcW w:w="636" w:type="pct"/>
            <w:hideMark/>
          </w:tcPr>
          <w:p w14:paraId="7F230DB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7ED1BBF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F2492B9"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-91</w:t>
            </w:r>
          </w:p>
        </w:tc>
        <w:tc>
          <w:tcPr>
            <w:tcW w:w="284" w:type="pct"/>
            <w:hideMark/>
          </w:tcPr>
          <w:p w14:paraId="491DB2A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175</w:t>
            </w:r>
          </w:p>
        </w:tc>
        <w:tc>
          <w:tcPr>
            <w:tcW w:w="285" w:type="pct"/>
            <w:hideMark/>
          </w:tcPr>
          <w:p w14:paraId="135A81CA"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-119</w:t>
            </w:r>
          </w:p>
        </w:tc>
        <w:tc>
          <w:tcPr>
            <w:tcW w:w="286" w:type="pct"/>
            <w:hideMark/>
          </w:tcPr>
          <w:p w14:paraId="1231D7C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147</w:t>
            </w:r>
          </w:p>
        </w:tc>
      </w:tr>
      <w:tr w:rsidR="00BD6196" w:rsidRPr="0042335D" w14:paraId="66CB5BE1"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7823A3C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FEKP.06.14-IZ.00-048/23</w:t>
            </w:r>
          </w:p>
        </w:tc>
        <w:tc>
          <w:tcPr>
            <w:tcW w:w="366" w:type="pct"/>
          </w:tcPr>
          <w:p w14:paraId="0A4E6E2C"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7DE54B0C"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607D0CF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24.08.2023</w:t>
            </w:r>
          </w:p>
        </w:tc>
        <w:tc>
          <w:tcPr>
            <w:tcW w:w="536" w:type="pct"/>
            <w:hideMark/>
          </w:tcPr>
          <w:p w14:paraId="386802A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23.02.2024</w:t>
            </w:r>
          </w:p>
        </w:tc>
        <w:tc>
          <w:tcPr>
            <w:tcW w:w="636" w:type="pct"/>
            <w:hideMark/>
          </w:tcPr>
          <w:p w14:paraId="093B8C9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C8DBD0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49A4BAD"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-74</w:t>
            </w:r>
          </w:p>
        </w:tc>
        <w:tc>
          <w:tcPr>
            <w:tcW w:w="284" w:type="pct"/>
            <w:hideMark/>
          </w:tcPr>
          <w:p w14:paraId="5E560F4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109</w:t>
            </w:r>
          </w:p>
        </w:tc>
        <w:tc>
          <w:tcPr>
            <w:tcW w:w="285" w:type="pct"/>
            <w:hideMark/>
          </w:tcPr>
          <w:p w14:paraId="2694F222"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-117</w:t>
            </w:r>
          </w:p>
        </w:tc>
        <w:tc>
          <w:tcPr>
            <w:tcW w:w="286" w:type="pct"/>
            <w:hideMark/>
          </w:tcPr>
          <w:p w14:paraId="3B19C5F0"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66</w:t>
            </w:r>
          </w:p>
        </w:tc>
      </w:tr>
      <w:tr w:rsidR="00BD6196" w:rsidRPr="0042335D" w14:paraId="16B70E9B" w14:textId="77777777" w:rsidTr="00543FCF">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2290C2D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FEKP.08.10-IZ.00-025/23</w:t>
            </w:r>
          </w:p>
        </w:tc>
        <w:tc>
          <w:tcPr>
            <w:tcW w:w="366" w:type="pct"/>
          </w:tcPr>
          <w:p w14:paraId="268EC456"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Edukacja</w:t>
            </w:r>
          </w:p>
        </w:tc>
        <w:tc>
          <w:tcPr>
            <w:tcW w:w="354" w:type="pct"/>
            <w:hideMark/>
          </w:tcPr>
          <w:p w14:paraId="4E0EED1C"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DAB2B2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14.07.2023</w:t>
            </w:r>
          </w:p>
        </w:tc>
        <w:tc>
          <w:tcPr>
            <w:tcW w:w="536" w:type="pct"/>
            <w:hideMark/>
          </w:tcPr>
          <w:p w14:paraId="1AA36B2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30.04.2024</w:t>
            </w:r>
          </w:p>
        </w:tc>
        <w:tc>
          <w:tcPr>
            <w:tcW w:w="636" w:type="pct"/>
            <w:hideMark/>
          </w:tcPr>
          <w:p w14:paraId="0A52BE4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359FD4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E56B76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-84</w:t>
            </w:r>
          </w:p>
        </w:tc>
        <w:tc>
          <w:tcPr>
            <w:tcW w:w="284" w:type="pct"/>
            <w:hideMark/>
          </w:tcPr>
          <w:p w14:paraId="6FC6DB1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207</w:t>
            </w:r>
          </w:p>
        </w:tc>
        <w:tc>
          <w:tcPr>
            <w:tcW w:w="285" w:type="pct"/>
            <w:hideMark/>
          </w:tcPr>
          <w:p w14:paraId="3AD0A234"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-112</w:t>
            </w:r>
          </w:p>
        </w:tc>
        <w:tc>
          <w:tcPr>
            <w:tcW w:w="286" w:type="pct"/>
            <w:hideMark/>
          </w:tcPr>
          <w:p w14:paraId="70EB876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179</w:t>
            </w:r>
          </w:p>
        </w:tc>
      </w:tr>
      <w:tr w:rsidR="00BD6196" w:rsidRPr="0042335D" w14:paraId="284B20B3" w14:textId="77777777" w:rsidTr="00543FCF">
        <w:trPr>
          <w:trHeight w:val="263"/>
        </w:trPr>
        <w:tc>
          <w:tcPr>
            <w:cnfStyle w:val="001000000000" w:firstRow="0" w:lastRow="0" w:firstColumn="1" w:lastColumn="0" w:oddVBand="0" w:evenVBand="0" w:oddHBand="0" w:evenHBand="0" w:firstRowFirstColumn="0" w:firstRowLastColumn="0" w:lastRowFirstColumn="0" w:lastRowLastColumn="0"/>
            <w:tcW w:w="796" w:type="pct"/>
            <w:hideMark/>
          </w:tcPr>
          <w:p w14:paraId="07B8182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FEKP.08.13-IZ.00-026/23</w:t>
            </w:r>
          </w:p>
        </w:tc>
        <w:tc>
          <w:tcPr>
            <w:tcW w:w="366" w:type="pct"/>
          </w:tcPr>
          <w:p w14:paraId="3C83E484"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Edukacja</w:t>
            </w:r>
          </w:p>
        </w:tc>
        <w:tc>
          <w:tcPr>
            <w:tcW w:w="354" w:type="pct"/>
            <w:hideMark/>
          </w:tcPr>
          <w:p w14:paraId="2AE26CF4"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B7A8DA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17.07.2023</w:t>
            </w:r>
          </w:p>
        </w:tc>
        <w:tc>
          <w:tcPr>
            <w:tcW w:w="536" w:type="pct"/>
            <w:hideMark/>
          </w:tcPr>
          <w:p w14:paraId="379A192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16.01.2024</w:t>
            </w:r>
          </w:p>
        </w:tc>
        <w:tc>
          <w:tcPr>
            <w:tcW w:w="636" w:type="pct"/>
            <w:hideMark/>
          </w:tcPr>
          <w:p w14:paraId="2DC428A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5957E0E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1B5B3EFB"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-81</w:t>
            </w:r>
          </w:p>
        </w:tc>
        <w:tc>
          <w:tcPr>
            <w:tcW w:w="284" w:type="pct"/>
            <w:hideMark/>
          </w:tcPr>
          <w:p w14:paraId="168BE6D9"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102</w:t>
            </w:r>
          </w:p>
        </w:tc>
        <w:tc>
          <w:tcPr>
            <w:tcW w:w="285" w:type="pct"/>
            <w:hideMark/>
          </w:tcPr>
          <w:p w14:paraId="1023C723"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-109</w:t>
            </w:r>
          </w:p>
        </w:tc>
        <w:tc>
          <w:tcPr>
            <w:tcW w:w="286" w:type="pct"/>
            <w:hideMark/>
          </w:tcPr>
          <w:p w14:paraId="479B34F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74</w:t>
            </w:r>
          </w:p>
        </w:tc>
      </w:tr>
      <w:tr w:rsidR="00BD6196" w:rsidRPr="0042335D" w14:paraId="5675C5B5" w14:textId="77777777" w:rsidTr="00543FCF">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96" w:type="pct"/>
            <w:hideMark/>
          </w:tcPr>
          <w:p w14:paraId="6532455F"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FEKP.05.14-IZ.00-032/23</w:t>
            </w:r>
          </w:p>
        </w:tc>
        <w:tc>
          <w:tcPr>
            <w:tcW w:w="366" w:type="pct"/>
          </w:tcPr>
          <w:p w14:paraId="549C3F40"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Odnowa przestrzeni publicznych</w:t>
            </w:r>
          </w:p>
        </w:tc>
        <w:tc>
          <w:tcPr>
            <w:tcW w:w="354" w:type="pct"/>
            <w:hideMark/>
          </w:tcPr>
          <w:p w14:paraId="0933701E"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1560D7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05.09.2023</w:t>
            </w:r>
          </w:p>
        </w:tc>
        <w:tc>
          <w:tcPr>
            <w:tcW w:w="536" w:type="pct"/>
            <w:hideMark/>
          </w:tcPr>
          <w:p w14:paraId="3F3E410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25.03.2024</w:t>
            </w:r>
          </w:p>
        </w:tc>
        <w:tc>
          <w:tcPr>
            <w:tcW w:w="636" w:type="pct"/>
            <w:hideMark/>
          </w:tcPr>
          <w:p w14:paraId="525203E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F6BDA7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7A9714E"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-62</w:t>
            </w:r>
          </w:p>
        </w:tc>
        <w:tc>
          <w:tcPr>
            <w:tcW w:w="284" w:type="pct"/>
            <w:hideMark/>
          </w:tcPr>
          <w:p w14:paraId="1A6CA84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140</w:t>
            </w:r>
          </w:p>
        </w:tc>
        <w:tc>
          <w:tcPr>
            <w:tcW w:w="285" w:type="pct"/>
            <w:hideMark/>
          </w:tcPr>
          <w:p w14:paraId="557FCD88"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-105</w:t>
            </w:r>
          </w:p>
        </w:tc>
        <w:tc>
          <w:tcPr>
            <w:tcW w:w="286" w:type="pct"/>
            <w:hideMark/>
          </w:tcPr>
          <w:p w14:paraId="22FCC74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97</w:t>
            </w:r>
          </w:p>
        </w:tc>
      </w:tr>
      <w:tr w:rsidR="00BD6196" w:rsidRPr="0042335D" w14:paraId="10046B63" w14:textId="77777777" w:rsidTr="00543FCF">
        <w:trPr>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7F2EA590"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FEKP.06.04-IZ.00-031/23</w:t>
            </w:r>
          </w:p>
        </w:tc>
        <w:tc>
          <w:tcPr>
            <w:tcW w:w="366" w:type="pct"/>
          </w:tcPr>
          <w:p w14:paraId="3B928C55"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001E7F03"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CFB394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24.07.2023</w:t>
            </w:r>
          </w:p>
        </w:tc>
        <w:tc>
          <w:tcPr>
            <w:tcW w:w="536" w:type="pct"/>
            <w:hideMark/>
          </w:tcPr>
          <w:p w14:paraId="3CD24D6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29.02.2024</w:t>
            </w:r>
          </w:p>
        </w:tc>
        <w:tc>
          <w:tcPr>
            <w:tcW w:w="636" w:type="pct"/>
            <w:hideMark/>
          </w:tcPr>
          <w:p w14:paraId="6AF0A8D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D89DE9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1D2D9117"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-74</w:t>
            </w:r>
          </w:p>
        </w:tc>
        <w:tc>
          <w:tcPr>
            <w:tcW w:w="284" w:type="pct"/>
            <w:hideMark/>
          </w:tcPr>
          <w:p w14:paraId="7823DC5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146</w:t>
            </w:r>
          </w:p>
        </w:tc>
        <w:tc>
          <w:tcPr>
            <w:tcW w:w="285" w:type="pct"/>
            <w:hideMark/>
          </w:tcPr>
          <w:p w14:paraId="12C916A1"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-102</w:t>
            </w:r>
          </w:p>
        </w:tc>
        <w:tc>
          <w:tcPr>
            <w:tcW w:w="286" w:type="pct"/>
            <w:hideMark/>
          </w:tcPr>
          <w:p w14:paraId="4775DF4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118</w:t>
            </w:r>
          </w:p>
        </w:tc>
      </w:tr>
      <w:tr w:rsidR="00BD6196" w:rsidRPr="0042335D" w14:paraId="2ABBEEDF" w14:textId="77777777" w:rsidTr="00543FCF">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14986359"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FEKP.03.02-IZ.00-043/23</w:t>
            </w:r>
          </w:p>
        </w:tc>
        <w:tc>
          <w:tcPr>
            <w:tcW w:w="366" w:type="pct"/>
          </w:tcPr>
          <w:p w14:paraId="35281185"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5D34DA08"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F9D400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17.08.2023</w:t>
            </w:r>
          </w:p>
        </w:tc>
        <w:tc>
          <w:tcPr>
            <w:tcW w:w="536" w:type="pct"/>
            <w:hideMark/>
          </w:tcPr>
          <w:p w14:paraId="5EADD4D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11.03.2024</w:t>
            </w:r>
          </w:p>
        </w:tc>
        <w:tc>
          <w:tcPr>
            <w:tcW w:w="636" w:type="pct"/>
            <w:hideMark/>
          </w:tcPr>
          <w:p w14:paraId="4DCBDBF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0C300C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7401AEE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-50</w:t>
            </w:r>
          </w:p>
        </w:tc>
        <w:tc>
          <w:tcPr>
            <w:tcW w:w="284" w:type="pct"/>
            <w:hideMark/>
          </w:tcPr>
          <w:p w14:paraId="7F9FC1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157</w:t>
            </w:r>
          </w:p>
        </w:tc>
        <w:tc>
          <w:tcPr>
            <w:tcW w:w="285" w:type="pct"/>
            <w:hideMark/>
          </w:tcPr>
          <w:p w14:paraId="2EC51B9A"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-78</w:t>
            </w:r>
          </w:p>
        </w:tc>
        <w:tc>
          <w:tcPr>
            <w:tcW w:w="286" w:type="pct"/>
            <w:hideMark/>
          </w:tcPr>
          <w:p w14:paraId="5AC09FB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129</w:t>
            </w:r>
          </w:p>
        </w:tc>
      </w:tr>
      <w:tr w:rsidR="00BD6196" w:rsidRPr="0042335D" w14:paraId="6DFAE2FF"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06C7AE1E"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FEKP.05.13-IZ.00-058/23</w:t>
            </w:r>
          </w:p>
        </w:tc>
        <w:tc>
          <w:tcPr>
            <w:tcW w:w="366" w:type="pct"/>
          </w:tcPr>
          <w:p w14:paraId="356F64DB"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0D7CE2A1"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0B0EEF6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57028BF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25.04.2024</w:t>
            </w:r>
          </w:p>
        </w:tc>
        <w:tc>
          <w:tcPr>
            <w:tcW w:w="636" w:type="pct"/>
            <w:hideMark/>
          </w:tcPr>
          <w:p w14:paraId="17BF9AB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C9FCD4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0992F25D"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-33</w:t>
            </w:r>
          </w:p>
        </w:tc>
        <w:tc>
          <w:tcPr>
            <w:tcW w:w="284" w:type="pct"/>
            <w:hideMark/>
          </w:tcPr>
          <w:p w14:paraId="65689DE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171</w:t>
            </w:r>
          </w:p>
        </w:tc>
        <w:tc>
          <w:tcPr>
            <w:tcW w:w="285" w:type="pct"/>
            <w:hideMark/>
          </w:tcPr>
          <w:p w14:paraId="797E384C"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-76</w:t>
            </w:r>
          </w:p>
        </w:tc>
        <w:tc>
          <w:tcPr>
            <w:tcW w:w="286" w:type="pct"/>
            <w:hideMark/>
          </w:tcPr>
          <w:p w14:paraId="7A42C13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128</w:t>
            </w:r>
          </w:p>
        </w:tc>
      </w:tr>
      <w:tr w:rsidR="00BD6196" w:rsidRPr="0042335D" w14:paraId="255E3263"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4CE33B4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FEKP.05.07-IZ.00-033/23</w:t>
            </w:r>
          </w:p>
        </w:tc>
        <w:tc>
          <w:tcPr>
            <w:tcW w:w="366" w:type="pct"/>
          </w:tcPr>
          <w:p w14:paraId="44653F19"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Odnowa przestrzeni publicznych</w:t>
            </w:r>
          </w:p>
        </w:tc>
        <w:tc>
          <w:tcPr>
            <w:tcW w:w="354" w:type="pct"/>
            <w:hideMark/>
          </w:tcPr>
          <w:p w14:paraId="7B32800A"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5B66F74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05.09.2023</w:t>
            </w:r>
          </w:p>
        </w:tc>
        <w:tc>
          <w:tcPr>
            <w:tcW w:w="536" w:type="pct"/>
            <w:hideMark/>
          </w:tcPr>
          <w:p w14:paraId="1829D5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04.03.2024</w:t>
            </w:r>
          </w:p>
        </w:tc>
        <w:tc>
          <w:tcPr>
            <w:tcW w:w="636" w:type="pct"/>
            <w:hideMark/>
          </w:tcPr>
          <w:p w14:paraId="17E622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72BC1D8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35C6AE8C"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-31</w:t>
            </w:r>
          </w:p>
        </w:tc>
        <w:tc>
          <w:tcPr>
            <w:tcW w:w="284" w:type="pct"/>
            <w:hideMark/>
          </w:tcPr>
          <w:p w14:paraId="2223024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150</w:t>
            </w:r>
          </w:p>
        </w:tc>
        <w:tc>
          <w:tcPr>
            <w:tcW w:w="285" w:type="pct"/>
            <w:hideMark/>
          </w:tcPr>
          <w:p w14:paraId="341C552F"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-59</w:t>
            </w:r>
          </w:p>
        </w:tc>
        <w:tc>
          <w:tcPr>
            <w:tcW w:w="286" w:type="pct"/>
            <w:hideMark/>
          </w:tcPr>
          <w:p w14:paraId="3DFCC6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122</w:t>
            </w:r>
          </w:p>
        </w:tc>
      </w:tr>
      <w:tr w:rsidR="00BD6196" w:rsidRPr="0042335D" w14:paraId="4530280E" w14:textId="77777777" w:rsidTr="00543FCF">
        <w:trPr>
          <w:trHeight w:val="315"/>
        </w:trPr>
        <w:tc>
          <w:tcPr>
            <w:cnfStyle w:val="001000000000" w:firstRow="0" w:lastRow="0" w:firstColumn="1" w:lastColumn="0" w:oddVBand="0" w:evenVBand="0" w:oddHBand="0" w:evenHBand="0" w:firstRowFirstColumn="0" w:firstRowLastColumn="0" w:lastRowFirstColumn="0" w:lastRowLastColumn="0"/>
            <w:tcW w:w="796" w:type="pct"/>
            <w:hideMark/>
          </w:tcPr>
          <w:p w14:paraId="29BFD682"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FEKP.06.15-IZ.00-066/23</w:t>
            </w:r>
          </w:p>
        </w:tc>
        <w:tc>
          <w:tcPr>
            <w:tcW w:w="366" w:type="pct"/>
          </w:tcPr>
          <w:p w14:paraId="3F950B33"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Infrastruktura edukacyjna</w:t>
            </w:r>
          </w:p>
        </w:tc>
        <w:tc>
          <w:tcPr>
            <w:tcW w:w="354" w:type="pct"/>
            <w:hideMark/>
          </w:tcPr>
          <w:p w14:paraId="53DB726D"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24C1A3B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27.10.2023</w:t>
            </w:r>
          </w:p>
        </w:tc>
        <w:tc>
          <w:tcPr>
            <w:tcW w:w="536" w:type="pct"/>
            <w:hideMark/>
          </w:tcPr>
          <w:p w14:paraId="33B1FDA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26.04.2024</w:t>
            </w:r>
          </w:p>
        </w:tc>
        <w:tc>
          <w:tcPr>
            <w:tcW w:w="636" w:type="pct"/>
            <w:hideMark/>
          </w:tcPr>
          <w:p w14:paraId="4E5C60D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8FBA69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931E4AF"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-10</w:t>
            </w:r>
          </w:p>
        </w:tc>
        <w:tc>
          <w:tcPr>
            <w:tcW w:w="284" w:type="pct"/>
            <w:hideMark/>
          </w:tcPr>
          <w:p w14:paraId="0A1F0FE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172</w:t>
            </w:r>
          </w:p>
        </w:tc>
        <w:tc>
          <w:tcPr>
            <w:tcW w:w="285" w:type="pct"/>
            <w:hideMark/>
          </w:tcPr>
          <w:p w14:paraId="64B0D96B" w14:textId="77777777" w:rsidR="00BD6196" w:rsidRPr="00AA46DB"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-53</w:t>
            </w:r>
          </w:p>
        </w:tc>
        <w:tc>
          <w:tcPr>
            <w:tcW w:w="286" w:type="pct"/>
            <w:hideMark/>
          </w:tcPr>
          <w:p w14:paraId="6F91BDE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129</w:t>
            </w:r>
          </w:p>
        </w:tc>
      </w:tr>
      <w:tr w:rsidR="00BD6196" w:rsidRPr="0042335D" w14:paraId="08BBF0AA" w14:textId="77777777" w:rsidTr="00543FCF">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637D7DC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FEKP.05.04-IZ.00-057/23</w:t>
            </w:r>
          </w:p>
        </w:tc>
        <w:tc>
          <w:tcPr>
            <w:tcW w:w="366" w:type="pct"/>
          </w:tcPr>
          <w:p w14:paraId="604EE2DA"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4D61C1CD"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3A54B1E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5E3AFD3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25.04.2024</w:t>
            </w:r>
          </w:p>
        </w:tc>
        <w:tc>
          <w:tcPr>
            <w:tcW w:w="636" w:type="pct"/>
            <w:hideMark/>
          </w:tcPr>
          <w:p w14:paraId="1810BCD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552A1F4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BFE10ED"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-2</w:t>
            </w:r>
          </w:p>
        </w:tc>
        <w:tc>
          <w:tcPr>
            <w:tcW w:w="284" w:type="pct"/>
            <w:hideMark/>
          </w:tcPr>
          <w:p w14:paraId="6CDC27C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202</w:t>
            </w:r>
          </w:p>
        </w:tc>
        <w:tc>
          <w:tcPr>
            <w:tcW w:w="285" w:type="pct"/>
            <w:hideMark/>
          </w:tcPr>
          <w:p w14:paraId="54EF6C77" w14:textId="77777777" w:rsidR="00BD6196" w:rsidRPr="00AA46DB"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b/>
                <w:color w:val="000000" w:themeColor="text1"/>
                <w:sz w:val="18"/>
                <w:szCs w:val="18"/>
                <w:lang w:eastAsia="pl-PL"/>
              </w:rPr>
            </w:pPr>
            <w:r w:rsidRPr="00AA46DB">
              <w:rPr>
                <w:rFonts w:eastAsia="Times New Roman" w:cstheme="minorHAnsi"/>
                <w:b/>
                <w:color w:val="000000" w:themeColor="text1"/>
                <w:sz w:val="18"/>
                <w:szCs w:val="18"/>
                <w:lang w:eastAsia="pl-PL"/>
              </w:rPr>
              <w:t>-30</w:t>
            </w:r>
          </w:p>
        </w:tc>
        <w:tc>
          <w:tcPr>
            <w:tcW w:w="286" w:type="pct"/>
            <w:hideMark/>
          </w:tcPr>
          <w:p w14:paraId="0020E34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174</w:t>
            </w:r>
          </w:p>
        </w:tc>
      </w:tr>
      <w:tr w:rsidR="00BD6196" w:rsidRPr="0042335D" w14:paraId="4BF5E9C1"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2D0C6361"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FEKP.02.18-IZ.00-090/24</w:t>
            </w:r>
          </w:p>
        </w:tc>
        <w:tc>
          <w:tcPr>
            <w:tcW w:w="366" w:type="pct"/>
          </w:tcPr>
          <w:p w14:paraId="4F4D5C3E"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65D88336"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E2E981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10.01.2024</w:t>
            </w:r>
          </w:p>
        </w:tc>
        <w:tc>
          <w:tcPr>
            <w:tcW w:w="536" w:type="pct"/>
            <w:hideMark/>
          </w:tcPr>
          <w:p w14:paraId="1C8E872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31.07.2024</w:t>
            </w:r>
          </w:p>
        </w:tc>
        <w:tc>
          <w:tcPr>
            <w:tcW w:w="636" w:type="pct"/>
            <w:hideMark/>
          </w:tcPr>
          <w:p w14:paraId="22E384E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0D6DC84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47A89D5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65</w:t>
            </w:r>
          </w:p>
        </w:tc>
        <w:tc>
          <w:tcPr>
            <w:tcW w:w="284" w:type="pct"/>
            <w:hideMark/>
          </w:tcPr>
          <w:p w14:paraId="2AA8D4C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268</w:t>
            </w:r>
          </w:p>
        </w:tc>
        <w:tc>
          <w:tcPr>
            <w:tcW w:w="285" w:type="pct"/>
            <w:hideMark/>
          </w:tcPr>
          <w:p w14:paraId="29F74BF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w:t>
            </w:r>
          </w:p>
        </w:tc>
        <w:tc>
          <w:tcPr>
            <w:tcW w:w="286" w:type="pct"/>
            <w:hideMark/>
          </w:tcPr>
          <w:p w14:paraId="0F29A6E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225</w:t>
            </w:r>
          </w:p>
        </w:tc>
      </w:tr>
      <w:tr w:rsidR="00BD6196" w:rsidRPr="0042335D" w14:paraId="23DF697B" w14:textId="77777777" w:rsidTr="00543FCF">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34155D2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FEKP.02.19-IZ.00-092/24</w:t>
            </w:r>
          </w:p>
        </w:tc>
        <w:tc>
          <w:tcPr>
            <w:tcW w:w="366" w:type="pct"/>
          </w:tcPr>
          <w:p w14:paraId="32A3FC1C"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580B8E92"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4E694D0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38BE000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26.07.2024</w:t>
            </w:r>
          </w:p>
        </w:tc>
        <w:tc>
          <w:tcPr>
            <w:tcW w:w="636" w:type="pct"/>
            <w:hideMark/>
          </w:tcPr>
          <w:p w14:paraId="6C13121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32AA9DA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66EF5A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77</w:t>
            </w:r>
          </w:p>
        </w:tc>
        <w:tc>
          <w:tcPr>
            <w:tcW w:w="284" w:type="pct"/>
            <w:hideMark/>
          </w:tcPr>
          <w:p w14:paraId="79D29CF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263</w:t>
            </w:r>
          </w:p>
        </w:tc>
        <w:tc>
          <w:tcPr>
            <w:tcW w:w="285" w:type="pct"/>
            <w:hideMark/>
          </w:tcPr>
          <w:p w14:paraId="1FDBE03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34</w:t>
            </w:r>
          </w:p>
        </w:tc>
        <w:tc>
          <w:tcPr>
            <w:tcW w:w="286" w:type="pct"/>
            <w:hideMark/>
          </w:tcPr>
          <w:p w14:paraId="51361C1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220</w:t>
            </w:r>
          </w:p>
        </w:tc>
      </w:tr>
      <w:tr w:rsidR="00BD6196" w:rsidRPr="0042335D" w14:paraId="004055D4"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4CDE5B17"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FEKP.03.03-IZ.00-085/24</w:t>
            </w:r>
          </w:p>
        </w:tc>
        <w:tc>
          <w:tcPr>
            <w:tcW w:w="366" w:type="pct"/>
          </w:tcPr>
          <w:p w14:paraId="09595F2B"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4A4B7FB"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7E32FD5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52DAE5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4485772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4F38D43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5231C23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77</w:t>
            </w:r>
          </w:p>
        </w:tc>
        <w:tc>
          <w:tcPr>
            <w:tcW w:w="284" w:type="pct"/>
            <w:hideMark/>
          </w:tcPr>
          <w:p w14:paraId="59F433A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259</w:t>
            </w:r>
          </w:p>
        </w:tc>
        <w:tc>
          <w:tcPr>
            <w:tcW w:w="285" w:type="pct"/>
            <w:hideMark/>
          </w:tcPr>
          <w:p w14:paraId="086DB98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34</w:t>
            </w:r>
          </w:p>
        </w:tc>
        <w:tc>
          <w:tcPr>
            <w:tcW w:w="286" w:type="pct"/>
            <w:hideMark/>
          </w:tcPr>
          <w:p w14:paraId="7473243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216</w:t>
            </w:r>
          </w:p>
        </w:tc>
      </w:tr>
      <w:tr w:rsidR="00BD6196" w:rsidRPr="0042335D" w14:paraId="495967A6" w14:textId="77777777" w:rsidTr="00543FCF">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3F295A6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lastRenderedPageBreak/>
              <w:t>FEKP.05.03-IP.02-008/23</w:t>
            </w:r>
          </w:p>
        </w:tc>
        <w:tc>
          <w:tcPr>
            <w:tcW w:w="366" w:type="pct"/>
          </w:tcPr>
          <w:p w14:paraId="307D86E5"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Turystyka</w:t>
            </w:r>
          </w:p>
        </w:tc>
        <w:tc>
          <w:tcPr>
            <w:tcW w:w="354" w:type="pct"/>
            <w:hideMark/>
          </w:tcPr>
          <w:p w14:paraId="5AACDBE0"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347C14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04.10.2023</w:t>
            </w:r>
          </w:p>
        </w:tc>
        <w:tc>
          <w:tcPr>
            <w:tcW w:w="536" w:type="pct"/>
            <w:hideMark/>
          </w:tcPr>
          <w:p w14:paraId="1731940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30.04.2024</w:t>
            </w:r>
          </w:p>
        </w:tc>
        <w:tc>
          <w:tcPr>
            <w:tcW w:w="636" w:type="pct"/>
            <w:hideMark/>
          </w:tcPr>
          <w:p w14:paraId="6407A07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13A3AE4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0960AFDC"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49</w:t>
            </w:r>
          </w:p>
        </w:tc>
        <w:tc>
          <w:tcPr>
            <w:tcW w:w="284" w:type="pct"/>
            <w:hideMark/>
          </w:tcPr>
          <w:p w14:paraId="5D473FE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258</w:t>
            </w:r>
          </w:p>
        </w:tc>
        <w:tc>
          <w:tcPr>
            <w:tcW w:w="285" w:type="pct"/>
            <w:hideMark/>
          </w:tcPr>
          <w:p w14:paraId="116B1E25"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49</w:t>
            </w:r>
          </w:p>
        </w:tc>
        <w:tc>
          <w:tcPr>
            <w:tcW w:w="286" w:type="pct"/>
            <w:hideMark/>
          </w:tcPr>
          <w:p w14:paraId="55701EC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258</w:t>
            </w:r>
          </w:p>
        </w:tc>
      </w:tr>
      <w:tr w:rsidR="00BD6196" w:rsidRPr="0042335D" w14:paraId="17E69DDD" w14:textId="77777777" w:rsidTr="00543FCF">
        <w:trPr>
          <w:trHeight w:val="300"/>
        </w:trPr>
        <w:tc>
          <w:tcPr>
            <w:cnfStyle w:val="001000000000" w:firstRow="0" w:lastRow="0" w:firstColumn="1" w:lastColumn="0" w:oddVBand="0" w:evenVBand="0" w:oddHBand="0" w:evenHBand="0" w:firstRowFirstColumn="0" w:firstRowLastColumn="0" w:lastRowFirstColumn="0" w:lastRowLastColumn="0"/>
            <w:tcW w:w="796" w:type="pct"/>
            <w:hideMark/>
          </w:tcPr>
          <w:p w14:paraId="05EA1D5B"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FEKP.05.12-IZ.00-099/24</w:t>
            </w:r>
          </w:p>
        </w:tc>
        <w:tc>
          <w:tcPr>
            <w:tcW w:w="366" w:type="pct"/>
          </w:tcPr>
          <w:p w14:paraId="0174DB91"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Kultura</w:t>
            </w:r>
          </w:p>
        </w:tc>
        <w:tc>
          <w:tcPr>
            <w:tcW w:w="354" w:type="pct"/>
            <w:hideMark/>
          </w:tcPr>
          <w:p w14:paraId="7B18034B"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6343483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15.02.2024</w:t>
            </w:r>
          </w:p>
        </w:tc>
        <w:tc>
          <w:tcPr>
            <w:tcW w:w="536" w:type="pct"/>
            <w:hideMark/>
          </w:tcPr>
          <w:p w14:paraId="2737121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14.08.2024</w:t>
            </w:r>
          </w:p>
        </w:tc>
        <w:tc>
          <w:tcPr>
            <w:tcW w:w="636" w:type="pct"/>
            <w:hideMark/>
          </w:tcPr>
          <w:p w14:paraId="06BD021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1C055BF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14A5A3A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101</w:t>
            </w:r>
          </w:p>
        </w:tc>
        <w:tc>
          <w:tcPr>
            <w:tcW w:w="284" w:type="pct"/>
            <w:hideMark/>
          </w:tcPr>
          <w:p w14:paraId="31848C8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282</w:t>
            </w:r>
          </w:p>
        </w:tc>
        <w:tc>
          <w:tcPr>
            <w:tcW w:w="285" w:type="pct"/>
            <w:hideMark/>
          </w:tcPr>
          <w:p w14:paraId="45109DE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58</w:t>
            </w:r>
          </w:p>
        </w:tc>
        <w:tc>
          <w:tcPr>
            <w:tcW w:w="286" w:type="pct"/>
            <w:hideMark/>
          </w:tcPr>
          <w:p w14:paraId="29861529"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239</w:t>
            </w:r>
          </w:p>
        </w:tc>
      </w:tr>
      <w:tr w:rsidR="00BD6196" w:rsidRPr="0042335D" w14:paraId="0241FA3E" w14:textId="77777777" w:rsidTr="00543FCF">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0542E435"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FEKP.01.08-IZ.00-097/24</w:t>
            </w:r>
          </w:p>
        </w:tc>
        <w:tc>
          <w:tcPr>
            <w:tcW w:w="366" w:type="pct"/>
          </w:tcPr>
          <w:p w14:paraId="72396C37"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Wsparcie MŚP</w:t>
            </w:r>
          </w:p>
        </w:tc>
        <w:tc>
          <w:tcPr>
            <w:tcW w:w="354" w:type="pct"/>
            <w:hideMark/>
          </w:tcPr>
          <w:p w14:paraId="1FF96535"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OPPT</w:t>
            </w:r>
          </w:p>
        </w:tc>
        <w:tc>
          <w:tcPr>
            <w:tcW w:w="522" w:type="pct"/>
            <w:hideMark/>
          </w:tcPr>
          <w:p w14:paraId="3DAC530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20.02.2024</w:t>
            </w:r>
          </w:p>
        </w:tc>
        <w:tc>
          <w:tcPr>
            <w:tcW w:w="536" w:type="pct"/>
            <w:hideMark/>
          </w:tcPr>
          <w:p w14:paraId="16FA3D4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19.08.2024</w:t>
            </w:r>
          </w:p>
        </w:tc>
        <w:tc>
          <w:tcPr>
            <w:tcW w:w="636" w:type="pct"/>
            <w:hideMark/>
          </w:tcPr>
          <w:p w14:paraId="190D07A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06.11.2023</w:t>
            </w:r>
          </w:p>
        </w:tc>
        <w:tc>
          <w:tcPr>
            <w:tcW w:w="651" w:type="pct"/>
            <w:hideMark/>
          </w:tcPr>
          <w:p w14:paraId="23EAB8F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19.12.2023</w:t>
            </w:r>
          </w:p>
        </w:tc>
        <w:tc>
          <w:tcPr>
            <w:tcW w:w="284" w:type="pct"/>
            <w:hideMark/>
          </w:tcPr>
          <w:p w14:paraId="7EC6401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106</w:t>
            </w:r>
          </w:p>
        </w:tc>
        <w:tc>
          <w:tcPr>
            <w:tcW w:w="284" w:type="pct"/>
            <w:hideMark/>
          </w:tcPr>
          <w:p w14:paraId="16953E7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287</w:t>
            </w:r>
          </w:p>
        </w:tc>
        <w:tc>
          <w:tcPr>
            <w:tcW w:w="285" w:type="pct"/>
            <w:hideMark/>
          </w:tcPr>
          <w:p w14:paraId="768B521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63</w:t>
            </w:r>
          </w:p>
        </w:tc>
        <w:tc>
          <w:tcPr>
            <w:tcW w:w="286" w:type="pct"/>
            <w:hideMark/>
          </w:tcPr>
          <w:p w14:paraId="59D9594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244</w:t>
            </w:r>
          </w:p>
        </w:tc>
      </w:tr>
      <w:tr w:rsidR="00BD6196" w:rsidRPr="0042335D" w14:paraId="63C96A2F" w14:textId="77777777" w:rsidTr="00543FCF">
        <w:trPr>
          <w:trHeight w:val="278"/>
        </w:trPr>
        <w:tc>
          <w:tcPr>
            <w:cnfStyle w:val="001000000000" w:firstRow="0" w:lastRow="0" w:firstColumn="1" w:lastColumn="0" w:oddVBand="0" w:evenVBand="0" w:oddHBand="0" w:evenHBand="0" w:firstRowFirstColumn="0" w:firstRowLastColumn="0" w:lastRowFirstColumn="0" w:lastRowLastColumn="0"/>
            <w:tcW w:w="796" w:type="pct"/>
            <w:hideMark/>
          </w:tcPr>
          <w:p w14:paraId="3829D804"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FEKP.02.03-IZ.00-089/24</w:t>
            </w:r>
          </w:p>
        </w:tc>
        <w:tc>
          <w:tcPr>
            <w:tcW w:w="366" w:type="pct"/>
          </w:tcPr>
          <w:p w14:paraId="3850F3D6"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Efektywność energetyczna</w:t>
            </w:r>
          </w:p>
        </w:tc>
        <w:tc>
          <w:tcPr>
            <w:tcW w:w="354" w:type="pct"/>
            <w:hideMark/>
          </w:tcPr>
          <w:p w14:paraId="14A7362E"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6DD6499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10.01.2024</w:t>
            </w:r>
          </w:p>
        </w:tc>
        <w:tc>
          <w:tcPr>
            <w:tcW w:w="536" w:type="pct"/>
            <w:hideMark/>
          </w:tcPr>
          <w:p w14:paraId="50D21F9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31.07.2024</w:t>
            </w:r>
          </w:p>
        </w:tc>
        <w:tc>
          <w:tcPr>
            <w:tcW w:w="636" w:type="pct"/>
            <w:hideMark/>
          </w:tcPr>
          <w:p w14:paraId="2813AA5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1579CEE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7D042A5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96</w:t>
            </w:r>
          </w:p>
        </w:tc>
        <w:tc>
          <w:tcPr>
            <w:tcW w:w="284" w:type="pct"/>
            <w:hideMark/>
          </w:tcPr>
          <w:p w14:paraId="23D9606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299</w:t>
            </w:r>
          </w:p>
        </w:tc>
        <w:tc>
          <w:tcPr>
            <w:tcW w:w="285" w:type="pct"/>
            <w:hideMark/>
          </w:tcPr>
          <w:p w14:paraId="65549274"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68</w:t>
            </w:r>
          </w:p>
        </w:tc>
        <w:tc>
          <w:tcPr>
            <w:tcW w:w="286" w:type="pct"/>
            <w:hideMark/>
          </w:tcPr>
          <w:p w14:paraId="7883651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271</w:t>
            </w:r>
          </w:p>
        </w:tc>
      </w:tr>
      <w:tr w:rsidR="00BD6196" w:rsidRPr="0042335D" w14:paraId="5593C8F2" w14:textId="77777777" w:rsidTr="00543FCF">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796" w:type="pct"/>
            <w:hideMark/>
          </w:tcPr>
          <w:p w14:paraId="40FB76A6"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FEKP.02.07-IZ.00-091/24</w:t>
            </w:r>
          </w:p>
        </w:tc>
        <w:tc>
          <w:tcPr>
            <w:tcW w:w="366" w:type="pct"/>
          </w:tcPr>
          <w:p w14:paraId="0A039586"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468BF9A4"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02F4D8C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62C253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669CF5F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2E95EC8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89FCABD"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108</w:t>
            </w:r>
          </w:p>
        </w:tc>
        <w:tc>
          <w:tcPr>
            <w:tcW w:w="284" w:type="pct"/>
            <w:hideMark/>
          </w:tcPr>
          <w:p w14:paraId="35318A6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c>
          <w:tcPr>
            <w:tcW w:w="285" w:type="pct"/>
            <w:hideMark/>
          </w:tcPr>
          <w:p w14:paraId="48967D4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80</w:t>
            </w:r>
          </w:p>
        </w:tc>
        <w:tc>
          <w:tcPr>
            <w:tcW w:w="286" w:type="pct"/>
            <w:hideMark/>
          </w:tcPr>
          <w:p w14:paraId="50512F6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262</w:t>
            </w:r>
          </w:p>
        </w:tc>
      </w:tr>
      <w:tr w:rsidR="00BD6196" w:rsidRPr="0042335D" w14:paraId="021A7E6F" w14:textId="77777777" w:rsidTr="00543FCF">
        <w:trPr>
          <w:trHeight w:val="330"/>
        </w:trPr>
        <w:tc>
          <w:tcPr>
            <w:cnfStyle w:val="001000000000" w:firstRow="0" w:lastRow="0" w:firstColumn="1" w:lastColumn="0" w:oddVBand="0" w:evenVBand="0" w:oddHBand="0" w:evenHBand="0" w:firstRowFirstColumn="0" w:firstRowLastColumn="0" w:lastRowFirstColumn="0" w:lastRowLastColumn="0"/>
            <w:tcW w:w="796" w:type="pct"/>
            <w:hideMark/>
          </w:tcPr>
          <w:p w14:paraId="2190DFE8"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FEKP.03.02-IZ.00-086/24</w:t>
            </w:r>
          </w:p>
        </w:tc>
        <w:tc>
          <w:tcPr>
            <w:tcW w:w="366" w:type="pct"/>
          </w:tcPr>
          <w:p w14:paraId="4DEA81A6"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387CAA40"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219C3723"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00FC040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22.07.2024</w:t>
            </w:r>
          </w:p>
        </w:tc>
        <w:tc>
          <w:tcPr>
            <w:tcW w:w="636" w:type="pct"/>
            <w:hideMark/>
          </w:tcPr>
          <w:p w14:paraId="5F33FB07"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68321DF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65B5BED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108</w:t>
            </w:r>
          </w:p>
        </w:tc>
        <w:tc>
          <w:tcPr>
            <w:tcW w:w="284" w:type="pct"/>
            <w:hideMark/>
          </w:tcPr>
          <w:p w14:paraId="08680E7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c>
          <w:tcPr>
            <w:tcW w:w="285" w:type="pct"/>
            <w:hideMark/>
          </w:tcPr>
          <w:p w14:paraId="1AFF871B"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80</w:t>
            </w:r>
          </w:p>
        </w:tc>
        <w:tc>
          <w:tcPr>
            <w:tcW w:w="286" w:type="pct"/>
            <w:hideMark/>
          </w:tcPr>
          <w:p w14:paraId="57EEE02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262</w:t>
            </w:r>
          </w:p>
        </w:tc>
      </w:tr>
      <w:tr w:rsidR="00BD6196" w:rsidRPr="0042335D" w14:paraId="275F5562" w14:textId="77777777" w:rsidTr="00543FCF">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96" w:type="pct"/>
            <w:hideMark/>
          </w:tcPr>
          <w:p w14:paraId="4D710D4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FEKP.01.06-IZ.00-096/24</w:t>
            </w:r>
          </w:p>
        </w:tc>
        <w:tc>
          <w:tcPr>
            <w:tcW w:w="366" w:type="pct"/>
          </w:tcPr>
          <w:p w14:paraId="0516B23D"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Wsparcie MŚP</w:t>
            </w:r>
          </w:p>
        </w:tc>
        <w:tc>
          <w:tcPr>
            <w:tcW w:w="354" w:type="pct"/>
            <w:hideMark/>
          </w:tcPr>
          <w:p w14:paraId="52C0920B"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hideMark/>
          </w:tcPr>
          <w:p w14:paraId="40AF9F9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20.02.2024</w:t>
            </w:r>
          </w:p>
        </w:tc>
        <w:tc>
          <w:tcPr>
            <w:tcW w:w="536" w:type="pct"/>
            <w:hideMark/>
          </w:tcPr>
          <w:p w14:paraId="2C8942E9"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19.08.2024</w:t>
            </w:r>
          </w:p>
        </w:tc>
        <w:tc>
          <w:tcPr>
            <w:tcW w:w="636" w:type="pct"/>
            <w:hideMark/>
          </w:tcPr>
          <w:p w14:paraId="28D8B831"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1D1EF79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480CE96B"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137</w:t>
            </w:r>
          </w:p>
        </w:tc>
        <w:tc>
          <w:tcPr>
            <w:tcW w:w="284" w:type="pct"/>
            <w:hideMark/>
          </w:tcPr>
          <w:p w14:paraId="326382F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318</w:t>
            </w:r>
          </w:p>
        </w:tc>
        <w:tc>
          <w:tcPr>
            <w:tcW w:w="285" w:type="pct"/>
            <w:hideMark/>
          </w:tcPr>
          <w:p w14:paraId="2EA50AF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109</w:t>
            </w:r>
          </w:p>
        </w:tc>
        <w:tc>
          <w:tcPr>
            <w:tcW w:w="286" w:type="pct"/>
            <w:hideMark/>
          </w:tcPr>
          <w:p w14:paraId="0CA169A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290</w:t>
            </w:r>
          </w:p>
        </w:tc>
      </w:tr>
      <w:tr w:rsidR="00BD6196" w:rsidRPr="0042335D" w14:paraId="5BBCAEB0" w14:textId="77777777" w:rsidTr="00543FCF">
        <w:trPr>
          <w:trHeight w:val="293"/>
        </w:trPr>
        <w:tc>
          <w:tcPr>
            <w:cnfStyle w:val="001000000000" w:firstRow="0" w:lastRow="0" w:firstColumn="1" w:lastColumn="0" w:oddVBand="0" w:evenVBand="0" w:oddHBand="0" w:evenHBand="0" w:firstRowFirstColumn="0" w:firstRowLastColumn="0" w:lastRowFirstColumn="0" w:lastRowLastColumn="0"/>
            <w:tcW w:w="796" w:type="pct"/>
            <w:hideMark/>
          </w:tcPr>
          <w:p w14:paraId="0F5B540A"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FEKP.02.06-IP.02-010/24</w:t>
            </w:r>
          </w:p>
        </w:tc>
        <w:tc>
          <w:tcPr>
            <w:tcW w:w="366" w:type="pct"/>
          </w:tcPr>
          <w:p w14:paraId="3DB3C964"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Adaptacja do zmian klimatu</w:t>
            </w:r>
          </w:p>
        </w:tc>
        <w:tc>
          <w:tcPr>
            <w:tcW w:w="354" w:type="pct"/>
            <w:hideMark/>
          </w:tcPr>
          <w:p w14:paraId="3541DF4A"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3B1FEB2E"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22.01.2024</w:t>
            </w:r>
          </w:p>
        </w:tc>
        <w:tc>
          <w:tcPr>
            <w:tcW w:w="536" w:type="pct"/>
            <w:hideMark/>
          </w:tcPr>
          <w:p w14:paraId="528E209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30.06.2024</w:t>
            </w:r>
          </w:p>
        </w:tc>
        <w:tc>
          <w:tcPr>
            <w:tcW w:w="636" w:type="pct"/>
            <w:hideMark/>
          </w:tcPr>
          <w:p w14:paraId="3186569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09B4CF1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7879CFAA"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159</w:t>
            </w:r>
          </w:p>
        </w:tc>
        <w:tc>
          <w:tcPr>
            <w:tcW w:w="284" w:type="pct"/>
            <w:hideMark/>
          </w:tcPr>
          <w:p w14:paraId="7420A7F0"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319</w:t>
            </w:r>
          </w:p>
        </w:tc>
        <w:tc>
          <w:tcPr>
            <w:tcW w:w="285" w:type="pct"/>
            <w:hideMark/>
          </w:tcPr>
          <w:p w14:paraId="23D793B5"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159</w:t>
            </w:r>
          </w:p>
        </w:tc>
        <w:tc>
          <w:tcPr>
            <w:tcW w:w="286" w:type="pct"/>
            <w:hideMark/>
          </w:tcPr>
          <w:p w14:paraId="204A416D"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319</w:t>
            </w:r>
          </w:p>
        </w:tc>
      </w:tr>
      <w:tr w:rsidR="00BD6196" w:rsidRPr="0042335D" w14:paraId="6A931DFE" w14:textId="77777777" w:rsidTr="00543FCF">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708689B3"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FEKP.03.01-IP.02-013/24</w:t>
            </w:r>
          </w:p>
        </w:tc>
        <w:tc>
          <w:tcPr>
            <w:tcW w:w="366" w:type="pct"/>
          </w:tcPr>
          <w:p w14:paraId="745D8A37"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38C594A"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7A4A48B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31.05.2024</w:t>
            </w:r>
          </w:p>
        </w:tc>
        <w:tc>
          <w:tcPr>
            <w:tcW w:w="536" w:type="pct"/>
            <w:hideMark/>
          </w:tcPr>
          <w:p w14:paraId="0ED496B6"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29.08.2024</w:t>
            </w:r>
          </w:p>
        </w:tc>
        <w:tc>
          <w:tcPr>
            <w:tcW w:w="636" w:type="pct"/>
            <w:hideMark/>
          </w:tcPr>
          <w:p w14:paraId="0CA66BE8"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6786681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2A53244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289</w:t>
            </w:r>
          </w:p>
        </w:tc>
        <w:tc>
          <w:tcPr>
            <w:tcW w:w="284" w:type="pct"/>
            <w:hideMark/>
          </w:tcPr>
          <w:p w14:paraId="52A371F0"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379</w:t>
            </w:r>
          </w:p>
        </w:tc>
        <w:tc>
          <w:tcPr>
            <w:tcW w:w="285" w:type="pct"/>
            <w:hideMark/>
          </w:tcPr>
          <w:p w14:paraId="6356DC3A"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289</w:t>
            </w:r>
          </w:p>
        </w:tc>
        <w:tc>
          <w:tcPr>
            <w:tcW w:w="286" w:type="pct"/>
            <w:hideMark/>
          </w:tcPr>
          <w:p w14:paraId="164B875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379</w:t>
            </w:r>
          </w:p>
        </w:tc>
      </w:tr>
      <w:tr w:rsidR="00BD6196" w:rsidRPr="0042335D" w14:paraId="03E22156" w14:textId="77777777" w:rsidTr="00543FCF">
        <w:trPr>
          <w:trHeight w:val="338"/>
        </w:trPr>
        <w:tc>
          <w:tcPr>
            <w:cnfStyle w:val="001000000000" w:firstRow="0" w:lastRow="0" w:firstColumn="1" w:lastColumn="0" w:oddVBand="0" w:evenVBand="0" w:oddHBand="0" w:evenHBand="0" w:firstRowFirstColumn="0" w:firstRowLastColumn="0" w:lastRowFirstColumn="0" w:lastRowLastColumn="0"/>
            <w:tcW w:w="796" w:type="pct"/>
            <w:hideMark/>
          </w:tcPr>
          <w:p w14:paraId="28F284DF"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FEKP.03.01-IP.02-014/24</w:t>
            </w:r>
          </w:p>
        </w:tc>
        <w:tc>
          <w:tcPr>
            <w:tcW w:w="366" w:type="pct"/>
          </w:tcPr>
          <w:p w14:paraId="7AE0328E" w14:textId="77777777" w:rsidR="00BD6196" w:rsidRPr="0099118C"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06005FBC" w14:textId="77777777" w:rsidR="00BD6196" w:rsidRPr="0042335D" w:rsidRDefault="00BD6196" w:rsidP="00543FCF">
            <w:pPr>
              <w:spacing w:before="0" w:line="240" w:lineRule="auto"/>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BydOF-IP</w:t>
            </w:r>
          </w:p>
        </w:tc>
        <w:tc>
          <w:tcPr>
            <w:tcW w:w="522" w:type="pct"/>
            <w:hideMark/>
          </w:tcPr>
          <w:p w14:paraId="5765635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14.06.2024</w:t>
            </w:r>
          </w:p>
        </w:tc>
        <w:tc>
          <w:tcPr>
            <w:tcW w:w="536" w:type="pct"/>
            <w:hideMark/>
          </w:tcPr>
          <w:p w14:paraId="67A21691"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12.09.2024</w:t>
            </w:r>
          </w:p>
        </w:tc>
        <w:tc>
          <w:tcPr>
            <w:tcW w:w="636" w:type="pct"/>
            <w:hideMark/>
          </w:tcPr>
          <w:p w14:paraId="50489776"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651" w:type="pct"/>
            <w:hideMark/>
          </w:tcPr>
          <w:p w14:paraId="0BE75B1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16.08.2023</w:t>
            </w:r>
          </w:p>
        </w:tc>
        <w:tc>
          <w:tcPr>
            <w:tcW w:w="284" w:type="pct"/>
            <w:hideMark/>
          </w:tcPr>
          <w:p w14:paraId="459E574C"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303</w:t>
            </w:r>
          </w:p>
        </w:tc>
        <w:tc>
          <w:tcPr>
            <w:tcW w:w="284" w:type="pct"/>
            <w:hideMark/>
          </w:tcPr>
          <w:p w14:paraId="6687E58F"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393</w:t>
            </w:r>
          </w:p>
        </w:tc>
        <w:tc>
          <w:tcPr>
            <w:tcW w:w="285" w:type="pct"/>
            <w:hideMark/>
          </w:tcPr>
          <w:p w14:paraId="067E8ED2"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303</w:t>
            </w:r>
          </w:p>
        </w:tc>
        <w:tc>
          <w:tcPr>
            <w:tcW w:w="286" w:type="pct"/>
            <w:hideMark/>
          </w:tcPr>
          <w:p w14:paraId="4039C908" w14:textId="77777777" w:rsidR="00BD6196" w:rsidRPr="0042335D" w:rsidRDefault="00BD6196" w:rsidP="00543FCF">
            <w:pPr>
              <w:spacing w:before="0" w:line="240" w:lineRule="auto"/>
              <w:jc w:val="right"/>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393</w:t>
            </w:r>
          </w:p>
        </w:tc>
      </w:tr>
      <w:tr w:rsidR="00BD6196" w:rsidRPr="0042335D" w14:paraId="594DE1D4" w14:textId="77777777" w:rsidTr="00543FCF">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796" w:type="pct"/>
            <w:noWrap/>
            <w:hideMark/>
          </w:tcPr>
          <w:p w14:paraId="15258329" w14:textId="77777777" w:rsidR="00BD6196" w:rsidRPr="0042335D" w:rsidRDefault="00BD6196" w:rsidP="00543FCF">
            <w:pPr>
              <w:spacing w:before="0" w:line="240" w:lineRule="auto"/>
              <w:rPr>
                <w:rFonts w:eastAsia="Times New Roman" w:cstheme="minorHAnsi"/>
                <w:b w:val="0"/>
                <w:bCs w:val="0"/>
                <w:color w:val="000000"/>
                <w:sz w:val="18"/>
                <w:szCs w:val="18"/>
                <w:lang w:eastAsia="pl-PL"/>
              </w:rPr>
            </w:pPr>
            <w:r w:rsidRPr="0042335D">
              <w:rPr>
                <w:rFonts w:eastAsia="Times New Roman" w:cstheme="minorHAnsi"/>
                <w:b w:val="0"/>
                <w:bCs w:val="0"/>
                <w:color w:val="000000"/>
                <w:sz w:val="18"/>
                <w:szCs w:val="18"/>
                <w:lang w:eastAsia="pl-PL"/>
              </w:rPr>
              <w:t>FEKP.03.02-IZ.00-168/24</w:t>
            </w:r>
          </w:p>
        </w:tc>
        <w:tc>
          <w:tcPr>
            <w:tcW w:w="366" w:type="pct"/>
          </w:tcPr>
          <w:p w14:paraId="5B258818" w14:textId="77777777" w:rsidR="00BD6196" w:rsidRPr="0099118C"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077CA0">
              <w:rPr>
                <w:sz w:val="18"/>
                <w:szCs w:val="18"/>
              </w:rPr>
              <w:t>Mobilność miejska</w:t>
            </w:r>
          </w:p>
        </w:tc>
        <w:tc>
          <w:tcPr>
            <w:tcW w:w="354" w:type="pct"/>
            <w:hideMark/>
          </w:tcPr>
          <w:p w14:paraId="49E2F681" w14:textId="77777777" w:rsidR="00BD6196" w:rsidRPr="0042335D" w:rsidRDefault="00BD6196" w:rsidP="00543FCF">
            <w:pPr>
              <w:spacing w:before="0" w:line="240" w:lineRule="auto"/>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ZIT</w:t>
            </w:r>
          </w:p>
        </w:tc>
        <w:tc>
          <w:tcPr>
            <w:tcW w:w="522" w:type="pct"/>
            <w:noWrap/>
            <w:hideMark/>
          </w:tcPr>
          <w:p w14:paraId="2317A162"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13.12.2024</w:t>
            </w:r>
          </w:p>
        </w:tc>
        <w:tc>
          <w:tcPr>
            <w:tcW w:w="536" w:type="pct"/>
            <w:noWrap/>
            <w:hideMark/>
          </w:tcPr>
          <w:p w14:paraId="5C97035E"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22.01.2025</w:t>
            </w:r>
          </w:p>
        </w:tc>
        <w:tc>
          <w:tcPr>
            <w:tcW w:w="636" w:type="pct"/>
            <w:hideMark/>
          </w:tcPr>
          <w:p w14:paraId="28691407"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06.10.2023</w:t>
            </w:r>
          </w:p>
        </w:tc>
        <w:tc>
          <w:tcPr>
            <w:tcW w:w="651" w:type="pct"/>
            <w:hideMark/>
          </w:tcPr>
          <w:p w14:paraId="6232131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eastAsia="pl-PL"/>
              </w:rPr>
            </w:pPr>
            <w:r w:rsidRPr="0042335D">
              <w:rPr>
                <w:rFonts w:eastAsia="Times New Roman" w:cstheme="minorHAnsi"/>
                <w:color w:val="000000"/>
                <w:sz w:val="18"/>
                <w:szCs w:val="18"/>
                <w:lang w:eastAsia="pl-PL"/>
              </w:rPr>
              <w:t>03.11.2023</w:t>
            </w:r>
          </w:p>
        </w:tc>
        <w:tc>
          <w:tcPr>
            <w:tcW w:w="284" w:type="pct"/>
            <w:hideMark/>
          </w:tcPr>
          <w:p w14:paraId="3612CB7F"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434</w:t>
            </w:r>
          </w:p>
        </w:tc>
        <w:tc>
          <w:tcPr>
            <w:tcW w:w="284" w:type="pct"/>
            <w:hideMark/>
          </w:tcPr>
          <w:p w14:paraId="0A1589D4"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474</w:t>
            </w:r>
          </w:p>
        </w:tc>
        <w:tc>
          <w:tcPr>
            <w:tcW w:w="285" w:type="pct"/>
            <w:hideMark/>
          </w:tcPr>
          <w:p w14:paraId="7755307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406</w:t>
            </w:r>
          </w:p>
        </w:tc>
        <w:tc>
          <w:tcPr>
            <w:tcW w:w="286" w:type="pct"/>
            <w:hideMark/>
          </w:tcPr>
          <w:p w14:paraId="1A30B2F3" w14:textId="77777777" w:rsidR="00BD6196" w:rsidRPr="0042335D" w:rsidRDefault="00BD6196" w:rsidP="00543FCF">
            <w:pPr>
              <w:spacing w:before="0" w:line="240" w:lineRule="auto"/>
              <w:jc w:val="right"/>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eastAsia="pl-PL"/>
              </w:rPr>
            </w:pPr>
            <w:r w:rsidRPr="0042335D">
              <w:rPr>
                <w:rFonts w:eastAsia="Times New Roman" w:cstheme="minorHAnsi"/>
                <w:sz w:val="18"/>
                <w:szCs w:val="18"/>
                <w:lang w:eastAsia="pl-PL"/>
              </w:rPr>
              <w:t>446</w:t>
            </w:r>
          </w:p>
        </w:tc>
      </w:tr>
    </w:tbl>
    <w:p w14:paraId="1BDD5BC8" w14:textId="6B503E6F" w:rsidR="00BD6196" w:rsidRDefault="00F640D7" w:rsidP="005A2787">
      <w:pPr>
        <w:pStyle w:val="rdo"/>
        <w:sectPr w:rsidR="00BD6196" w:rsidSect="00077CA0">
          <w:pgSz w:w="16838" w:h="11906" w:orient="landscape"/>
          <w:pgMar w:top="1417" w:right="1417" w:bottom="1417" w:left="1417" w:header="708" w:footer="708" w:gutter="0"/>
          <w:cols w:space="708"/>
          <w:docGrid w:linePitch="360"/>
        </w:sectPr>
      </w:pPr>
      <w:r>
        <w:t>Źródło: opracowanie własne</w:t>
      </w:r>
      <w:r w:rsidR="00825212">
        <w:t xml:space="preserve"> </w:t>
      </w:r>
      <w:r w:rsidR="00825212" w:rsidRPr="008570E4">
        <w:t xml:space="preserve">na podstawie danych zawartych na </w:t>
      </w:r>
      <w:r w:rsidR="00880563">
        <w:t>stronie</w:t>
      </w:r>
      <w:r w:rsidR="00825212" w:rsidRPr="008570E4">
        <w:t xml:space="preserve"> </w:t>
      </w:r>
      <w:hyperlink r:id="rId21" w:history="1">
        <w:r w:rsidR="00CF6C19">
          <w:rPr>
            <w:rStyle w:val="Hipercze"/>
          </w:rPr>
          <w:t>Instrumenty terytorialne</w:t>
        </w:r>
      </w:hyperlink>
      <w:r w:rsidR="00CF6C19">
        <w:t xml:space="preserve"> [Dostęp dnia 01.08.2025r.]</w:t>
      </w:r>
      <w:r w:rsidR="00BD6196">
        <w:t xml:space="preserve"> oraz danych CST2021 (wg stanu na 30.03.2025r.).</w:t>
      </w:r>
    </w:p>
    <w:p w14:paraId="4777CEAD" w14:textId="42B26A6A" w:rsidR="00F640D7" w:rsidRPr="00077CA0" w:rsidRDefault="00BD6196" w:rsidP="00F640D7">
      <w:pPr>
        <w:rPr>
          <w:rFonts w:cstheme="minorHAnsi"/>
        </w:rPr>
      </w:pPr>
      <w:r>
        <w:rPr>
          <w:rFonts w:cstheme="minorHAnsi"/>
        </w:rPr>
        <w:lastRenderedPageBreak/>
        <w:t>Jak pokazują dane w tabeli, wystąpiła</w:t>
      </w:r>
      <w:r w:rsidR="00F640D7" w:rsidRPr="000A7E37">
        <w:rPr>
          <w:rFonts w:cstheme="minorHAnsi"/>
        </w:rPr>
        <w:t xml:space="preserve"> </w:t>
      </w:r>
      <w:r w:rsidR="00F640D7" w:rsidRPr="00137BFD">
        <w:rPr>
          <w:rFonts w:cstheme="minorHAnsi"/>
          <w:b/>
          <w:bCs/>
        </w:rPr>
        <w:t xml:space="preserve">sytuacja, w której porozumienia terytorialne były zawierane dopiero po ogłoszeniu naborów „problemowych”. </w:t>
      </w:r>
      <w:r w:rsidR="00F640D7" w:rsidRPr="00077CA0">
        <w:rPr>
          <w:rFonts w:cstheme="minorHAnsi"/>
        </w:rPr>
        <w:t>Taka sytuacja dotyczyła 13 spośród 27 naborów dot. IT (a więc niemal połowa) i obejmowała 7 naborów w ramach ZIT oraz 6 naborów w ramach OPPT.</w:t>
      </w:r>
    </w:p>
    <w:p w14:paraId="5A40921F" w14:textId="77777777" w:rsidR="00F640D7" w:rsidRPr="000A7E37" w:rsidRDefault="00F640D7" w:rsidP="00F640D7">
      <w:pPr>
        <w:rPr>
          <w:rFonts w:cstheme="minorHAnsi"/>
        </w:rPr>
      </w:pPr>
      <w:r w:rsidRPr="000A7E37">
        <w:rPr>
          <w:rFonts w:cstheme="minorHAnsi"/>
        </w:rPr>
        <w:t xml:space="preserve">Średnia różnica liczby dni pomiędzy rozpoczęciem omawianych 13 naborów a podpisaniem najwcześniejszych porozumień w ramach ZIT i OPPT wynosi -61 dni </w:t>
      </w:r>
      <w:r w:rsidR="00BD6196" w:rsidRPr="000A7E37">
        <w:rPr>
          <w:rFonts w:cstheme="minorHAnsi"/>
        </w:rPr>
        <w:t xml:space="preserve">(-59 w ramach ZIT oraz </w:t>
      </w:r>
      <w:r w:rsidR="00BD6196">
        <w:rPr>
          <w:rFonts w:cstheme="minorHAnsi"/>
        </w:rPr>
        <w:t>-</w:t>
      </w:r>
      <w:r w:rsidR="00BD6196" w:rsidRPr="000A7E37">
        <w:rPr>
          <w:rFonts w:cstheme="minorHAnsi"/>
        </w:rPr>
        <w:t xml:space="preserve">64 w ramach OPPT). Oznacza to, że te nabory były ogłaszane średnio o 61 dni wcześniej niż zawierane były porozumienia. Najwyższą różnicą było ogłoszenie naboru nr FEKP.02.18-IZ.00-022/23 (OPPT) </w:t>
      </w:r>
      <w:r w:rsidR="00BD6196">
        <w:rPr>
          <w:rFonts w:cstheme="minorHAnsi"/>
        </w:rPr>
        <w:t xml:space="preserve">- </w:t>
      </w:r>
      <w:r w:rsidR="00BD6196" w:rsidRPr="000A7E37">
        <w:rPr>
          <w:rFonts w:cstheme="minorHAnsi"/>
        </w:rPr>
        <w:t>o 122 dni wcześniej niż data podpisania najwcześniejszego porozumienia OPPT.</w:t>
      </w:r>
      <w:r w:rsidR="00BD6196">
        <w:rPr>
          <w:rFonts w:cstheme="minorHAnsi"/>
        </w:rPr>
        <w:t xml:space="preserve"> </w:t>
      </w:r>
    </w:p>
    <w:p w14:paraId="7A328FD7" w14:textId="168909DE" w:rsidR="008A3EAE" w:rsidRPr="000A7E37" w:rsidRDefault="00F640D7" w:rsidP="00F640D7">
      <w:pPr>
        <w:rPr>
          <w:rFonts w:cstheme="minorHAnsi"/>
        </w:rPr>
      </w:pPr>
      <w:r w:rsidRPr="000A7E37">
        <w:rPr>
          <w:rFonts w:cstheme="minorHAnsi"/>
        </w:rPr>
        <w:t xml:space="preserve">Biorąc pod uwagę daty wszystkich naborów dot. </w:t>
      </w:r>
      <w:r w:rsidR="001A0FF0">
        <w:rPr>
          <w:rFonts w:cstheme="minorHAnsi"/>
        </w:rPr>
        <w:t>instrumentów terytorialnych</w:t>
      </w:r>
      <w:r w:rsidR="00BD6196" w:rsidRPr="000A7E37">
        <w:rPr>
          <w:rFonts w:cstheme="minorHAnsi"/>
        </w:rPr>
        <w:t xml:space="preserve"> </w:t>
      </w:r>
      <w:r w:rsidR="001A0FF0">
        <w:rPr>
          <w:rFonts w:cstheme="minorHAnsi"/>
        </w:rPr>
        <w:t>(</w:t>
      </w:r>
      <w:r w:rsidRPr="000A7E37">
        <w:rPr>
          <w:rFonts w:cstheme="minorHAnsi"/>
        </w:rPr>
        <w:t>IT</w:t>
      </w:r>
      <w:r w:rsidR="001A0FF0">
        <w:rPr>
          <w:rFonts w:cstheme="minorHAnsi"/>
        </w:rPr>
        <w:t>)</w:t>
      </w:r>
      <w:r w:rsidRPr="000A7E37">
        <w:rPr>
          <w:rFonts w:cstheme="minorHAnsi"/>
        </w:rPr>
        <w:t xml:space="preserve"> zestawione z najwcześniej zawartymi porozumieniami w ramach danych IT (BydOF, ZIT, OPPT) </w:t>
      </w:r>
      <w:r w:rsidR="00BD6196">
        <w:rPr>
          <w:rFonts w:cstheme="minorHAnsi"/>
        </w:rPr>
        <w:t>widać, że</w:t>
      </w:r>
      <w:r w:rsidR="00BD6196" w:rsidRPr="000A7E37">
        <w:rPr>
          <w:rFonts w:cstheme="minorHAnsi"/>
        </w:rPr>
        <w:t xml:space="preserve"> </w:t>
      </w:r>
      <w:r w:rsidRPr="000A7E37">
        <w:rPr>
          <w:rFonts w:cstheme="minorHAnsi"/>
        </w:rPr>
        <w:t>średnia liczba dni od momentu zawarcia porozumienia do momentu rozpoczęcia naboru wynosi 49. W ramach BydOF jest to odpowiednio średnio 200 dni, w pozostałych ZIT średnio 39 dni, a w OPPT 4 dni</w:t>
      </w:r>
      <w:r w:rsidRPr="00927847">
        <w:rPr>
          <w:rFonts w:cstheme="minorHAnsi"/>
        </w:rPr>
        <w:t>.</w:t>
      </w:r>
      <w:r w:rsidR="008729C5" w:rsidRPr="00927847">
        <w:rPr>
          <w:rFonts w:cstheme="minorHAnsi"/>
        </w:rPr>
        <w:t xml:space="preserve"> Dla porównania </w:t>
      </w:r>
      <w:r w:rsidR="001025AA" w:rsidRPr="00927847">
        <w:rPr>
          <w:rFonts w:cstheme="minorHAnsi"/>
        </w:rPr>
        <w:t>–</w:t>
      </w:r>
      <w:r w:rsidR="008729C5" w:rsidRPr="00927847">
        <w:rPr>
          <w:rFonts w:cstheme="minorHAnsi"/>
        </w:rPr>
        <w:t xml:space="preserve"> </w:t>
      </w:r>
      <w:r w:rsidR="001025AA" w:rsidRPr="00927847">
        <w:rPr>
          <w:rFonts w:cstheme="minorHAnsi"/>
        </w:rPr>
        <w:t xml:space="preserve">średnia liczba dni od momentu zawarcia ostatnich porozumień do momentu rozpoczęcia </w:t>
      </w:r>
      <w:r w:rsidR="00405D95" w:rsidRPr="00927847">
        <w:rPr>
          <w:rFonts w:cstheme="minorHAnsi"/>
        </w:rPr>
        <w:t xml:space="preserve">wszystkich </w:t>
      </w:r>
      <w:r w:rsidR="001025AA" w:rsidRPr="00927847">
        <w:rPr>
          <w:rFonts w:cstheme="minorHAnsi"/>
        </w:rPr>
        <w:t>nabor</w:t>
      </w:r>
      <w:r w:rsidR="00405D95" w:rsidRPr="00927847">
        <w:rPr>
          <w:rFonts w:cstheme="minorHAnsi"/>
        </w:rPr>
        <w:t>ów</w:t>
      </w:r>
      <w:r w:rsidR="001025AA" w:rsidRPr="00927847">
        <w:rPr>
          <w:rFonts w:cstheme="minorHAnsi"/>
        </w:rPr>
        <w:t xml:space="preserve"> wynosi 19</w:t>
      </w:r>
      <w:r w:rsidR="00556F5C" w:rsidRPr="00927847">
        <w:rPr>
          <w:rFonts w:cstheme="minorHAnsi"/>
        </w:rPr>
        <w:t xml:space="preserve"> </w:t>
      </w:r>
      <w:r w:rsidR="00405D95" w:rsidRPr="00927847">
        <w:rPr>
          <w:rFonts w:cstheme="minorHAnsi"/>
        </w:rPr>
        <w:t>(w tym 200 dla BydOF, 11 dla ZIT, -39 dla OPPT).</w:t>
      </w:r>
    </w:p>
    <w:p w14:paraId="27E19E73" w14:textId="67CEC034" w:rsidR="00BD6196" w:rsidRDefault="00F640D7" w:rsidP="00BD6196">
      <w:pPr>
        <w:rPr>
          <w:rFonts w:cstheme="minorHAnsi"/>
        </w:rPr>
      </w:pPr>
      <w:r w:rsidRPr="000A7E37">
        <w:rPr>
          <w:rFonts w:cstheme="minorHAnsi"/>
        </w:rPr>
        <w:t xml:space="preserve">Analiza tych danych pozwala na </w:t>
      </w:r>
      <w:r>
        <w:rPr>
          <w:rFonts w:cstheme="minorHAnsi"/>
        </w:rPr>
        <w:t>stwierdzenie</w:t>
      </w:r>
      <w:r w:rsidRPr="000A7E37">
        <w:rPr>
          <w:rFonts w:cstheme="minorHAnsi"/>
        </w:rPr>
        <w:t xml:space="preserve">, że w wielu przypadkach nabory w ramach instrumentów terytorialnych były ogłaszane zbyt wcześnie w stosunku do momentu formalnego przyjęcia porozumień terytorialnych, co </w:t>
      </w:r>
      <w:r>
        <w:rPr>
          <w:rFonts w:cstheme="minorHAnsi"/>
        </w:rPr>
        <w:t xml:space="preserve">– w powiązaniu z definicją kryterium </w:t>
      </w:r>
      <w:r w:rsidRPr="00087525">
        <w:t>„Zgodność z właściwą strategią IIT dla OPPT” / „Zgodność z właściwą strategią ZIT”</w:t>
      </w:r>
      <w:r w:rsidR="004B71F2">
        <w:t xml:space="preserve"> –</w:t>
      </w:r>
      <w:r>
        <w:rPr>
          <w:rFonts w:cstheme="minorHAnsi"/>
        </w:rPr>
        <w:t xml:space="preserve"> </w:t>
      </w:r>
      <w:r w:rsidRPr="000A7E37">
        <w:rPr>
          <w:rFonts w:cstheme="minorHAnsi"/>
        </w:rPr>
        <w:t>utrudni</w:t>
      </w:r>
      <w:r>
        <w:rPr>
          <w:rFonts w:cstheme="minorHAnsi"/>
        </w:rPr>
        <w:t>ało</w:t>
      </w:r>
      <w:r w:rsidRPr="000A7E37">
        <w:rPr>
          <w:rFonts w:cstheme="minorHAnsi"/>
        </w:rPr>
        <w:t xml:space="preserve"> aplikowanie o środki</w:t>
      </w:r>
      <w:r w:rsidR="00BD6196" w:rsidRPr="000A7E37">
        <w:rPr>
          <w:rFonts w:cstheme="minorHAnsi"/>
        </w:rPr>
        <w:t>.</w:t>
      </w:r>
      <w:r w:rsidRPr="000A7E37">
        <w:rPr>
          <w:rFonts w:cstheme="minorHAnsi"/>
        </w:rPr>
        <w:t xml:space="preserve"> W sytuacji, gdy nabór rozpoczynał się przed</w:t>
      </w:r>
      <w:r w:rsidR="00AC3B26">
        <w:rPr>
          <w:rFonts w:cstheme="minorHAnsi"/>
        </w:rPr>
        <w:t xml:space="preserve"> lub niedługo po</w:t>
      </w:r>
      <w:r w:rsidRPr="000A7E37">
        <w:rPr>
          <w:rFonts w:cstheme="minorHAnsi"/>
        </w:rPr>
        <w:t xml:space="preserve"> </w:t>
      </w:r>
      <w:r w:rsidR="00AC3B26" w:rsidRPr="000A7E37">
        <w:rPr>
          <w:rFonts w:cstheme="minorHAnsi"/>
        </w:rPr>
        <w:t>zawarci</w:t>
      </w:r>
      <w:r w:rsidR="00AC3B26">
        <w:rPr>
          <w:rFonts w:cstheme="minorHAnsi"/>
        </w:rPr>
        <w:t>u</w:t>
      </w:r>
      <w:r w:rsidR="00AC3B26" w:rsidRPr="000A7E37">
        <w:rPr>
          <w:rFonts w:cstheme="minorHAnsi"/>
        </w:rPr>
        <w:t xml:space="preserve"> </w:t>
      </w:r>
      <w:r w:rsidRPr="000A7E37">
        <w:rPr>
          <w:rFonts w:cstheme="minorHAnsi"/>
        </w:rPr>
        <w:t xml:space="preserve">porozumienia, wnioskodawcy mogli </w:t>
      </w:r>
      <w:r w:rsidR="00676665">
        <w:rPr>
          <w:rFonts w:cstheme="minorHAnsi"/>
        </w:rPr>
        <w:t>mieć zbyt mało</w:t>
      </w:r>
      <w:r w:rsidRPr="000A7E37">
        <w:rPr>
          <w:rFonts w:cstheme="minorHAnsi"/>
        </w:rPr>
        <w:t xml:space="preserve"> czasu na </w:t>
      </w:r>
      <w:r w:rsidR="009A1C2D">
        <w:rPr>
          <w:rFonts w:cstheme="minorHAnsi"/>
        </w:rPr>
        <w:t xml:space="preserve">przygotowanie wniosków o dofinansowanie </w:t>
      </w:r>
      <w:r w:rsidR="00AC3B26">
        <w:rPr>
          <w:rFonts w:cstheme="minorHAnsi"/>
        </w:rPr>
        <w:t>projektów</w:t>
      </w:r>
      <w:r w:rsidR="00D83B80">
        <w:rPr>
          <w:rFonts w:cstheme="minorHAnsi"/>
        </w:rPr>
        <w:t xml:space="preserve"> wpisujących się w</w:t>
      </w:r>
      <w:r w:rsidRPr="000A7E37">
        <w:rPr>
          <w:rFonts w:cstheme="minorHAnsi"/>
        </w:rPr>
        <w:t xml:space="preserve"> wymog</w:t>
      </w:r>
      <w:r w:rsidR="00D83B80">
        <w:rPr>
          <w:rFonts w:cstheme="minorHAnsi"/>
        </w:rPr>
        <w:t>i</w:t>
      </w:r>
      <w:r w:rsidRPr="000A7E37">
        <w:rPr>
          <w:rFonts w:cstheme="minorHAnsi"/>
        </w:rPr>
        <w:t xml:space="preserve"> </w:t>
      </w:r>
      <w:r w:rsidR="00D83B80" w:rsidRPr="000A7E37">
        <w:rPr>
          <w:rFonts w:cstheme="minorHAnsi"/>
        </w:rPr>
        <w:t>konkursow</w:t>
      </w:r>
      <w:r w:rsidR="00D83B80">
        <w:rPr>
          <w:rFonts w:cstheme="minorHAnsi"/>
        </w:rPr>
        <w:t>e, w tym</w:t>
      </w:r>
      <w:r w:rsidR="00B57904">
        <w:rPr>
          <w:rFonts w:cstheme="minorHAnsi"/>
        </w:rPr>
        <w:t xml:space="preserve"> poszczególne</w:t>
      </w:r>
      <w:r w:rsidR="00D83B80">
        <w:rPr>
          <w:rFonts w:cstheme="minorHAnsi"/>
        </w:rPr>
        <w:t xml:space="preserve"> kryteria wyboru</w:t>
      </w:r>
      <w:r w:rsidR="006571CE">
        <w:rPr>
          <w:rStyle w:val="Odwoanieprzypisudolnego"/>
          <w:rFonts w:cstheme="minorHAnsi"/>
        </w:rPr>
        <w:footnoteReference w:id="37"/>
      </w:r>
      <w:r w:rsidRPr="000A7E37">
        <w:rPr>
          <w:rFonts w:cstheme="minorHAnsi"/>
        </w:rPr>
        <w:t xml:space="preserve">. </w:t>
      </w:r>
      <w:r w:rsidR="00BD6196">
        <w:rPr>
          <w:rFonts w:cstheme="minorHAnsi"/>
        </w:rPr>
        <w:t>Wskazywać może</w:t>
      </w:r>
      <w:r w:rsidR="003E3A6D">
        <w:rPr>
          <w:rFonts w:cstheme="minorHAnsi"/>
        </w:rPr>
        <w:t xml:space="preserve"> to</w:t>
      </w:r>
      <w:r w:rsidRPr="000A7E37">
        <w:rPr>
          <w:rFonts w:cstheme="minorHAnsi"/>
        </w:rPr>
        <w:t xml:space="preserve"> na </w:t>
      </w:r>
      <w:r w:rsidRPr="00372B44">
        <w:rPr>
          <w:rFonts w:cstheme="minorHAnsi"/>
          <w:b/>
          <w:bCs/>
        </w:rPr>
        <w:t>brak odpowiedniej synchronizacji harmonogramu prac związanych z identyfikacją projektów i podpisywaniem porozumień z terminami ogłaszania naborów</w:t>
      </w:r>
      <w:r w:rsidR="00BD6196">
        <w:rPr>
          <w:rFonts w:cstheme="minorHAnsi"/>
          <w:b/>
          <w:bCs/>
        </w:rPr>
        <w:t xml:space="preserve"> </w:t>
      </w:r>
      <w:r w:rsidR="00BD6196" w:rsidRPr="00077CA0">
        <w:rPr>
          <w:rFonts w:cstheme="minorHAnsi"/>
        </w:rPr>
        <w:t>–</w:t>
      </w:r>
      <w:r w:rsidRPr="00077CA0">
        <w:rPr>
          <w:rFonts w:cstheme="minorHAnsi"/>
        </w:rPr>
        <w:t xml:space="preserve"> co w konsekwencji mogło skutkować mniejszym zainteresowaniem aplikowaniem lub niedostatecznym przygotowaniem wniosków</w:t>
      </w:r>
      <w:r w:rsidRPr="000A7E37">
        <w:rPr>
          <w:rFonts w:cstheme="minorHAnsi"/>
        </w:rPr>
        <w:t>.</w:t>
      </w:r>
      <w:r>
        <w:rPr>
          <w:rFonts w:cstheme="minorHAnsi"/>
        </w:rPr>
        <w:t xml:space="preserve"> </w:t>
      </w:r>
      <w:r w:rsidR="00BD6196">
        <w:rPr>
          <w:rFonts w:cstheme="minorHAnsi"/>
        </w:rPr>
        <w:t>Podobną analizę wykonano w odniesieniu do dat końcowych wszystkich naborów. W tym przypadku ś</w:t>
      </w:r>
      <w:r w:rsidR="00BD6196" w:rsidRPr="000A7E37">
        <w:rPr>
          <w:rFonts w:cstheme="minorHAnsi"/>
        </w:rPr>
        <w:t>rednia różnica liczby dni pomiędzy</w:t>
      </w:r>
      <w:r w:rsidR="00BD6196">
        <w:rPr>
          <w:rFonts w:cstheme="minorHAnsi"/>
        </w:rPr>
        <w:t xml:space="preserve"> </w:t>
      </w:r>
      <w:r w:rsidR="00BD6196" w:rsidRPr="000A7E37">
        <w:rPr>
          <w:rFonts w:cstheme="minorHAnsi"/>
        </w:rPr>
        <w:t>podpisaniem najwcześniejszych porozumień w ramach ZIT i OPPT</w:t>
      </w:r>
      <w:r w:rsidR="00BD6196">
        <w:rPr>
          <w:rFonts w:cstheme="minorHAnsi"/>
        </w:rPr>
        <w:t xml:space="preserve"> a</w:t>
      </w:r>
      <w:r w:rsidR="00BD6196" w:rsidRPr="000A7E37">
        <w:rPr>
          <w:rFonts w:cstheme="minorHAnsi"/>
        </w:rPr>
        <w:t xml:space="preserve"> </w:t>
      </w:r>
      <w:r w:rsidR="00BD6196">
        <w:rPr>
          <w:rFonts w:cstheme="minorHAnsi"/>
        </w:rPr>
        <w:t xml:space="preserve">zakończeniem </w:t>
      </w:r>
      <w:r w:rsidR="00BD6196" w:rsidRPr="000A7E37">
        <w:rPr>
          <w:rFonts w:cstheme="minorHAnsi"/>
        </w:rPr>
        <w:t xml:space="preserve">naborów wynosi </w:t>
      </w:r>
      <w:r w:rsidR="00BD6196">
        <w:rPr>
          <w:rFonts w:cstheme="minorHAnsi"/>
        </w:rPr>
        <w:t>236</w:t>
      </w:r>
      <w:r w:rsidR="00BD6196" w:rsidRPr="000A7E37">
        <w:rPr>
          <w:rFonts w:cstheme="minorHAnsi"/>
        </w:rPr>
        <w:t xml:space="preserve"> dni (</w:t>
      </w:r>
      <w:r w:rsidR="00BD6196">
        <w:rPr>
          <w:rFonts w:cstheme="minorHAnsi"/>
        </w:rPr>
        <w:t>337 w ramach BydOF, 234</w:t>
      </w:r>
      <w:r w:rsidR="00BD6196" w:rsidRPr="000A7E37">
        <w:rPr>
          <w:rFonts w:cstheme="minorHAnsi"/>
        </w:rPr>
        <w:t xml:space="preserve"> w ramach ZIT oraz </w:t>
      </w:r>
      <w:r w:rsidR="00BD6196">
        <w:rPr>
          <w:rFonts w:cstheme="minorHAnsi"/>
        </w:rPr>
        <w:t>202</w:t>
      </w:r>
      <w:r w:rsidR="00BD6196" w:rsidRPr="000A7E37">
        <w:rPr>
          <w:rFonts w:cstheme="minorHAnsi"/>
        </w:rPr>
        <w:t xml:space="preserve"> w ramach OPPT)</w:t>
      </w:r>
      <w:r w:rsidR="00BD6196">
        <w:rPr>
          <w:rFonts w:cstheme="minorHAnsi"/>
        </w:rPr>
        <w:t xml:space="preserve">. </w:t>
      </w:r>
      <w:r w:rsidR="00BD6196">
        <w:rPr>
          <w:rFonts w:cstheme="minorHAnsi"/>
        </w:rPr>
        <w:lastRenderedPageBreak/>
        <w:t>Z kolei ś</w:t>
      </w:r>
      <w:r w:rsidR="00BD6196" w:rsidRPr="000A7E37">
        <w:rPr>
          <w:rFonts w:cstheme="minorHAnsi"/>
        </w:rPr>
        <w:t>rednia różnica liczby dni pomiędzy</w:t>
      </w:r>
      <w:r w:rsidR="00BD6196">
        <w:rPr>
          <w:rFonts w:cstheme="minorHAnsi"/>
        </w:rPr>
        <w:t xml:space="preserve"> </w:t>
      </w:r>
      <w:r w:rsidR="00BD6196" w:rsidRPr="000A7E37">
        <w:rPr>
          <w:rFonts w:cstheme="minorHAnsi"/>
        </w:rPr>
        <w:t xml:space="preserve">podpisaniem </w:t>
      </w:r>
      <w:r w:rsidR="00BD6196">
        <w:rPr>
          <w:rFonts w:cstheme="minorHAnsi"/>
        </w:rPr>
        <w:t>ostatnich</w:t>
      </w:r>
      <w:r w:rsidR="00BD6196" w:rsidRPr="000A7E37">
        <w:rPr>
          <w:rFonts w:cstheme="minorHAnsi"/>
        </w:rPr>
        <w:t xml:space="preserve"> porozumień w ramach ZIT i OPPT</w:t>
      </w:r>
      <w:r w:rsidR="00BD6196">
        <w:rPr>
          <w:rFonts w:cstheme="minorHAnsi"/>
        </w:rPr>
        <w:t xml:space="preserve"> a</w:t>
      </w:r>
      <w:r w:rsidR="00BD6196" w:rsidRPr="000A7E37">
        <w:rPr>
          <w:rFonts w:cstheme="minorHAnsi"/>
        </w:rPr>
        <w:t xml:space="preserve"> </w:t>
      </w:r>
      <w:r w:rsidR="00BD6196">
        <w:rPr>
          <w:rFonts w:cstheme="minorHAnsi"/>
        </w:rPr>
        <w:t>zakończeniem wszystkich</w:t>
      </w:r>
      <w:r w:rsidR="00BD6196" w:rsidRPr="000A7E37">
        <w:rPr>
          <w:rFonts w:cstheme="minorHAnsi"/>
        </w:rPr>
        <w:t xml:space="preserve"> naborów wynosi </w:t>
      </w:r>
      <w:r w:rsidR="00BD6196">
        <w:rPr>
          <w:rFonts w:cstheme="minorHAnsi"/>
        </w:rPr>
        <w:t>206</w:t>
      </w:r>
      <w:r w:rsidR="00BD6196" w:rsidRPr="000A7E37">
        <w:rPr>
          <w:rFonts w:cstheme="minorHAnsi"/>
        </w:rPr>
        <w:t xml:space="preserve"> dni (</w:t>
      </w:r>
      <w:r w:rsidR="00BD6196">
        <w:rPr>
          <w:rFonts w:cstheme="minorHAnsi"/>
        </w:rPr>
        <w:t>206</w:t>
      </w:r>
      <w:r w:rsidR="00BD6196" w:rsidRPr="000A7E37">
        <w:rPr>
          <w:rFonts w:cstheme="minorHAnsi"/>
        </w:rPr>
        <w:t xml:space="preserve"> w ramach ZIT oraz </w:t>
      </w:r>
      <w:r w:rsidR="00BD6196">
        <w:rPr>
          <w:rFonts w:cstheme="minorHAnsi"/>
        </w:rPr>
        <w:t>159</w:t>
      </w:r>
      <w:r w:rsidR="00BD6196" w:rsidRPr="000A7E37">
        <w:rPr>
          <w:rFonts w:cstheme="minorHAnsi"/>
        </w:rPr>
        <w:t xml:space="preserve"> w ramach OPPT)</w:t>
      </w:r>
      <w:r w:rsidR="00BD6196">
        <w:rPr>
          <w:rFonts w:cstheme="minorHAnsi"/>
        </w:rPr>
        <w:t xml:space="preserve">. </w:t>
      </w:r>
    </w:p>
    <w:p w14:paraId="15886B5C" w14:textId="109C70D2" w:rsidR="00F640D7" w:rsidRDefault="00F640D7" w:rsidP="00F640D7">
      <w:pPr>
        <w:rPr>
          <w:rFonts w:cstheme="minorHAnsi"/>
        </w:rPr>
      </w:pPr>
      <w:r>
        <w:rPr>
          <w:rFonts w:cstheme="minorHAnsi"/>
        </w:rPr>
        <w:t xml:space="preserve">Kwestie te były </w:t>
      </w:r>
      <w:r w:rsidR="00BD6196">
        <w:rPr>
          <w:rFonts w:cstheme="minorHAnsi"/>
        </w:rPr>
        <w:t xml:space="preserve">również </w:t>
      </w:r>
      <w:r>
        <w:rPr>
          <w:rFonts w:cstheme="minorHAnsi"/>
        </w:rPr>
        <w:t xml:space="preserve">przedmiotem wywiadów z </w:t>
      </w:r>
      <w:r w:rsidR="00C756D3">
        <w:rPr>
          <w:rFonts w:cstheme="minorHAnsi"/>
        </w:rPr>
        <w:t xml:space="preserve">przedstawicielami </w:t>
      </w:r>
      <w:r w:rsidRPr="00B16271">
        <w:t>UMWKP oraz IP ZIT BydOF zaangażowan</w:t>
      </w:r>
      <w:r>
        <w:t>ymi</w:t>
      </w:r>
      <w:r w:rsidRPr="00B16271">
        <w:t xml:space="preserve"> w realizację FEdKP 2021-2027</w:t>
      </w:r>
      <w:r>
        <w:t xml:space="preserve">. W ocenie rozmówców, </w:t>
      </w:r>
      <w:r w:rsidR="00BD6196" w:rsidRPr="00077CA0">
        <w:rPr>
          <w:b/>
          <w:bCs/>
        </w:rPr>
        <w:t xml:space="preserve">ogłaszanie </w:t>
      </w:r>
      <w:r w:rsidRPr="00077CA0">
        <w:rPr>
          <w:b/>
        </w:rPr>
        <w:t>naborów w takich terminach było</w:t>
      </w:r>
      <w:r w:rsidR="00EE6413" w:rsidRPr="00077CA0">
        <w:rPr>
          <w:b/>
        </w:rPr>
        <w:t xml:space="preserve"> jednak</w:t>
      </w:r>
      <w:r w:rsidRPr="00077CA0">
        <w:rPr>
          <w:b/>
        </w:rPr>
        <w:t xml:space="preserve"> zasadne</w:t>
      </w:r>
      <w:r w:rsidR="00BD6196">
        <w:t>. Po pierwsze,</w:t>
      </w:r>
      <w:r>
        <w:t xml:space="preserve"> z uwagi na konieczność rozpoczęcia wdrażania polityki terytorialnej, a co za tym idzie zapewnieni</w:t>
      </w:r>
      <w:r w:rsidR="00BB5CFA">
        <w:t>a</w:t>
      </w:r>
      <w:r>
        <w:t xml:space="preserve"> odpowiedniego poziomu kontraktacji i certyfikacji wydatków w okresie kwalifikowalności</w:t>
      </w:r>
      <w:r w:rsidR="00BD6196">
        <w:t>. Po drugie,</w:t>
      </w:r>
      <w:r>
        <w:t xml:space="preserve"> z uwagi na ograniczenia instytucjonalne </w:t>
      </w:r>
      <w:r w:rsidR="00BD6196">
        <w:t xml:space="preserve">zarówno </w:t>
      </w:r>
      <w:r>
        <w:t xml:space="preserve">po stronie IZ (dalsze odciąganie naborów w czasie wiązało się z ryzykiem braku zapewnienia odpowiednich zdolności organizacyjnych do przeprowadzenia </w:t>
      </w:r>
      <w:r w:rsidR="00FD0EC1">
        <w:t>tak dużej liczby</w:t>
      </w:r>
      <w:r>
        <w:t xml:space="preserve"> naborów w krótkim okresie czasu)</w:t>
      </w:r>
      <w:r w:rsidR="004C20C5">
        <w:t>, jak i wnioskodawców (doszłoby wówczas do jeszcze większej kumulacji naborów w czasie)</w:t>
      </w:r>
      <w:r>
        <w:t xml:space="preserve">. </w:t>
      </w:r>
      <w:r w:rsidR="00BD6196">
        <w:t>Po trzecie</w:t>
      </w:r>
      <w:r>
        <w:t xml:space="preserve">, ogłoszenie naborów </w:t>
      </w:r>
      <w:r w:rsidR="003B1762">
        <w:t>w drugiej połowie 2023 r.</w:t>
      </w:r>
      <w:r>
        <w:t xml:space="preserve"> miało </w:t>
      </w:r>
      <w:r w:rsidR="00243383" w:rsidRPr="00077CA0">
        <w:t>wpłynąć</w:t>
      </w:r>
      <w:r w:rsidR="00243383">
        <w:t xml:space="preserve"> </w:t>
      </w:r>
      <w:r w:rsidR="00243383" w:rsidRPr="00077CA0">
        <w:t>mobilizująco</w:t>
      </w:r>
      <w:r w:rsidR="0091496E" w:rsidRPr="00E7796A">
        <w:t xml:space="preserve"> </w:t>
      </w:r>
      <w:r w:rsidR="00243383" w:rsidRPr="00077CA0">
        <w:t>na przyspieszenie prac związanych z podpisaniem porozumień terytorialnych oraz przyjęciem strategii.</w:t>
      </w:r>
      <w:r>
        <w:t xml:space="preserve"> </w:t>
      </w:r>
      <w:r w:rsidR="00BD6196">
        <w:t xml:space="preserve">Takie podejście do ogłaszania naborów wydaje się także zasadne z punktu widzenia konieczności uwzględniania potrzeb wszystkich potencjalnych wnioskodawców, w tym tych, którzy mogli aplikować wcześniej, bowiem dysponowali już zawartymi porozumieniami terytorialnymi – bez konieczności czekania na zawarcie przez IZ porozumień ze wszystkimi partnerstwami. </w:t>
      </w:r>
    </w:p>
    <w:p w14:paraId="5A2CBBCD" w14:textId="259AF974" w:rsidR="00F640D7" w:rsidRDefault="00CC1ED6" w:rsidP="00F640D7">
      <w:r>
        <w:rPr>
          <w:b/>
          <w:bCs/>
        </w:rPr>
        <w:t>W niemal wszystkich przypadkach, po</w:t>
      </w:r>
      <w:r w:rsidRPr="00105FE6">
        <w:rPr>
          <w:b/>
          <w:bCs/>
        </w:rPr>
        <w:t xml:space="preserve"> </w:t>
      </w:r>
      <w:r w:rsidR="00F640D7" w:rsidRPr="00105FE6">
        <w:rPr>
          <w:b/>
          <w:bCs/>
        </w:rPr>
        <w:t>zawarciu porozumień zatwierdzane były strategie terytorialne</w:t>
      </w:r>
      <w:r w:rsidRPr="00077CA0">
        <w:t xml:space="preserve"> </w:t>
      </w:r>
      <w:r w:rsidR="00A82DCF">
        <w:t>–</w:t>
      </w:r>
      <w:r>
        <w:rPr>
          <w:b/>
          <w:bCs/>
        </w:rPr>
        <w:t xml:space="preserve"> </w:t>
      </w:r>
      <w:r w:rsidR="00A82DCF">
        <w:t xml:space="preserve">jedynie w przypadku ZIT BydOF </w:t>
      </w:r>
      <w:r w:rsidR="00A82DCF" w:rsidRPr="00A82DCF">
        <w:t>strategia była zatwierdzona przed zawarciem porozumienia terytorialnego</w:t>
      </w:r>
      <w:r w:rsidR="00F640D7">
        <w:t>. W praktyce ich zatwierdzanie miało zatem miejsce znacznie później niż terminy rozpoczęcia znacznej części naborów w ramach polityki terytorialnej. W teorii fakt zatwierdzenia strategii terytorialnej nie miał wpływu na możliwość składania wniosków o dofinansowanie – wnioskodawcy mogli bowiem złożyć stosowne oświadczenie, że ich projekt zostanie ujęty w zatwierdzonej</w:t>
      </w:r>
      <w:r w:rsidR="006148E0">
        <w:t xml:space="preserve"> później</w:t>
      </w:r>
      <w:r w:rsidR="00F640D7">
        <w:t xml:space="preserve"> strategii. W ocenie przedstawicieli </w:t>
      </w:r>
      <w:r w:rsidR="00F640D7" w:rsidRPr="005833B9">
        <w:t>UMWKP oraz IP ZIT BydOF zaangażowan</w:t>
      </w:r>
      <w:r w:rsidR="00F640D7">
        <w:t>ych</w:t>
      </w:r>
      <w:r w:rsidR="00F640D7" w:rsidRPr="005833B9">
        <w:t xml:space="preserve"> w realizację FEdKP 2021-2027</w:t>
      </w:r>
      <w:r w:rsidR="00F640D7">
        <w:t xml:space="preserve">, wnioskodawcy niezbyt chętnie korzystali jednak z możliwości przedkładania oświadczeń w sytuacji braku przyjętej strategii terytorialnej. Wynikało to np. z tego, że nie byli jeszcze pewni co do części „parametrów” swoich projektów – np. daty rozpoczęcia i zakończenia realizacji projektu (daty te musiały być wpisane w WoD) były w sporej mierze uzależnione od rzeczywistej daty zatwierdzenia strategii. W praktyce zatem, jak pokazują poniższe wykresy, </w:t>
      </w:r>
      <w:r w:rsidR="00F640D7" w:rsidRPr="00077CA0">
        <w:rPr>
          <w:b/>
        </w:rPr>
        <w:t>moment zatwierdzenia strategii wraz z listą projektów miał – zdaniem około 21%-28% badanych – negatywny wpływ na możliwość przygotowania projektów do aplikowania w ogłoszonych naborach</w:t>
      </w:r>
      <w:r w:rsidR="00F640D7">
        <w:t>.</w:t>
      </w:r>
      <w:r w:rsidR="00776243">
        <w:t xml:space="preserve"> </w:t>
      </w:r>
    </w:p>
    <w:p w14:paraId="012D97E8" w14:textId="290B7E0D" w:rsidR="00F640D7" w:rsidRDefault="00F640D7" w:rsidP="00F640D7">
      <w:pPr>
        <w:pStyle w:val="Legenda"/>
      </w:pPr>
      <w:r>
        <w:lastRenderedPageBreak/>
        <w:t xml:space="preserve">Wykres </w:t>
      </w:r>
      <w:fldSimple w:instr=" SEQ Wykres \* ARABIC ">
        <w:r w:rsidR="00541DFA">
          <w:rPr>
            <w:noProof/>
          </w:rPr>
          <w:t>4</w:t>
        </w:r>
      </w:fldSimple>
      <w:r>
        <w:t xml:space="preserve"> Ocena możliwości przygotowania się do naborów w kontekście momentu zatwierdzania strategii terytorialnych</w:t>
      </w:r>
    </w:p>
    <w:p w14:paraId="4D2954C8" w14:textId="77777777" w:rsidR="00BD6196" w:rsidRDefault="00BD6196" w:rsidP="00BD6196">
      <w:pPr>
        <w:spacing w:before="0" w:after="0"/>
      </w:pPr>
      <w:r w:rsidRPr="00D00EBE">
        <w:rPr>
          <w:noProof/>
        </w:rPr>
        <w:drawing>
          <wp:inline distT="0" distB="0" distL="0" distR="0" wp14:anchorId="2AB2884A" wp14:editId="46002F1D">
            <wp:extent cx="5719445" cy="1835785"/>
            <wp:effectExtent l="0" t="0" r="14605" b="12065"/>
            <wp:docPr id="1114770033" name="Wykres 1" descr="Wykres Ocena możliwości przygotowania się do naborów w kontekście momentu zatwierdzania strategii terytorialnych&#10;Wykres przedstawia odpowiedzi na pytanie kwestionariusza:  Czy moment zakończenia prac nad strategią terytorialną umożliwiał Państwu skuteczne przygotowanie się do naboru?&#10;Tak, mieliśmy wystarczająco dużo czasu - 55,2%&#10;Nie, strategia powstała zbyt późno względem terminu naboru - 20,9%&#10;Inna odpowiedź - 3,0%&#10;Nie dotyczy/trudno powiedzieć - 20,9%">
              <a:extLst xmlns:a="http://schemas.openxmlformats.org/drawingml/2006/main">
                <a:ext uri="{FF2B5EF4-FFF2-40B4-BE49-F238E27FC236}">
                  <a16:creationId xmlns:a16="http://schemas.microsoft.com/office/drawing/2014/main" id="{56A85389-34DC-8836-3EAA-BC2C992A66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45A64AA8" w14:textId="31F11A73" w:rsidR="00BD6196" w:rsidRPr="00544485" w:rsidRDefault="00BD6196" w:rsidP="005A2787">
      <w:pPr>
        <w:pStyle w:val="rdo"/>
      </w:pPr>
      <w:r>
        <w:t xml:space="preserve">Źródło: </w:t>
      </w:r>
      <w:r w:rsidRPr="00EE7E76">
        <w:t>CAWI/CATI z wnioskodawcami FEdKP 2021-2027, n=</w:t>
      </w:r>
      <w:r>
        <w:t>67</w:t>
      </w:r>
      <w:r w:rsidRPr="00EE7E76">
        <w:t>. Odpowiedź na pytanie: „</w:t>
      </w:r>
      <w:r w:rsidRPr="00C51796">
        <w:t>Czy moment zakończenia prac nad strategią terytorialną umożliwiał Państwu skuteczne przygotowanie się do naboru?</w:t>
      </w:r>
      <w:r>
        <w:t>”.</w:t>
      </w:r>
    </w:p>
    <w:p w14:paraId="178AF7B5" w14:textId="28F66143" w:rsidR="00F640D7" w:rsidRDefault="00F640D7" w:rsidP="00F640D7">
      <w:pPr>
        <w:pStyle w:val="Legenda"/>
      </w:pPr>
      <w:r>
        <w:t xml:space="preserve">Wykres </w:t>
      </w:r>
      <w:fldSimple w:instr=" SEQ Wykres \* ARABIC ">
        <w:r w:rsidR="00541DFA">
          <w:rPr>
            <w:noProof/>
          </w:rPr>
          <w:t>5</w:t>
        </w:r>
      </w:fldSimple>
      <w:r>
        <w:t xml:space="preserve"> Ocena znaczenia momentu powstania/ zatwierdzenia strategii terytorialnej dla</w:t>
      </w:r>
      <w:r w:rsidRPr="00297AEB">
        <w:t xml:space="preserve"> przygotowani</w:t>
      </w:r>
      <w:r>
        <w:t>a</w:t>
      </w:r>
      <w:r w:rsidRPr="00297AEB">
        <w:t xml:space="preserve"> projektu/projektów w ramach polityki terytorialnej</w:t>
      </w:r>
    </w:p>
    <w:p w14:paraId="494DAB14" w14:textId="77777777" w:rsidR="00BD6196" w:rsidRDefault="00BD6196" w:rsidP="00BD6196">
      <w:pPr>
        <w:spacing w:before="0" w:after="0"/>
        <w:rPr>
          <w:rFonts w:cstheme="minorHAnsi"/>
        </w:rPr>
      </w:pPr>
      <w:r>
        <w:rPr>
          <w:noProof/>
        </w:rPr>
        <w:drawing>
          <wp:inline distT="0" distB="0" distL="0" distR="0" wp14:anchorId="4CE464D1" wp14:editId="4BDDA0AA">
            <wp:extent cx="5719445" cy="3505200"/>
            <wp:effectExtent l="0" t="0" r="14605" b="0"/>
            <wp:docPr id="1400973413" name="Wykres 1" descr="Wykres Ocena znaczenia momentu powstania/ zatwierdzenia strategii terytorialnej dla przygotowania projektu/projektów w ramach polityki terytorialnej&#10;Wykres przedstawia odpowiedzi na pytanie kwestionariusza: „W jakim stopniu poniższe trudności stanowiły barierę w przygotowaniu projektu/projektów w ramach polityki terytorialnej?”&#10;Późne powstanie strategii terytorialnej wraz z wykazem projektów do wsparcia &#10;Stanowiło znaczącą barierę - 7,0%&#10;Stanowiło umiarkowaną barierę - 20,9%&#10;Stanowiło niewielką barierę - 27,9%&#10;W ogólne nie było takiego problemu - 20,9%&#10;Nie wiem/trudno powiedzieć - 23,3%&#10;&#10;Krótki czas między zatwierdzeniem strategii a naborem:&#10;Stanowiło znaczącą barierę - 4,7%&#10;Stanowiło umiarkowaną barierę - 20,9%&#10;Stanowiło niewielką barierę - 20,9%&#10;W ogólne nie było takiego problemu - 32,6%&#10;Nie wiem/trudno powiedzieć - 20,9%">
              <a:extLst xmlns:a="http://schemas.openxmlformats.org/drawingml/2006/main">
                <a:ext uri="{FF2B5EF4-FFF2-40B4-BE49-F238E27FC236}">
                  <a16:creationId xmlns:a16="http://schemas.microsoft.com/office/drawing/2014/main" id="{5ACBFCFA-E2F3-2A64-6068-6721B50047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3A8ED51" w14:textId="0990818D"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w:t>
      </w:r>
    </w:p>
    <w:p w14:paraId="42A5081B" w14:textId="77777777" w:rsidR="00F640D7" w:rsidRPr="008B0229" w:rsidRDefault="00F640D7" w:rsidP="00077CA0">
      <w:pPr>
        <w:keepNext/>
        <w:rPr>
          <w:rFonts w:cstheme="minorHAnsi"/>
          <w:b/>
          <w:bCs/>
          <w:color w:val="640B68" w:themeColor="accent3" w:themeShade="BF"/>
        </w:rPr>
      </w:pPr>
      <w:r w:rsidRPr="008B0229">
        <w:rPr>
          <w:rFonts w:cstheme="minorHAnsi"/>
          <w:b/>
          <w:bCs/>
          <w:color w:val="640B68" w:themeColor="accent3" w:themeShade="BF"/>
        </w:rPr>
        <w:t xml:space="preserve">Identyfikacja </w:t>
      </w:r>
      <w:r>
        <w:rPr>
          <w:rFonts w:cstheme="minorHAnsi"/>
          <w:b/>
          <w:bCs/>
          <w:color w:val="640B68" w:themeColor="accent3" w:themeShade="BF"/>
        </w:rPr>
        <w:t xml:space="preserve">i przygotowanie </w:t>
      </w:r>
      <w:r w:rsidRPr="008B0229">
        <w:rPr>
          <w:rFonts w:cstheme="minorHAnsi"/>
          <w:b/>
          <w:bCs/>
          <w:color w:val="640B68" w:themeColor="accent3" w:themeShade="BF"/>
        </w:rPr>
        <w:t>projektów</w:t>
      </w:r>
      <w:r>
        <w:rPr>
          <w:rFonts w:cstheme="minorHAnsi"/>
          <w:b/>
          <w:bCs/>
          <w:color w:val="640B68" w:themeColor="accent3" w:themeShade="BF"/>
        </w:rPr>
        <w:t xml:space="preserve"> do aplikowania</w:t>
      </w:r>
    </w:p>
    <w:p w14:paraId="5034B8D1" w14:textId="77777777" w:rsidR="00F640D7" w:rsidRPr="00EC313B" w:rsidRDefault="00F640D7" w:rsidP="00F640D7">
      <w:pPr>
        <w:spacing w:before="0" w:after="160" w:line="259" w:lineRule="auto"/>
      </w:pPr>
      <w:r>
        <w:t>Jak już wskazano wyżej, p</w:t>
      </w:r>
      <w:r w:rsidRPr="00EC313B">
        <w:t xml:space="preserve">odstawą ubiegania się o środki w ramach podejścia terytorialnego było opracowanie przez każde partnerstwo strategii terytorialnej, </w:t>
      </w:r>
      <w:r>
        <w:t>która to</w:t>
      </w:r>
      <w:r w:rsidRPr="00EC313B">
        <w:t xml:space="preserve"> musiała identyfikować kluczowe potrzeby i określać cele rozwojowe, które zostaną </w:t>
      </w:r>
      <w:r w:rsidRPr="00EC313B">
        <w:lastRenderedPageBreak/>
        <w:t>osiągnięte za pomocą konkretnych projektów. Ustalenie listy projektów stanowiło zatem centralny element procesu planowania – strategia musiała zawierać wykaz przedsięwzięć priorytetowych przypisanych do tych celów, wraz z uzasadnieniem ich wyboru i opisem sposobu selekcji.</w:t>
      </w:r>
      <w:r>
        <w:t xml:space="preserve"> Lista tych projektów jest zarówno załącznikiem do porozumień, jak i strategii terytorialnych. W tej części rozdziału staramy się ocenić wpływ procesu identyfikowania i przygotowania projektów na skuteczność naborów PT objętych badaniem.</w:t>
      </w:r>
    </w:p>
    <w:p w14:paraId="11A30EEF" w14:textId="77777777" w:rsidR="00F640D7" w:rsidRDefault="00F640D7" w:rsidP="00F640D7">
      <w:r w:rsidRPr="00EC313B">
        <w:t xml:space="preserve">Prace nad listą projektów przebiegały w modelu partnerskim. Partnerstwa najpierw uzgadniały zasady naboru propozycji projektów – z zachowaniem udziału różnych interesariuszy i przejrzystości procesu. Najczęściej każda gmina członkowska zgłaszała własne potrzeby inwestycyjne i pomysły na projekty, często odpowiadające lokalnym strategiom rozwoju, lecz muszące jednocześnie wpisywać się w cele wspólnej strategii terytorialnej. Konieczne było też oszacowanie zapotrzebowania na środki – partnerzy już na wczesnym etapie określali, kto i jakiej wysokości dofinansowania potrzebuje w ramach polityki terytorialnej. Równocześnie trwały negocjacje co do podziału dostępnej alokacji pomiędzy poszczególne gminy lub </w:t>
      </w:r>
      <w:r w:rsidR="00B42AAA">
        <w:t>obszary</w:t>
      </w:r>
      <w:r w:rsidRPr="00EC313B">
        <w:t xml:space="preserve"> tematyczne, tak aby wszystkie kluczowe potrzeby mogły zostać uwzględnione. </w:t>
      </w:r>
      <w:r>
        <w:t>Pewnym</w:t>
      </w:r>
      <w:r w:rsidRPr="00EC313B">
        <w:t xml:space="preserve"> </w:t>
      </w:r>
      <w:r w:rsidRPr="00EC313B">
        <w:rPr>
          <w:b/>
          <w:bCs/>
        </w:rPr>
        <w:t>wyzwaniem był fakt, że proces identyfikacji ruszył zanim znane były pełne wytyczne krajowe</w:t>
      </w:r>
      <w:r w:rsidRPr="00EC313B">
        <w:t xml:space="preserve"> – partnerstwa rozpoczęły zbieranie projektów jeszcze przed ogłoszeniem przez MFiPR dokumentu „</w:t>
      </w:r>
      <w:r w:rsidRPr="00907A93">
        <w:t>Zasad</w:t>
      </w:r>
      <w:r>
        <w:t>y</w:t>
      </w:r>
      <w:r w:rsidRPr="00907A93">
        <w:t xml:space="preserve"> realizacji instrumentów terytorialnych w Polsce w perspektywie finansowej UE na lata 2021-2027</w:t>
      </w:r>
      <w:r w:rsidRPr="00EC313B">
        <w:t>”, który m.in. definiował projekt zintegrowany</w:t>
      </w:r>
      <w:r>
        <w:t xml:space="preserve"> - mający znaczenie dla wszystkich ZIT</w:t>
      </w:r>
      <w:r w:rsidRPr="00EC313B">
        <w:t xml:space="preserve">. W rezultacie początkowo nie brano pod uwagę nowych wymogów, takich jak konieczność powiązania projektów między sobą czy realizacja wspólnych przedsięwzięć przez kilka gmin. </w:t>
      </w:r>
      <w:r>
        <w:t>Pojawienie się wytycznych</w:t>
      </w:r>
      <w:r w:rsidRPr="00EC313B">
        <w:t xml:space="preserve"> wymusiło </w:t>
      </w:r>
      <w:r w:rsidR="007B3A68">
        <w:t xml:space="preserve">przede wszystkim </w:t>
      </w:r>
      <w:r w:rsidRPr="00EC313B">
        <w:t>ponowną analizę list projektów</w:t>
      </w:r>
      <w:r>
        <w:t xml:space="preserve"> ZIT</w:t>
      </w:r>
      <w:r w:rsidRPr="00EC313B">
        <w:t xml:space="preserve"> pod kątem spełnienia podejścia zintegrowanego</w:t>
      </w:r>
      <w:r>
        <w:t xml:space="preserve">. </w:t>
      </w:r>
    </w:p>
    <w:p w14:paraId="3780949B" w14:textId="1407F144" w:rsidR="00F640D7" w:rsidRDefault="00F640D7" w:rsidP="00F640D7">
      <w:r w:rsidRPr="00EC313B">
        <w:t>Proces ustalania list</w:t>
      </w:r>
      <w:r>
        <w:t xml:space="preserve"> projektów</w:t>
      </w:r>
      <w:r w:rsidRPr="00EC313B">
        <w:t xml:space="preserve"> miał charakter </w:t>
      </w:r>
      <w:r>
        <w:t>etapowy</w:t>
      </w:r>
      <w:r w:rsidRPr="00EC313B">
        <w:t xml:space="preserve"> i mocno partycypacyjny.</w:t>
      </w:r>
      <w:r w:rsidR="005C315C">
        <w:t xml:space="preserve"> </w:t>
      </w:r>
      <w:r w:rsidR="005C315C" w:rsidRPr="005C315C">
        <w:t xml:space="preserve">Prace </w:t>
      </w:r>
      <w:r w:rsidR="004B6822">
        <w:t>w</w:t>
      </w:r>
      <w:r w:rsidR="005C315C" w:rsidRPr="005C315C">
        <w:t xml:space="preserve"> zakresie identyfikacji projektów rozpoczęły się już w 2022 r.</w:t>
      </w:r>
      <w:r w:rsidRPr="00EC313B">
        <w:t xml:space="preserve"> </w:t>
      </w:r>
      <w:r w:rsidR="00BD6196" w:rsidRPr="00EC313B">
        <w:t xml:space="preserve">Kluczowe </w:t>
      </w:r>
      <w:r w:rsidR="00BD6196">
        <w:t>były</w:t>
      </w:r>
      <w:r w:rsidRPr="00EC313B">
        <w:t xml:space="preserve"> liczne spotkania robocze z udziałem wójtów, burmistrzów i koordynatorów ds. ZIT/OPPT.</w:t>
      </w:r>
      <w:r>
        <w:t xml:space="preserve"> </w:t>
      </w:r>
      <w:r w:rsidR="00A92AA0" w:rsidRPr="00A92AA0">
        <w:t xml:space="preserve">Podczas </w:t>
      </w:r>
      <w:r w:rsidR="00BD6196">
        <w:t>nich</w:t>
      </w:r>
      <w:r w:rsidR="00A92AA0" w:rsidRPr="00A92AA0">
        <w:t xml:space="preserve"> omawiane były kwestie związane z możliwością realizacji projektów</w:t>
      </w:r>
      <w:r w:rsidR="00A92AA0">
        <w:t>, w tym w</w:t>
      </w:r>
      <w:r w:rsidR="00A92AA0" w:rsidRPr="00A92AA0">
        <w:t>arunków</w:t>
      </w:r>
      <w:r w:rsidR="00A92AA0">
        <w:t>,</w:t>
      </w:r>
      <w:r w:rsidR="00A92AA0" w:rsidRPr="00A92AA0">
        <w:t xml:space="preserve"> jakie miały spełniać. </w:t>
      </w:r>
      <w:r w:rsidRPr="00EC313B">
        <w:t xml:space="preserve">Taka ścisła współpraca pozwoliła </w:t>
      </w:r>
      <w:r w:rsidR="00BD6196">
        <w:t xml:space="preserve">partnerstwom </w:t>
      </w:r>
      <w:r w:rsidRPr="00EC313B">
        <w:t>wypracować ostateczny zestaw projektów.</w:t>
      </w:r>
      <w:r>
        <w:t xml:space="preserve"> Zatwierdzone przez partnerstwa listy projektów</w:t>
      </w:r>
      <w:r w:rsidR="0047632A">
        <w:t xml:space="preserve"> w postaci fiszek</w:t>
      </w:r>
      <w:r>
        <w:t xml:space="preserve"> trafiały następnie do IZ FEdKP </w:t>
      </w:r>
      <w:r w:rsidR="00BD6196">
        <w:t>w celu ich oceny i akceptacji.</w:t>
      </w:r>
      <w:r>
        <w:t xml:space="preserve"> </w:t>
      </w:r>
      <w:r w:rsidR="00EA2345" w:rsidRPr="00EA2345">
        <w:t xml:space="preserve">Pierwsze </w:t>
      </w:r>
      <w:r w:rsidR="00EA2345" w:rsidRPr="00077CA0">
        <w:rPr>
          <w:b/>
          <w:bCs/>
        </w:rPr>
        <w:t>fiszki</w:t>
      </w:r>
      <w:r w:rsidR="003C74B4" w:rsidRPr="00077CA0">
        <w:rPr>
          <w:b/>
          <w:bCs/>
        </w:rPr>
        <w:t xml:space="preserve"> projektowe</w:t>
      </w:r>
      <w:r w:rsidR="00EA2345" w:rsidRPr="00EA2345">
        <w:t xml:space="preserve"> były przekazane</w:t>
      </w:r>
      <w:r w:rsidR="00EA2345">
        <w:t xml:space="preserve"> do IZ</w:t>
      </w:r>
      <w:r w:rsidR="00EA2345" w:rsidRPr="00EA2345">
        <w:t xml:space="preserve"> już na początku 2023 r.</w:t>
      </w:r>
    </w:p>
    <w:p w14:paraId="5AD1D779" w14:textId="100C84C9" w:rsidR="00F640D7" w:rsidRDefault="00F640D7" w:rsidP="00F640D7">
      <w:pPr>
        <w:rPr>
          <w:rFonts w:cstheme="minorHAnsi"/>
        </w:rPr>
      </w:pPr>
      <w:r w:rsidRPr="00EC313B">
        <w:t xml:space="preserve">Zgodnie z definicją, fiszka stanowi dokument operacyjno-techniczny będący uszczegółowieniem projektu z podstawowej listy strategii terytorialnej. W praktyce oznacza to, że dla każdego priorytetowego przedsięwzięcia przygotowano fiszkę zawierającą m.in. nazwę i zakres projektu, planowane rezultaty i wskaźniki, lokalizację, szacunkowy kosztorys i montaż finansowy, proponowanego beneficjenta </w:t>
      </w:r>
      <w:r w:rsidRPr="00EC313B">
        <w:lastRenderedPageBreak/>
        <w:t>(realizatora) oraz stopień przygotowania (np. status dokumentacji technicznej, decyzji środowiskowych). Fiszki projektowe były załącznikami do</w:t>
      </w:r>
      <w:r>
        <w:t xml:space="preserve"> porozumień </w:t>
      </w:r>
      <w:r w:rsidRPr="00EC313B">
        <w:t>terytorialn</w:t>
      </w:r>
      <w:r>
        <w:t>ych</w:t>
      </w:r>
      <w:r w:rsidRPr="00EC313B">
        <w:t>.</w:t>
      </w:r>
      <w:r>
        <w:t xml:space="preserve"> </w:t>
      </w:r>
      <w:r w:rsidRPr="009D1B53">
        <w:t xml:space="preserve">Fiszka projektowa stanowiła zatem </w:t>
      </w:r>
      <w:r w:rsidR="0056017A">
        <w:t xml:space="preserve">zarys planowanej inwestycji, która ma być realizowana w ramach FEdKP 2021-2027. </w:t>
      </w:r>
      <w:r w:rsidR="00BD6196">
        <w:t>O</w:t>
      </w:r>
      <w:r w:rsidR="00BD6196" w:rsidRPr="009D1B53">
        <w:t>kreśla</w:t>
      </w:r>
      <w:r w:rsidR="00BD6196">
        <w:t>ła</w:t>
      </w:r>
      <w:r w:rsidR="00BD6196" w:rsidRPr="009D1B53">
        <w:t xml:space="preserve"> </w:t>
      </w:r>
      <w:r w:rsidR="00BD6196">
        <w:t>wstępne założenia projektu – ze wskazaniem niezbędnych środków na realizację tego przedsięwzięcia (w tym dofinansowania UE)</w:t>
      </w:r>
      <w:r w:rsidR="00BD6196" w:rsidRPr="009D1B53">
        <w:t xml:space="preserve"> </w:t>
      </w:r>
      <w:r w:rsidR="00BD6196">
        <w:t xml:space="preserve">i oczekiwanych rezultatów w postaci wskaźników. W fiszce przedstawiano </w:t>
      </w:r>
      <w:r w:rsidR="00BD6196" w:rsidRPr="00B40015">
        <w:t>informacje niezbędne do oceny</w:t>
      </w:r>
      <w:r w:rsidR="00BD6196">
        <w:t xml:space="preserve"> tego</w:t>
      </w:r>
      <w:r w:rsidR="00BD6196" w:rsidRPr="00B40015">
        <w:t>, czy dana inwestycja kwalifikuje się</w:t>
      </w:r>
      <w:r w:rsidR="00BD6196">
        <w:t xml:space="preserve"> w ogóle</w:t>
      </w:r>
      <w:r w:rsidR="00BD6196" w:rsidRPr="00B40015">
        <w:t xml:space="preserve"> do wsparcia w ramach </w:t>
      </w:r>
      <w:r w:rsidR="00BD6196">
        <w:t xml:space="preserve">Programu. Przyjęcie takiego rozwiązania miało </w:t>
      </w:r>
      <w:r w:rsidR="00BD6196" w:rsidRPr="009D1B53">
        <w:t>ułatwi</w:t>
      </w:r>
      <w:r w:rsidR="00BD6196">
        <w:t>ć</w:t>
      </w:r>
      <w:r w:rsidR="00BD6196" w:rsidRPr="009D1B53">
        <w:t xml:space="preserve"> późniejsze przygotowanie wniosków o dofinansowanie i weryfikację zgodności </w:t>
      </w:r>
      <w:r w:rsidR="00BD6196">
        <w:t xml:space="preserve">ostatecznie przygotowanych </w:t>
      </w:r>
      <w:r w:rsidR="00BD6196" w:rsidRPr="009D1B53">
        <w:t>projektów z</w:t>
      </w:r>
      <w:r w:rsidR="00BD6196">
        <w:t>e</w:t>
      </w:r>
      <w:r w:rsidR="00BD6196" w:rsidRPr="009D1B53">
        <w:t xml:space="preserve"> strategią</w:t>
      </w:r>
      <w:r w:rsidR="00BD6196">
        <w:t xml:space="preserve"> terytorialną oraz FEdKP 2021-2027, w tym kryteriami wyboru</w:t>
      </w:r>
      <w:r w:rsidR="00BD6196" w:rsidRPr="009D1B53">
        <w:t>.</w:t>
      </w:r>
    </w:p>
    <w:p w14:paraId="3F441CA4" w14:textId="77777777" w:rsidR="00F640D7" w:rsidRDefault="00F640D7" w:rsidP="00F640D7">
      <w:pPr>
        <w:rPr>
          <w:rFonts w:cstheme="minorHAnsi"/>
        </w:rPr>
      </w:pPr>
      <w:r>
        <w:rPr>
          <w:rFonts w:cstheme="minorHAnsi"/>
        </w:rPr>
        <w:t xml:space="preserve">Jak pokazuje wykres poniżej, badani </w:t>
      </w:r>
      <w:r w:rsidRPr="00FF4E18">
        <w:rPr>
          <w:rFonts w:cstheme="minorHAnsi"/>
          <w:b/>
          <w:bCs/>
        </w:rPr>
        <w:t>przedstawiciele JST wchodzących w skład partnerstw ZIT/OPPT w zdecydowanej większości pozytywnie ocenili proces identyfikacji projektów</w:t>
      </w:r>
      <w:r>
        <w:rPr>
          <w:rFonts w:cstheme="minorHAnsi"/>
        </w:rPr>
        <w:t xml:space="preserve"> – przyznając, że był on przejrzysty i sprawiedliwy.</w:t>
      </w:r>
    </w:p>
    <w:p w14:paraId="330B97B2" w14:textId="0B29E823" w:rsidR="00F640D7" w:rsidRDefault="00F640D7" w:rsidP="00F640D7">
      <w:pPr>
        <w:pStyle w:val="Legenda"/>
      </w:pPr>
      <w:r>
        <w:t xml:space="preserve">Wykres </w:t>
      </w:r>
      <w:fldSimple w:instr=" SEQ Wykres \* ARABIC ">
        <w:r w:rsidR="00541DFA">
          <w:rPr>
            <w:noProof/>
          </w:rPr>
          <w:t>6</w:t>
        </w:r>
      </w:fldSimple>
      <w:r>
        <w:t xml:space="preserve"> Ocena przejrzystości i sprawiedliwości procesu identyfikacji projektów ZIT/OPPT</w:t>
      </w:r>
    </w:p>
    <w:p w14:paraId="5EC75284" w14:textId="0FBF73E1" w:rsidR="00BD6196" w:rsidRDefault="00BD6196" w:rsidP="00BD6196">
      <w:pPr>
        <w:spacing w:before="0" w:after="0"/>
        <w:rPr>
          <w:rFonts w:cstheme="minorHAnsi"/>
        </w:rPr>
      </w:pPr>
      <w:r w:rsidRPr="008A2D92">
        <w:rPr>
          <w:noProof/>
        </w:rPr>
        <w:drawing>
          <wp:inline distT="0" distB="0" distL="0" distR="0" wp14:anchorId="2530CC2D" wp14:editId="204E9285">
            <wp:extent cx="5719445" cy="1375410"/>
            <wp:effectExtent l="0" t="0" r="14605" b="15240"/>
            <wp:docPr id="380067648" name="Wykres 1" descr="Wykres Ocena przejrzystości i sprawiedliwości procesu identyfikacji projektów ZIT/OPPT&#10;Wykres przedstawia odpowiedzi na pytanie kwestionariusza: Czy proces identyfikacji projektów w ramach strategii terytorialnej był – Państwa zdaniem – przejrzysty i sprawiedliwy?&#10;Zdecydowanie tak - 13,4%&#10;Raczej tak - 62,7%&#10;Raczej nie - 3,0%&#10;Zdecydowanie nie - 1,5%&#10;Nie wiem/trudno powiedzieć - 19,4%">
              <a:extLst xmlns:a="http://schemas.openxmlformats.org/drawingml/2006/main">
                <a:ext uri="{FF2B5EF4-FFF2-40B4-BE49-F238E27FC236}">
                  <a16:creationId xmlns:a16="http://schemas.microsoft.com/office/drawing/2014/main" id="{915A54C2-8C87-9664-D438-B332DBE33F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FB57D67" w14:textId="312B4F5C" w:rsidR="00BD6196" w:rsidRDefault="00BD6196" w:rsidP="005A2787">
      <w:pPr>
        <w:pStyle w:val="rdo"/>
      </w:pPr>
      <w:r>
        <w:t xml:space="preserve">Źródło: </w:t>
      </w:r>
      <w:r w:rsidRPr="00EE7E76">
        <w:t>CAWI/CATI z wnioskodawcami FEdKP 2021-2027, n=</w:t>
      </w:r>
      <w:r>
        <w:t>67</w:t>
      </w:r>
      <w:r w:rsidRPr="00EE7E76">
        <w:t>. Odpowiedź na pytanie: „</w:t>
      </w:r>
      <w:r w:rsidRPr="00B76E8B">
        <w:t>Czy proces identyfikacji projektów w ramach strategii terytorialnej był przejrzysty i sprawiedliwy?</w:t>
      </w:r>
      <w:r>
        <w:t>”.</w:t>
      </w:r>
    </w:p>
    <w:p w14:paraId="10989E08" w14:textId="3E37795A" w:rsidR="00BD6196" w:rsidRDefault="00BD6196" w:rsidP="00BD6196">
      <w:pPr>
        <w:rPr>
          <w:rFonts w:cstheme="minorHAnsi"/>
        </w:rPr>
      </w:pPr>
      <w:r>
        <w:rPr>
          <w:rFonts w:cstheme="minorHAnsi"/>
        </w:rPr>
        <w:t xml:space="preserve">Z drugiej jednak strony, </w:t>
      </w:r>
      <w:r w:rsidRPr="001F364E">
        <w:rPr>
          <w:rFonts w:cstheme="minorHAnsi"/>
          <w:b/>
          <w:bCs/>
        </w:rPr>
        <w:t>w procesie zarówno identyfikacji, jak i przygotowania projektów ważną rolę odgrywała komunikacja i współpraca między JST</w:t>
      </w:r>
      <w:r>
        <w:rPr>
          <w:rFonts w:cstheme="minorHAnsi"/>
        </w:rPr>
        <w:t xml:space="preserve"> – członkami partnerstw. Jak pokazuje wykres poniżej, członkowie partnerstw jako istotną </w:t>
      </w:r>
      <w:r w:rsidRPr="000D6B67">
        <w:rPr>
          <w:rFonts w:cstheme="minorHAnsi"/>
          <w:b/>
          <w:bCs/>
        </w:rPr>
        <w:t>barierę w tym procesie wskazali przede wszystkim brak wsparcia doradczego ze strony lidera porozumienia</w:t>
      </w:r>
      <w:r>
        <w:rPr>
          <w:rFonts w:cstheme="minorHAnsi"/>
        </w:rPr>
        <w:t xml:space="preserve"> (łącznie niemal 19% badanych uznało to za umiarkowaną i znaczącą barierę). Umiarkowane trudności związane były z kolei z niewystarczającą współpracą oraz niedostatecznie sprawnym osiąganiem konsensusu między samorządami.</w:t>
      </w:r>
    </w:p>
    <w:p w14:paraId="49F34291" w14:textId="44BF5A26" w:rsidR="00F640D7" w:rsidRDefault="00F640D7" w:rsidP="00F640D7">
      <w:pPr>
        <w:pStyle w:val="Legenda"/>
      </w:pPr>
      <w:r>
        <w:lastRenderedPageBreak/>
        <w:t xml:space="preserve">Wykres </w:t>
      </w:r>
      <w:fldSimple w:instr=" SEQ Wykres \* ARABIC ">
        <w:r w:rsidR="00541DFA">
          <w:rPr>
            <w:noProof/>
          </w:rPr>
          <w:t>7</w:t>
        </w:r>
      </w:fldSimple>
      <w:r>
        <w:t xml:space="preserve"> Ocena znaczenia komunikacji i współpracy między JST w ramach ZIT/OPPT dla</w:t>
      </w:r>
      <w:r w:rsidRPr="00297AEB">
        <w:t xml:space="preserve"> przygotowani</w:t>
      </w:r>
      <w:r>
        <w:t>a</w:t>
      </w:r>
      <w:r w:rsidRPr="00297AEB">
        <w:t xml:space="preserve"> projektu/projektów</w:t>
      </w:r>
    </w:p>
    <w:p w14:paraId="144D8E38" w14:textId="77777777" w:rsidR="00BD6196" w:rsidRDefault="00BD6196" w:rsidP="00BD6196">
      <w:pPr>
        <w:spacing w:before="0" w:after="0"/>
        <w:rPr>
          <w:rFonts w:cstheme="minorHAnsi"/>
        </w:rPr>
      </w:pPr>
      <w:r>
        <w:rPr>
          <w:noProof/>
        </w:rPr>
        <w:drawing>
          <wp:inline distT="0" distB="0" distL="0" distR="0" wp14:anchorId="41FFE88C" wp14:editId="48022092">
            <wp:extent cx="5716905" cy="3690620"/>
            <wp:effectExtent l="0" t="0" r="17145" b="5080"/>
            <wp:docPr id="757961595" name="Wykres 1" descr="Wykres Ocena znaczenia komunikacji i współpracy między JST w ramach ZIT/OPPT dla przygotowania projektu/projektów&#10;Wykres przedstawia odpowiedzi na pytanie kwestionariusza: „W jakim stopniu poniższe trudności stanowiły barierę w przygotowaniu projektu/projektów w ramach polityki terytorialnej?”&#10;Niewystarczająca współpraca między samorządami &#10;Stanowiło znaczącą barierę - 0,0%&#10;Stanowiło umiarkowaną barierę - 18,6%&#10;Stanowiło niewielką barierę - 23,3%&#10;W ogólne nie było takiego problemu - 44,2%&#10;Nie wiem/trudno powiedzieć - 14,0%&#10;Brak wsparcia doradczego ze strony lidera porozumienia terytorialnego &#10;Stanowiło znaczącą barierę - 4,7%&#10;Stanowiło umiarkowaną barierę - 14,0%&#10;Stanowiło niewielką barierę - 16,3%&#10;W ogólne nie było takiego problemu - 51,2%&#10;Nie wiem/trudno powiedzieć - 14,0%&#10;Trudności w uzgadnianiu partnerstw i projektów z innymi JST&#10;Stanowiło znaczącą barierę - 0,0%&#10;Stanowiło umiarkowaną barierę - 14,0%&#10;Stanowiło niewielką barierę - 20,9%&#10;W ogólne nie było takiego problemu - 34,9%&#10;Nie wiem/trudno powiedzieć - 30,2%">
              <a:extLst xmlns:a="http://schemas.openxmlformats.org/drawingml/2006/main">
                <a:ext uri="{FF2B5EF4-FFF2-40B4-BE49-F238E27FC236}">
                  <a16:creationId xmlns:a16="http://schemas.microsoft.com/office/drawing/2014/main" id="{1310BC07-243E-19B4-0D9A-1ADB471DDC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E55B024" w14:textId="77777777"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 Wartości mogą nie sumować się do 100,0% z powodu zaokrągleń.</w:t>
      </w:r>
    </w:p>
    <w:p w14:paraId="38533EF4" w14:textId="0009AC7B" w:rsidR="00F640D7" w:rsidRDefault="00F640D7" w:rsidP="00F640D7">
      <w:pPr>
        <w:rPr>
          <w:rFonts w:cstheme="minorHAnsi"/>
        </w:rPr>
      </w:pPr>
      <w:r>
        <w:rPr>
          <w:rFonts w:cstheme="minorHAnsi"/>
        </w:rPr>
        <w:t xml:space="preserve">Jak już wspomniano, </w:t>
      </w:r>
      <w:r w:rsidRPr="00B95E87">
        <w:rPr>
          <w:rFonts w:cstheme="minorHAnsi"/>
          <w:b/>
          <w:bCs/>
        </w:rPr>
        <w:t>listy zidentyfikowanych projektów wraz z ich fiszkami przekazywane były do oceny pracownikom IZ FEdKP 2021-2027</w:t>
      </w:r>
      <w:r>
        <w:rPr>
          <w:rFonts w:cstheme="minorHAnsi"/>
        </w:rPr>
        <w:t xml:space="preserve">. </w:t>
      </w:r>
      <w:r w:rsidRPr="00D15EB1">
        <w:rPr>
          <w:rFonts w:cstheme="minorHAnsi"/>
        </w:rPr>
        <w:t xml:space="preserve">IZ dokonywała weryfikacji każdej fiszki projektowej pod kątem zgodności z </w:t>
      </w:r>
      <w:r w:rsidR="00BD6196">
        <w:rPr>
          <w:rFonts w:cstheme="minorHAnsi"/>
        </w:rPr>
        <w:t>P</w:t>
      </w:r>
      <w:r w:rsidR="00BD6196" w:rsidRPr="00D15EB1">
        <w:rPr>
          <w:rFonts w:cstheme="minorHAnsi"/>
        </w:rPr>
        <w:t xml:space="preserve">rogramem FEdKP i wytycznymi. </w:t>
      </w:r>
      <w:r w:rsidRPr="00D15EB1">
        <w:rPr>
          <w:rFonts w:cstheme="minorHAnsi"/>
        </w:rPr>
        <w:t xml:space="preserve">Sprawdzano m.in.: czy zakres projektu mieści się w ramach odpowiedniego Działania/Priorytetu </w:t>
      </w:r>
      <w:r>
        <w:rPr>
          <w:rFonts w:cstheme="minorHAnsi"/>
        </w:rPr>
        <w:t>P</w:t>
      </w:r>
      <w:r w:rsidRPr="00D15EB1">
        <w:rPr>
          <w:rFonts w:cstheme="minorHAnsi"/>
        </w:rPr>
        <w:t>rogramu, czy budżet i plan finansowania są poprawnie określone, czy spełniono kryteria dostępu i preferencji (np. dotyczące uwzględnienia obszarów problemowych, zasad horyzontalnych itp</w:t>
      </w:r>
      <w:r w:rsidR="00BD6196" w:rsidRPr="00D15EB1">
        <w:rPr>
          <w:rFonts w:cstheme="minorHAnsi"/>
        </w:rPr>
        <w:t>.)</w:t>
      </w:r>
      <w:r w:rsidR="00BD6196">
        <w:rPr>
          <w:rFonts w:cstheme="minorHAnsi"/>
        </w:rPr>
        <w:t>, czy właściwie doprecyzowano wskaźniki</w:t>
      </w:r>
      <w:r w:rsidR="00BD6196" w:rsidRPr="00D15EB1">
        <w:rPr>
          <w:rFonts w:cstheme="minorHAnsi"/>
        </w:rPr>
        <w:t>.</w:t>
      </w:r>
      <w:r w:rsidRPr="00D15EB1">
        <w:rPr>
          <w:rFonts w:cstheme="minorHAnsi"/>
        </w:rPr>
        <w:t xml:space="preserve"> </w:t>
      </w:r>
      <w:r>
        <w:rPr>
          <w:rFonts w:cstheme="minorHAnsi"/>
        </w:rPr>
        <w:t>Na tym etapie pracownicy</w:t>
      </w:r>
      <w:r w:rsidRPr="00D15EB1">
        <w:rPr>
          <w:rFonts w:cstheme="minorHAnsi"/>
        </w:rPr>
        <w:t xml:space="preserve"> IZ </w:t>
      </w:r>
      <w:r>
        <w:rPr>
          <w:rFonts w:cstheme="minorHAnsi"/>
        </w:rPr>
        <w:t xml:space="preserve">często </w:t>
      </w:r>
      <w:r w:rsidRPr="00D15EB1">
        <w:rPr>
          <w:rFonts w:cstheme="minorHAnsi"/>
        </w:rPr>
        <w:t>zgłasza</w:t>
      </w:r>
      <w:r>
        <w:rPr>
          <w:rFonts w:cstheme="minorHAnsi"/>
        </w:rPr>
        <w:t>li</w:t>
      </w:r>
      <w:r w:rsidRPr="00D15EB1">
        <w:rPr>
          <w:rFonts w:cstheme="minorHAnsi"/>
        </w:rPr>
        <w:t xml:space="preserve"> uwagi do fiszek</w:t>
      </w:r>
      <w:r>
        <w:rPr>
          <w:rFonts w:cstheme="minorHAnsi"/>
        </w:rPr>
        <w:t xml:space="preserve"> z prośbą o wprowadzenie zmian</w:t>
      </w:r>
      <w:r w:rsidRPr="00D15EB1">
        <w:rPr>
          <w:rFonts w:cstheme="minorHAnsi"/>
        </w:rPr>
        <w:t xml:space="preserve">. </w:t>
      </w:r>
      <w:r w:rsidRPr="00B95E87">
        <w:rPr>
          <w:rFonts w:cstheme="minorHAnsi"/>
        </w:rPr>
        <w:t>Działania te miały</w:t>
      </w:r>
      <w:r>
        <w:rPr>
          <w:rFonts w:cstheme="minorHAnsi"/>
        </w:rPr>
        <w:t xml:space="preserve"> </w:t>
      </w:r>
      <w:r w:rsidRPr="00B95E87">
        <w:rPr>
          <w:rFonts w:cstheme="minorHAnsi"/>
        </w:rPr>
        <w:t>na celu</w:t>
      </w:r>
      <w:r w:rsidRPr="00D15EB1">
        <w:rPr>
          <w:rFonts w:cstheme="minorHAnsi"/>
        </w:rPr>
        <w:t xml:space="preserve"> </w:t>
      </w:r>
      <w:r w:rsidR="00C30EDA">
        <w:rPr>
          <w:rFonts w:cstheme="minorHAnsi"/>
        </w:rPr>
        <w:t>wyeliminowanie widocznych nieścisłości, któ</w:t>
      </w:r>
      <w:r w:rsidR="00C04DCF">
        <w:rPr>
          <w:rFonts w:cstheme="minorHAnsi"/>
        </w:rPr>
        <w:t>r</w:t>
      </w:r>
      <w:r w:rsidR="00C30EDA">
        <w:rPr>
          <w:rFonts w:cstheme="minorHAnsi"/>
        </w:rPr>
        <w:t>e mogłyby mieć wpływ na realizację inwestycji</w:t>
      </w:r>
      <w:r w:rsidR="00BD6196">
        <w:rPr>
          <w:rFonts w:cstheme="minorHAnsi"/>
        </w:rPr>
        <w:t xml:space="preserve"> oraz zapewnienie</w:t>
      </w:r>
      <w:r w:rsidR="00BD6196" w:rsidRPr="00D15EB1">
        <w:rPr>
          <w:rFonts w:cstheme="minorHAnsi"/>
        </w:rPr>
        <w:t xml:space="preserve"> </w:t>
      </w:r>
      <w:r w:rsidRPr="00D15EB1">
        <w:rPr>
          <w:rFonts w:cstheme="minorHAnsi"/>
        </w:rPr>
        <w:t>pełn</w:t>
      </w:r>
      <w:r w:rsidR="00BD6196">
        <w:rPr>
          <w:rFonts w:cstheme="minorHAnsi"/>
        </w:rPr>
        <w:t>ej ich</w:t>
      </w:r>
      <w:r w:rsidR="00BD6196" w:rsidRPr="00D15EB1">
        <w:rPr>
          <w:rFonts w:cstheme="minorHAnsi"/>
        </w:rPr>
        <w:t xml:space="preserve"> zgodnoś</w:t>
      </w:r>
      <w:r w:rsidR="00BD6196">
        <w:rPr>
          <w:rFonts w:cstheme="minorHAnsi"/>
        </w:rPr>
        <w:t>ci</w:t>
      </w:r>
      <w:r w:rsidR="00BD6196" w:rsidRPr="00D15EB1">
        <w:rPr>
          <w:rFonts w:cstheme="minorHAnsi"/>
        </w:rPr>
        <w:t xml:space="preserve"> </w:t>
      </w:r>
      <w:r w:rsidRPr="00D15EB1">
        <w:rPr>
          <w:rFonts w:cstheme="minorHAnsi"/>
        </w:rPr>
        <w:t>z wymogami</w:t>
      </w:r>
      <w:r w:rsidR="00BD6196">
        <w:rPr>
          <w:rFonts w:cstheme="minorHAnsi"/>
        </w:rPr>
        <w:t>.</w:t>
      </w:r>
      <w:r>
        <w:rPr>
          <w:rFonts w:cstheme="minorHAnsi"/>
        </w:rPr>
        <w:t xml:space="preserve"> </w:t>
      </w:r>
      <w:r w:rsidRPr="00DC3821">
        <w:rPr>
          <w:rFonts w:cstheme="minorHAnsi"/>
        </w:rPr>
        <w:t xml:space="preserve">Dopiero tak skorygowane fiszki były </w:t>
      </w:r>
      <w:r w:rsidR="00BD6196" w:rsidRPr="00077CA0">
        <w:rPr>
          <w:rFonts w:cstheme="minorHAnsi"/>
        </w:rPr>
        <w:t>akceptowane</w:t>
      </w:r>
      <w:r w:rsidR="00BD6196" w:rsidRPr="00DC3821">
        <w:rPr>
          <w:rFonts w:cstheme="minorHAnsi"/>
        </w:rPr>
        <w:t xml:space="preserve"> przez IZ.</w:t>
      </w:r>
      <w:r>
        <w:rPr>
          <w:rFonts w:cstheme="minorHAnsi"/>
        </w:rPr>
        <w:t xml:space="preserve"> Należy jednak zaznaczyć, że </w:t>
      </w:r>
      <w:r w:rsidRPr="00552DFF">
        <w:rPr>
          <w:rFonts w:cstheme="minorHAnsi"/>
          <w:b/>
          <w:bCs/>
        </w:rPr>
        <w:t>na etapie</w:t>
      </w:r>
      <w:r w:rsidR="00076827">
        <w:rPr>
          <w:rFonts w:cstheme="minorHAnsi"/>
          <w:b/>
          <w:bCs/>
        </w:rPr>
        <w:t xml:space="preserve"> </w:t>
      </w:r>
      <w:r w:rsidR="00076827" w:rsidRPr="00077CA0">
        <w:rPr>
          <w:rFonts w:cstheme="minorHAnsi"/>
          <w:b/>
          <w:bCs/>
        </w:rPr>
        <w:t>identyfikacji, przygotowania oraz akceptowania fiszek projektowych</w:t>
      </w:r>
      <w:r w:rsidRPr="00552DFF">
        <w:rPr>
          <w:rFonts w:cstheme="minorHAnsi"/>
          <w:b/>
          <w:bCs/>
        </w:rPr>
        <w:t xml:space="preserve"> nie były jeszcze </w:t>
      </w:r>
      <w:r w:rsidR="00197F73">
        <w:rPr>
          <w:rFonts w:cstheme="minorHAnsi"/>
          <w:b/>
          <w:bCs/>
        </w:rPr>
        <w:t>zatwierdzone</w:t>
      </w:r>
      <w:r w:rsidRPr="00552DFF">
        <w:rPr>
          <w:rFonts w:cstheme="minorHAnsi"/>
          <w:b/>
          <w:bCs/>
        </w:rPr>
        <w:t xml:space="preserve"> wszystkie szczegółowe kryteria wyboru projektów</w:t>
      </w:r>
      <w:r>
        <w:rPr>
          <w:rFonts w:cstheme="minorHAnsi"/>
        </w:rPr>
        <w:t xml:space="preserve">. Z jednej strony – jak wynika z wypowiedzi przedstawicieli IZ i IP </w:t>
      </w:r>
      <w:r w:rsidR="009135FB">
        <w:rPr>
          <w:rFonts w:cstheme="minorHAnsi"/>
        </w:rPr>
        <w:t xml:space="preserve">BydOF </w:t>
      </w:r>
      <w:r>
        <w:rPr>
          <w:rFonts w:cstheme="minorHAnsi"/>
        </w:rPr>
        <w:t xml:space="preserve">– miało to wpływ na to, że pojedyncze fiszki projektów nie wpisywały się w ostateczne założenia wsparcia w Programie. Z drugiej strony, okoliczność ta </w:t>
      </w:r>
      <w:r w:rsidR="00F2719C">
        <w:rPr>
          <w:rFonts w:cstheme="minorHAnsi"/>
        </w:rPr>
        <w:t>miała</w:t>
      </w:r>
      <w:r>
        <w:rPr>
          <w:rFonts w:cstheme="minorHAnsi"/>
        </w:rPr>
        <w:t xml:space="preserve"> także wpływ na sprawność przygotowania wniosków o dofinansowanie w momencie ogłoszenia naborów</w:t>
      </w:r>
      <w:r w:rsidR="00F756E1">
        <w:rPr>
          <w:rFonts w:cstheme="minorHAnsi"/>
        </w:rPr>
        <w:t xml:space="preserve">. Po </w:t>
      </w:r>
      <w:r w:rsidR="00F756E1">
        <w:rPr>
          <w:rFonts w:cstheme="minorHAnsi"/>
        </w:rPr>
        <w:lastRenderedPageBreak/>
        <w:t>pierwsze, p</w:t>
      </w:r>
      <w:r>
        <w:rPr>
          <w:rFonts w:cstheme="minorHAnsi"/>
        </w:rPr>
        <w:t>rzed przygotowaniem wniosku o dofinansowanie konieczne mogło być bowiem zaktualizowanie takich fiszek</w:t>
      </w:r>
      <w:r w:rsidR="006452E7">
        <w:rPr>
          <w:rFonts w:cstheme="minorHAnsi"/>
        </w:rPr>
        <w:t xml:space="preserve"> i</w:t>
      </w:r>
      <w:r>
        <w:rPr>
          <w:rFonts w:cstheme="minorHAnsi"/>
        </w:rPr>
        <w:t xml:space="preserve"> uzyskanie ponownej akceptacji ze strony IZ (dotyczy to </w:t>
      </w:r>
      <w:r w:rsidR="006452E7">
        <w:rPr>
          <w:rFonts w:cstheme="minorHAnsi"/>
        </w:rPr>
        <w:t xml:space="preserve">zakresu </w:t>
      </w:r>
      <w:r>
        <w:rPr>
          <w:rFonts w:cstheme="minorHAnsi"/>
        </w:rPr>
        <w:t xml:space="preserve">zmian wymienionych w treści porozumień terytorialnych, które każdorazowo wymagają akceptacji IZ). Jak jednak wskazały wyniki badania ilościowego, jedynie 4,5% badanych wnioskodawców przyznało, że </w:t>
      </w:r>
      <w:r w:rsidRPr="00071847">
        <w:rPr>
          <w:rFonts w:cstheme="minorHAnsi"/>
        </w:rPr>
        <w:t>konieczne było wprowadzanie istotnych modyfikacji do koncepcji projektu zawartego w strategii terytorialnej na etapie nabor</w:t>
      </w:r>
      <w:r>
        <w:rPr>
          <w:rFonts w:cstheme="minorHAnsi"/>
        </w:rPr>
        <w:t>ów</w:t>
      </w:r>
      <w:r>
        <w:rPr>
          <w:rStyle w:val="Odwoanieprzypisudolnego"/>
          <w:rFonts w:cstheme="minorHAnsi"/>
        </w:rPr>
        <w:footnoteReference w:id="38"/>
      </w:r>
      <w:r>
        <w:rPr>
          <w:rFonts w:cstheme="minorHAnsi"/>
        </w:rPr>
        <w:t>.</w:t>
      </w:r>
      <w:r w:rsidR="00F756E1">
        <w:rPr>
          <w:rFonts w:cstheme="minorHAnsi"/>
        </w:rPr>
        <w:t xml:space="preserve"> Po drugie, </w:t>
      </w:r>
      <w:r w:rsidR="00983BCA">
        <w:rPr>
          <w:rFonts w:cstheme="minorHAnsi"/>
        </w:rPr>
        <w:t xml:space="preserve">dopiero po zapoznaniu się z </w:t>
      </w:r>
      <w:r w:rsidR="00A67BF1">
        <w:rPr>
          <w:rFonts w:cstheme="minorHAnsi"/>
        </w:rPr>
        <w:t xml:space="preserve">zatwierdzonymi </w:t>
      </w:r>
      <w:r w:rsidR="00983BCA">
        <w:rPr>
          <w:rFonts w:cstheme="minorHAnsi"/>
        </w:rPr>
        <w:t>kryteriami wyboru</w:t>
      </w:r>
      <w:r w:rsidR="00A67BF1">
        <w:rPr>
          <w:rFonts w:cstheme="minorHAnsi"/>
        </w:rPr>
        <w:t xml:space="preserve">, </w:t>
      </w:r>
      <w:r w:rsidR="00983BCA">
        <w:rPr>
          <w:rFonts w:cstheme="minorHAnsi"/>
        </w:rPr>
        <w:t xml:space="preserve">wnioskodawcy </w:t>
      </w:r>
      <w:r w:rsidR="0040259E">
        <w:rPr>
          <w:rFonts w:cstheme="minorHAnsi"/>
        </w:rPr>
        <w:t xml:space="preserve">mogli przystąpić do przygotowania szczegółowych zakresów swoich projektów, w tym </w:t>
      </w:r>
      <w:r w:rsidR="00190068">
        <w:rPr>
          <w:rFonts w:cstheme="minorHAnsi"/>
        </w:rPr>
        <w:t xml:space="preserve">przeprowadzenia stosownych analiz i </w:t>
      </w:r>
      <w:r w:rsidR="00A67BF1">
        <w:rPr>
          <w:rFonts w:cstheme="minorHAnsi"/>
        </w:rPr>
        <w:t>pozyskania dokumentów/ decyzji.</w:t>
      </w:r>
    </w:p>
    <w:p w14:paraId="6CA2E371" w14:textId="74D2BC15" w:rsidR="00F640D7" w:rsidRDefault="00F640D7" w:rsidP="00F640D7">
      <w:pPr>
        <w:rPr>
          <w:rFonts w:cstheme="minorHAnsi"/>
        </w:rPr>
      </w:pPr>
      <w:r>
        <w:rPr>
          <w:rFonts w:cstheme="minorHAnsi"/>
        </w:rPr>
        <w:t xml:space="preserve">Opisane wyżej zaangażowanie pracowników IZ stanowiło jednak istotne </w:t>
      </w:r>
      <w:r w:rsidRPr="00077CA0">
        <w:rPr>
          <w:rFonts w:cstheme="minorHAnsi"/>
        </w:rPr>
        <w:t>obciążenie instytucjonalne –</w:t>
      </w:r>
      <w:r w:rsidR="00776243" w:rsidRPr="00077CA0">
        <w:rPr>
          <w:rFonts w:cstheme="minorHAnsi"/>
        </w:rPr>
        <w:t xml:space="preserve"> </w:t>
      </w:r>
      <w:r w:rsidRPr="00077CA0">
        <w:rPr>
          <w:rFonts w:cstheme="minorHAnsi"/>
        </w:rPr>
        <w:t>pracownicy ci w niedługim czasie musieli konsultować, weryfikować i opiniować po kilkanaście - kilkadziesiąt fiszek</w:t>
      </w:r>
      <w:r>
        <w:rPr>
          <w:rFonts w:cstheme="minorHAnsi"/>
        </w:rPr>
        <w:t xml:space="preserve"> projektowych. </w:t>
      </w:r>
      <w:r w:rsidR="00E52671">
        <w:rPr>
          <w:rFonts w:cstheme="minorHAnsi"/>
        </w:rPr>
        <w:t>T</w:t>
      </w:r>
      <w:r w:rsidRPr="00077CA0">
        <w:rPr>
          <w:rFonts w:cstheme="minorHAnsi"/>
        </w:rPr>
        <w:t>ak</w:t>
      </w:r>
      <w:r w:rsidRPr="00CE2B5D">
        <w:rPr>
          <w:rFonts w:cstheme="minorHAnsi"/>
          <w:b/>
          <w:bCs/>
        </w:rPr>
        <w:t xml:space="preserve"> duże zaangażowanie pracowników IZ w proces konsultowania i dopracowywania fiszek projektowych nie przekładał</w:t>
      </w:r>
      <w:r>
        <w:rPr>
          <w:rFonts w:cstheme="minorHAnsi"/>
          <w:b/>
          <w:bCs/>
        </w:rPr>
        <w:t>o</w:t>
      </w:r>
      <w:r w:rsidRPr="00CE2B5D">
        <w:rPr>
          <w:rFonts w:cstheme="minorHAnsi"/>
          <w:b/>
          <w:bCs/>
        </w:rPr>
        <w:t xml:space="preserve"> się w wystarczającym stopniu na</w:t>
      </w:r>
      <w:r>
        <w:rPr>
          <w:rFonts w:cstheme="minorHAnsi"/>
          <w:b/>
          <w:bCs/>
        </w:rPr>
        <w:t xml:space="preserve"> sprawność aplikowania </w:t>
      </w:r>
      <w:r w:rsidR="00BD6196" w:rsidRPr="001332A1">
        <w:rPr>
          <w:rFonts w:cstheme="minorHAnsi"/>
        </w:rPr>
        <w:t>(czego dowodem są m.in. nabory w ramach polityki terytorialnej o niskiej skuteczności – np. z powodu tego, że część potencjalnych wnioskodawców rezygnowała ze składania wniosków na wcześniej zidentyfikowane i zatwierdzone projekty</w:t>
      </w:r>
      <w:r w:rsidR="00BD6196">
        <w:rPr>
          <w:rStyle w:val="Odwoanieprzypisudolnego"/>
          <w:rFonts w:cstheme="minorHAnsi"/>
        </w:rPr>
        <w:footnoteReference w:id="39"/>
      </w:r>
      <w:r w:rsidR="00BD6196" w:rsidRPr="001332A1">
        <w:rPr>
          <w:rFonts w:cstheme="minorHAnsi"/>
        </w:rPr>
        <w:t>),</w:t>
      </w:r>
      <w:r w:rsidR="00BD6196" w:rsidRPr="00CE2B5D">
        <w:rPr>
          <w:rFonts w:cstheme="minorHAnsi"/>
          <w:b/>
          <w:bCs/>
        </w:rPr>
        <w:t xml:space="preserve"> a tym bardziej na zapewnienie odpowiedniego poziomu gotowości technicznej projektów na etapie aplikowania</w:t>
      </w:r>
      <w:r w:rsidR="00BD6196">
        <w:rPr>
          <w:rFonts w:cstheme="minorHAnsi"/>
        </w:rPr>
        <w:t xml:space="preserve">. </w:t>
      </w:r>
    </w:p>
    <w:p w14:paraId="3FFC46DC" w14:textId="71F283D8" w:rsidR="00F640D7" w:rsidRDefault="00F640D7" w:rsidP="00F640D7">
      <w:pPr>
        <w:rPr>
          <w:rFonts w:cstheme="minorHAnsi"/>
        </w:rPr>
      </w:pPr>
      <w:r w:rsidRPr="00C97A14">
        <w:rPr>
          <w:rFonts w:cstheme="minorHAnsi"/>
          <w:b/>
          <w:bCs/>
        </w:rPr>
        <w:t xml:space="preserve">Oceniając zakres zaangażowania </w:t>
      </w:r>
      <w:r w:rsidR="00BD6196">
        <w:rPr>
          <w:rFonts w:cstheme="minorHAnsi"/>
          <w:b/>
          <w:bCs/>
        </w:rPr>
        <w:t>pracowników</w:t>
      </w:r>
      <w:r w:rsidR="00BD6196" w:rsidRPr="00C97A14">
        <w:rPr>
          <w:rFonts w:cstheme="minorHAnsi"/>
          <w:b/>
          <w:bCs/>
        </w:rPr>
        <w:t xml:space="preserve"> IZ FEdKP w </w:t>
      </w:r>
      <w:r w:rsidRPr="00C97A14">
        <w:rPr>
          <w:rFonts w:cstheme="minorHAnsi"/>
          <w:b/>
          <w:bCs/>
        </w:rPr>
        <w:t>przygotowanie fiszek projektów realizowanych w ramach polityki terytorialnej</w:t>
      </w:r>
      <w:r>
        <w:rPr>
          <w:rFonts w:cstheme="minorHAnsi"/>
          <w:b/>
          <w:bCs/>
        </w:rPr>
        <w:t>,</w:t>
      </w:r>
      <w:r w:rsidRPr="00C97A14">
        <w:rPr>
          <w:rFonts w:cstheme="minorHAnsi"/>
          <w:b/>
          <w:bCs/>
        </w:rPr>
        <w:t xml:space="preserve"> nie trudno dostrzec</w:t>
      </w:r>
      <w:r>
        <w:rPr>
          <w:rFonts w:cstheme="minorHAnsi"/>
          <w:b/>
          <w:bCs/>
        </w:rPr>
        <w:t xml:space="preserve"> także</w:t>
      </w:r>
      <w:r w:rsidRPr="00C97A14">
        <w:rPr>
          <w:rFonts w:cstheme="minorHAnsi"/>
          <w:b/>
          <w:bCs/>
        </w:rPr>
        <w:t xml:space="preserve"> analogie do procesu identyfikowania projektów </w:t>
      </w:r>
      <w:r w:rsidR="00BD6196">
        <w:rPr>
          <w:rFonts w:cstheme="minorHAnsi"/>
          <w:b/>
          <w:bCs/>
        </w:rPr>
        <w:t xml:space="preserve">stosowanego </w:t>
      </w:r>
      <w:r w:rsidRPr="00C97A14">
        <w:rPr>
          <w:rFonts w:cstheme="minorHAnsi"/>
          <w:b/>
          <w:bCs/>
        </w:rPr>
        <w:t>w niekonkurencyjnym</w:t>
      </w:r>
      <w:r w:rsidR="00BD6196">
        <w:rPr>
          <w:rFonts w:cstheme="minorHAnsi"/>
          <w:b/>
          <w:bCs/>
        </w:rPr>
        <w:t xml:space="preserve"> sposobie wyboru</w:t>
      </w:r>
      <w:r w:rsidR="00BD6196">
        <w:rPr>
          <w:rFonts w:cstheme="minorHAnsi"/>
        </w:rPr>
        <w:t>.</w:t>
      </w:r>
      <w:r>
        <w:rPr>
          <w:rFonts w:cstheme="minorHAnsi"/>
        </w:rPr>
        <w:t xml:space="preserve"> W tym </w:t>
      </w:r>
      <w:r w:rsidR="00603D9E">
        <w:rPr>
          <w:rFonts w:cstheme="minorHAnsi"/>
        </w:rPr>
        <w:t>sposobie wyboru</w:t>
      </w:r>
      <w:r>
        <w:rPr>
          <w:rFonts w:cstheme="minorHAnsi"/>
        </w:rPr>
        <w:t xml:space="preserve"> rola UMWKP (przede wszystkim Departamentu </w:t>
      </w:r>
      <w:r w:rsidRPr="008F31E7">
        <w:rPr>
          <w:rFonts w:cstheme="minorHAnsi"/>
        </w:rPr>
        <w:t>Koordynacji Projektów Unijnych i Inwestycji</w:t>
      </w:r>
      <w:r>
        <w:rPr>
          <w:rFonts w:cstheme="minorHAnsi"/>
        </w:rPr>
        <w:t xml:space="preserve">) jest bardzo zbliżona do zadań pracowników IZ FEdKP w odniesieniu do projektów PT – m.in. właśnie w zakresie opiniowania, konsultowania i </w:t>
      </w:r>
      <w:r w:rsidR="00BD6196">
        <w:rPr>
          <w:rFonts w:cstheme="minorHAnsi"/>
        </w:rPr>
        <w:t xml:space="preserve">akceptowania fiszek takich projektów. </w:t>
      </w:r>
      <w:r>
        <w:rPr>
          <w:rFonts w:cstheme="minorHAnsi"/>
        </w:rPr>
        <w:t xml:space="preserve">Porównanie to pozwala zwrócić uwagę na problem, który był również sygnalizowany przez część przedstawicieli </w:t>
      </w:r>
      <w:r w:rsidRPr="00B16271">
        <w:t>UMWKP oraz IP ZIT BydOF zaangażowan</w:t>
      </w:r>
      <w:r>
        <w:t>ych</w:t>
      </w:r>
      <w:r w:rsidRPr="00B16271">
        <w:t xml:space="preserve"> w realizację FEdKP 2021-2027</w:t>
      </w:r>
      <w:r>
        <w:t xml:space="preserve">. </w:t>
      </w:r>
      <w:r w:rsidRPr="009E47B4">
        <w:t>Przyjęte zasady wdrażania polityki terytorialnej, w tym właśnie sposób identyfikowania</w:t>
      </w:r>
      <w:r w:rsidR="00BD6196">
        <w:t>, dopracowywania</w:t>
      </w:r>
      <w:r w:rsidR="00BD6196" w:rsidRPr="009E47B4">
        <w:t xml:space="preserve"> i </w:t>
      </w:r>
      <w:r w:rsidR="00BD6196">
        <w:t>akceptowania</w:t>
      </w:r>
      <w:r w:rsidRPr="009E47B4">
        <w:t xml:space="preserve"> kompletnej listy projektów, które mogą być dofinansowane w ramach każdej ze strategii terytorialnej sprawiają</w:t>
      </w:r>
      <w:r w:rsidR="000D6CF7">
        <w:t xml:space="preserve"> bowiem</w:t>
      </w:r>
      <w:r w:rsidRPr="009E47B4">
        <w:t xml:space="preserve">, że przyjęty konkurencyjny </w:t>
      </w:r>
      <w:r w:rsidR="00B53EFE">
        <w:t>sposób</w:t>
      </w:r>
      <w:r w:rsidR="00B53EFE" w:rsidRPr="009E47B4">
        <w:t xml:space="preserve"> </w:t>
      </w:r>
      <w:r w:rsidRPr="009E47B4">
        <w:t>wyboru projektów nie do końca spełnia swoją rolę.</w:t>
      </w:r>
      <w:r>
        <w:t xml:space="preserve"> Co </w:t>
      </w:r>
      <w:r>
        <w:lastRenderedPageBreak/>
        <w:t xml:space="preserve">prawda wszyscy uprawnieni i uprzednio zidentyfikowani wnioskodawcy muszą przygotować i złożyć pełny wniosek o dofinansowanie w ramach naboru i poddać go ocenie według wszystkich przewidzianych kryteriów, to w praktyce </w:t>
      </w:r>
      <w:r w:rsidR="00850DB7">
        <w:t>„</w:t>
      </w:r>
      <w:r>
        <w:t>konkurowanie</w:t>
      </w:r>
      <w:r w:rsidR="00850DB7">
        <w:t>”</w:t>
      </w:r>
      <w:r>
        <w:t xml:space="preserve"> odbywa się tylko między projektami uprzednio zatwierdzonymi, na których dofinansowanie została zarezerwowana już odpowiednia alokacja. </w:t>
      </w:r>
      <w:r w:rsidR="00BD6196" w:rsidRPr="00077CA0">
        <w:rPr>
          <w:b/>
          <w:bCs/>
        </w:rPr>
        <w:t>Sytuacja taka</w:t>
      </w:r>
      <w:r w:rsidR="00BD6196">
        <w:t>,</w:t>
      </w:r>
      <w:r w:rsidRPr="00124542">
        <w:rPr>
          <w:b/>
          <w:bCs/>
        </w:rPr>
        <w:t xml:space="preserve"> </w:t>
      </w:r>
      <w:r w:rsidRPr="00077CA0">
        <w:t>w opinii sporej części rozmówców</w:t>
      </w:r>
      <w:r w:rsidR="00BD6196">
        <w:t>,</w:t>
      </w:r>
      <w:r w:rsidR="00BD6196" w:rsidRPr="00124542">
        <w:rPr>
          <w:b/>
          <w:bCs/>
        </w:rPr>
        <w:t xml:space="preserve"> miał</w:t>
      </w:r>
      <w:r w:rsidR="00BD6196">
        <w:rPr>
          <w:b/>
          <w:bCs/>
        </w:rPr>
        <w:t>a</w:t>
      </w:r>
      <w:r w:rsidRPr="00124542">
        <w:rPr>
          <w:b/>
          <w:bCs/>
        </w:rPr>
        <w:t xml:space="preserve"> </w:t>
      </w:r>
      <w:r>
        <w:rPr>
          <w:b/>
          <w:bCs/>
        </w:rPr>
        <w:t xml:space="preserve">też </w:t>
      </w:r>
      <w:r w:rsidRPr="00124542">
        <w:rPr>
          <w:b/>
          <w:bCs/>
        </w:rPr>
        <w:t>wpływ na</w:t>
      </w:r>
      <w:r>
        <w:rPr>
          <w:b/>
          <w:bCs/>
        </w:rPr>
        <w:t xml:space="preserve"> niską</w:t>
      </w:r>
      <w:r w:rsidRPr="00124542">
        <w:rPr>
          <w:b/>
          <w:bCs/>
        </w:rPr>
        <w:t xml:space="preserve"> skuteczność pierwszych naborów w poszczególnych obszarach wsparcia</w:t>
      </w:r>
      <w:r>
        <w:rPr>
          <w:b/>
          <w:bCs/>
        </w:rPr>
        <w:t xml:space="preserve"> w ramach polityki terytorialnej – mogło to</w:t>
      </w:r>
      <w:r w:rsidR="00850DB7">
        <w:rPr>
          <w:b/>
          <w:bCs/>
        </w:rPr>
        <w:t xml:space="preserve"> bowiem</w:t>
      </w:r>
      <w:r>
        <w:rPr>
          <w:b/>
          <w:bCs/>
        </w:rPr>
        <w:t xml:space="preserve"> osłabić presje na sprawne</w:t>
      </w:r>
      <w:r w:rsidR="00850DB7">
        <w:rPr>
          <w:b/>
          <w:bCs/>
        </w:rPr>
        <w:t xml:space="preserve"> i szybkie</w:t>
      </w:r>
      <w:r>
        <w:rPr>
          <w:b/>
          <w:bCs/>
        </w:rPr>
        <w:t xml:space="preserve"> aplikowanie</w:t>
      </w:r>
      <w:r>
        <w:t>. Potencjalni wnioskodawcy mogli traktować nabory jako swego rodzaju formalność – uznając, że zawarcie porozumień oraz zatwierdzenie strategii wraz z wykazem projektów (i przypisaną wysokością alokacji) zapewnia im już uzyskanie dofinansowania w przyszłości, bez względu na to, w którym naborze wniosek zostanie przygotowany i złożony (nawet jeśli w fiszce projektowej wskazywali planowany termin złożenia wniosku). Warto zaznaczyć, że</w:t>
      </w:r>
      <w:r w:rsidR="00EB7D09">
        <w:t xml:space="preserve"> –</w:t>
      </w:r>
      <w:r>
        <w:t xml:space="preserve"> zgodnie z pierwotnymi założeniami polityki terytorialnej</w:t>
      </w:r>
      <w:r>
        <w:rPr>
          <w:rStyle w:val="Odwoanieprzypisudolnego"/>
        </w:rPr>
        <w:footnoteReference w:id="40"/>
      </w:r>
      <w:r>
        <w:t xml:space="preserve"> WK-P </w:t>
      </w:r>
      <w:r w:rsidR="00EB7D09">
        <w:t xml:space="preserve">– </w:t>
      </w:r>
      <w:r>
        <w:t xml:space="preserve">zaplanowano ogłoszenie po 2 </w:t>
      </w:r>
      <w:r w:rsidR="00BD6196">
        <w:t>nabory w każdym obszarze wsparcia, ale w praktyce zdecydowano o ogłoszeniu kolejnych.</w:t>
      </w:r>
      <w:r w:rsidR="007115E7">
        <w:t xml:space="preserve"> D</w:t>
      </w:r>
      <w:r w:rsidR="007115E7" w:rsidRPr="009A0246">
        <w:t>ecyzja</w:t>
      </w:r>
      <w:r w:rsidR="007115E7">
        <w:t xml:space="preserve"> ta</w:t>
      </w:r>
      <w:r w:rsidR="007115E7" w:rsidRPr="009A0246">
        <w:t xml:space="preserve"> zapadła po zaprzestaniu ogłaszania naborów tzw. ciągłych, które </w:t>
      </w:r>
      <w:r w:rsidR="007115E7">
        <w:t>uznano za</w:t>
      </w:r>
      <w:r w:rsidR="007115E7" w:rsidRPr="009A0246">
        <w:t xml:space="preserve"> nieefektywne</w:t>
      </w:r>
      <w:r w:rsidR="007115E7">
        <w:t xml:space="preserve"> oraz</w:t>
      </w:r>
      <w:r w:rsidR="007115E7" w:rsidRPr="009A0246">
        <w:t xml:space="preserve"> na prośbę </w:t>
      </w:r>
      <w:r w:rsidR="007115E7">
        <w:t>przedstawicieli partnerstw</w:t>
      </w:r>
      <w:r w:rsidR="007115E7" w:rsidRPr="009A0246">
        <w:t>.</w:t>
      </w:r>
      <w:r w:rsidR="007115E7">
        <w:t xml:space="preserve"> Po tej zmianie zaczęto ogłaszać krótkie, celowane nabory.</w:t>
      </w:r>
      <w:r w:rsidR="007115E7" w:rsidRPr="0018317D">
        <w:rPr>
          <w:b/>
          <w:bCs/>
        </w:rPr>
        <w:t xml:space="preserve"> </w:t>
      </w:r>
      <w:r>
        <w:t>Świadomość ogłoszenia kolejnych naborów mogła zaś spowodować, że poszczególne JST w pierwszej kolejności przygotowywały wnioski i aplikowały do innych (alternatywnych) źródeł finansowania</w:t>
      </w:r>
      <w:r>
        <w:rPr>
          <w:rStyle w:val="Odwoanieprzypisudolnego"/>
        </w:rPr>
        <w:footnoteReference w:id="41"/>
      </w:r>
      <w:r>
        <w:t xml:space="preserve"> lub po prostu więcej czasu przeznaczały na dopracowanie i skompletowanie dokumentacji technicznej niezbędnej do złożenia wniosków, w tym spełnienia kryterium dotyczącego gotowości technicznej do realizacji</w:t>
      </w:r>
      <w:r w:rsidR="005076BB">
        <w:rPr>
          <w:rStyle w:val="Odwoanieprzypisudolnego"/>
        </w:rPr>
        <w:footnoteReference w:id="42"/>
      </w:r>
      <w:r>
        <w:t xml:space="preserve">. W tym kontekście warto przypomnieć, że </w:t>
      </w:r>
      <w:r w:rsidRPr="003E4B48">
        <w:rPr>
          <w:b/>
          <w:bCs/>
        </w:rPr>
        <w:t>porozumienia terytorialne</w:t>
      </w:r>
      <w:r>
        <w:rPr>
          <w:b/>
          <w:bCs/>
        </w:rPr>
        <w:t xml:space="preserve"> wraz z wykazem projektów</w:t>
      </w:r>
      <w:r w:rsidRPr="003E4B48">
        <w:rPr>
          <w:b/>
          <w:bCs/>
        </w:rPr>
        <w:t xml:space="preserve"> były </w:t>
      </w:r>
      <w:r>
        <w:rPr>
          <w:b/>
          <w:bCs/>
        </w:rPr>
        <w:t xml:space="preserve">często </w:t>
      </w:r>
      <w:r w:rsidRPr="003E4B48">
        <w:rPr>
          <w:b/>
          <w:bCs/>
        </w:rPr>
        <w:t>zawierane dopiero po ogłoszeniu części naborów</w:t>
      </w:r>
      <w:r>
        <w:t>, a co za tym idzie – strategie terytorialne były zatwierdzane jeszcze później. Okoliczności te (tym bardziej łącznie) mogły zadziałać w pewnym stopniu demotywująco na potencjalnych wnioskodawców FEdKP 2021-2027 i tym samym przenieść ich uwagę</w:t>
      </w:r>
      <w:r w:rsidR="007D4663">
        <w:t xml:space="preserve"> oraz posiadane zasoby organizacyjne</w:t>
      </w:r>
      <w:r>
        <w:t xml:space="preserve"> w tamtym okresie na aplikowanie do innych programów</w:t>
      </w:r>
      <w:r w:rsidR="007D4663">
        <w:t xml:space="preserve"> (niekoniecznie nawet w tym samych obszarach wsparcia)</w:t>
      </w:r>
      <w:r>
        <w:t>.</w:t>
      </w:r>
    </w:p>
    <w:p w14:paraId="4C373379" w14:textId="742BCB05" w:rsidR="00F640D7" w:rsidRDefault="00F640D7" w:rsidP="00F640D7">
      <w:pPr>
        <w:rPr>
          <w:rFonts w:cstheme="minorHAnsi"/>
        </w:rPr>
      </w:pPr>
      <w:r>
        <w:rPr>
          <w:rFonts w:cstheme="minorHAnsi"/>
        </w:rPr>
        <w:t>W procesie identyfikowania propozycji projektów do realizacji istotne znaczenie miały m.in. kryteria ich wyboru</w:t>
      </w:r>
      <w:r w:rsidR="00EE204B">
        <w:rPr>
          <w:rFonts w:cstheme="minorHAnsi"/>
        </w:rPr>
        <w:t>,</w:t>
      </w:r>
      <w:r>
        <w:rPr>
          <w:rFonts w:cstheme="minorHAnsi"/>
        </w:rPr>
        <w:t xml:space="preserve"> przyjęte wewnętrznie przez poszczególne partnerstwa. Z przeprowadzonych wywiadów oraz analizy zapisów strategii terytorialnych wynika, że przynajmniej </w:t>
      </w:r>
      <w:r w:rsidRPr="0048246B">
        <w:rPr>
          <w:rFonts w:cstheme="minorHAnsi"/>
          <w:b/>
          <w:bCs/>
        </w:rPr>
        <w:t xml:space="preserve">w części partnerstw już na tym </w:t>
      </w:r>
      <w:r>
        <w:rPr>
          <w:rFonts w:cstheme="minorHAnsi"/>
          <w:b/>
          <w:bCs/>
        </w:rPr>
        <w:t xml:space="preserve">wczesnym </w:t>
      </w:r>
      <w:r w:rsidRPr="0048246B">
        <w:rPr>
          <w:rFonts w:cstheme="minorHAnsi"/>
          <w:b/>
          <w:bCs/>
        </w:rPr>
        <w:t>etapie</w:t>
      </w:r>
      <w:r>
        <w:rPr>
          <w:rFonts w:cstheme="minorHAnsi"/>
        </w:rPr>
        <w:t xml:space="preserve"> </w:t>
      </w:r>
      <w:r w:rsidRPr="005A6E25">
        <w:rPr>
          <w:rFonts w:cstheme="minorHAnsi"/>
          <w:b/>
          <w:bCs/>
        </w:rPr>
        <w:t>przykładano</w:t>
      </w:r>
      <w:r>
        <w:rPr>
          <w:rFonts w:cstheme="minorHAnsi"/>
        </w:rPr>
        <w:t xml:space="preserve"> </w:t>
      </w:r>
      <w:r>
        <w:rPr>
          <w:rFonts w:cstheme="minorHAnsi"/>
          <w:b/>
          <w:bCs/>
        </w:rPr>
        <w:lastRenderedPageBreak/>
        <w:t>większą</w:t>
      </w:r>
      <w:r w:rsidRPr="005A6E25">
        <w:rPr>
          <w:rFonts w:cstheme="minorHAnsi"/>
          <w:b/>
          <w:bCs/>
        </w:rPr>
        <w:t xml:space="preserve"> wagę do stopnia gotowości technicznej projektów </w:t>
      </w:r>
      <w:r w:rsidRPr="002972C3">
        <w:rPr>
          <w:rFonts w:cstheme="minorHAnsi"/>
        </w:rPr>
        <w:t>(oznaczało to w praktyce, że członkowie partnerstw już na etapie wczesnej identyfikacji przedsięwzięć musieli przedstawiać informacje w tym zakresie).</w:t>
      </w:r>
      <w:r>
        <w:rPr>
          <w:rFonts w:cstheme="minorHAnsi"/>
        </w:rPr>
        <w:t xml:space="preserve"> W ocenie rozmówców (przedstawicieli JST), praktyka taka istotnie zwiększyła skuteczność aplikowania w ogłaszanych naborach. Gotowość projektów do realizacji oraz stan przygotowań i harmonogram realizacji przedsięwzięć był też opisywany we wszystkich fiszkach projektowych – co jednak istotne, w fiszce można było zaznaczyć, że projekt jeszcze nie jest gotowy do realizacji i wskazać przewidywany termin gotowości. Warto też zaznaczyć, że </w:t>
      </w:r>
      <w:r w:rsidRPr="00FA68F0">
        <w:rPr>
          <w:rFonts w:cstheme="minorHAnsi"/>
          <w:b/>
          <w:bCs/>
        </w:rPr>
        <w:t>niedotrzymanie terminów w zakresie uzyskania gotowości realizacyjnej i/lub planowanego złożenia wniosku aplikacyjnego nie wiąże się z żadną konsekwencją</w:t>
      </w:r>
      <w:r>
        <w:rPr>
          <w:rFonts w:cstheme="minorHAnsi"/>
          <w:b/>
          <w:bCs/>
        </w:rPr>
        <w:t>/ sankcją</w:t>
      </w:r>
      <w:r>
        <w:rPr>
          <w:rFonts w:cstheme="minorHAnsi"/>
        </w:rPr>
        <w:t xml:space="preserve"> – za wyjątkiem tego, że ostatecznie wnioskodawca może nie zdążyć złożyć wniosku w kolejnym i zarazem ostatnim naborze.</w:t>
      </w:r>
    </w:p>
    <w:p w14:paraId="7CBE82B8" w14:textId="77777777" w:rsidR="00F640D7" w:rsidRDefault="00F640D7" w:rsidP="00F640D7">
      <w:r>
        <w:t xml:space="preserve">Jak pokazuje wykres poniżej, niemal </w:t>
      </w:r>
      <w:r w:rsidRPr="0082569A">
        <w:rPr>
          <w:b/>
          <w:bCs/>
        </w:rPr>
        <w:t>45% badanych wnioskodawców</w:t>
      </w:r>
      <w:r>
        <w:t xml:space="preserve">, którzy złożyli wnioski w naborach w ramach polityki terytorialnej FEdKP 2021-2027 </w:t>
      </w:r>
      <w:r w:rsidRPr="0082569A">
        <w:rPr>
          <w:b/>
          <w:bCs/>
        </w:rPr>
        <w:t>przyznało, że w momencie ogłoszenia tych właśnie naborów</w:t>
      </w:r>
      <w:r>
        <w:t xml:space="preserve"> (tj. tych, w których złożyli ostatecznie wnioski) </w:t>
      </w:r>
      <w:r w:rsidRPr="0082569A">
        <w:rPr>
          <w:b/>
          <w:bCs/>
        </w:rPr>
        <w:t>ich projekty były „tylko” częściowo gotowe, a 25% wskazało na pełną gotowość</w:t>
      </w:r>
      <w:r>
        <w:t xml:space="preserve"> swoich projektów do realizacji i zarazem też </w:t>
      </w:r>
      <w:r w:rsidRPr="00791029">
        <w:rPr>
          <w:b/>
          <w:bCs/>
        </w:rPr>
        <w:t xml:space="preserve">25% badanych przyznało, że na potrzeby </w:t>
      </w:r>
      <w:r>
        <w:rPr>
          <w:b/>
          <w:bCs/>
        </w:rPr>
        <w:t xml:space="preserve">realizacji </w:t>
      </w:r>
      <w:r w:rsidRPr="00791029">
        <w:rPr>
          <w:b/>
          <w:bCs/>
        </w:rPr>
        <w:t>projektu nie zgromadzili do czasu ogłoszenia naborów</w:t>
      </w:r>
      <w:r>
        <w:rPr>
          <w:b/>
          <w:bCs/>
        </w:rPr>
        <w:t xml:space="preserve"> </w:t>
      </w:r>
      <w:r w:rsidRPr="00791029">
        <w:rPr>
          <w:b/>
          <w:bCs/>
        </w:rPr>
        <w:t>żadnych dokumentów</w:t>
      </w:r>
      <w:r>
        <w:t xml:space="preserve">. </w:t>
      </w:r>
    </w:p>
    <w:p w14:paraId="33A9BDE9" w14:textId="3615827A" w:rsidR="00F640D7" w:rsidRDefault="00F640D7" w:rsidP="00F640D7">
      <w:pPr>
        <w:pStyle w:val="Legenda"/>
      </w:pPr>
      <w:r>
        <w:t xml:space="preserve">Wykres </w:t>
      </w:r>
      <w:fldSimple w:instr=" SEQ Wykres \* ARABIC ">
        <w:r w:rsidR="00541DFA">
          <w:rPr>
            <w:noProof/>
          </w:rPr>
          <w:t>8</w:t>
        </w:r>
      </w:fldSimple>
      <w:r>
        <w:t xml:space="preserve"> Stopień przygotowania projektów ZIT/OPPT w momencie ogłoszenia naborów</w:t>
      </w:r>
    </w:p>
    <w:p w14:paraId="11E7713C" w14:textId="77777777" w:rsidR="00BD6196" w:rsidRDefault="00BD6196" w:rsidP="00BD6196">
      <w:pPr>
        <w:spacing w:before="0" w:after="0"/>
        <w:rPr>
          <w:rFonts w:cstheme="minorHAnsi"/>
        </w:rPr>
      </w:pPr>
      <w:r>
        <w:rPr>
          <w:noProof/>
        </w:rPr>
        <w:drawing>
          <wp:inline distT="0" distB="0" distL="0" distR="0" wp14:anchorId="5618B9F0" wp14:editId="06903DB8">
            <wp:extent cx="5719445" cy="3100070"/>
            <wp:effectExtent l="0" t="0" r="14605" b="5080"/>
            <wp:docPr id="1454131953" name="Wykres 1" descr="Wykres Stopień przygotowania projektów ZIT/OPPT w momencie ogłoszenia naborów&#10;Wykres przedstawia odpowiedzi na pytanie kwestionariusza: Jaki był stopień przygotowania projektu w momencie ogłoszenia naboru, do którego został złożony?&#10;Projekt był w pełni gotowy – posiadaliśmy pełną dokumentację (np. biznesplan, kosztorys, studium wykonalności, analizy) - 23,9%&#10;Projekt był częściowo gotowy – część dokumentów była przygotowana, reszta w trakcie - 44,8%&#10;Mieliśmy przygotowane główne założenia projektu (np. cele, grupy docelowe, zakres rzeczowy) - 16,4%&#10;Znaliśmy główne cele i działania, ale projekt nie był jeszcze opracowany - 9,0%&#10;Mieliśmy tylko ogólny pomysł lub wstępną koncepcję projektu - 6,0%&#10;">
              <a:extLst xmlns:a="http://schemas.openxmlformats.org/drawingml/2006/main">
                <a:ext uri="{FF2B5EF4-FFF2-40B4-BE49-F238E27FC236}">
                  <a16:creationId xmlns:a16="http://schemas.microsoft.com/office/drawing/2014/main" id="{599824CE-335F-99A2-0B41-1FFCB966C9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76EFB940" w14:textId="77777777" w:rsidR="00BD6196" w:rsidRDefault="00BD6196" w:rsidP="005A2787">
      <w:pPr>
        <w:pStyle w:val="rdo"/>
      </w:pPr>
      <w:r>
        <w:t xml:space="preserve">Źródło: </w:t>
      </w:r>
      <w:r w:rsidRPr="00EE7E76">
        <w:t>CAWI/CATI z wnioskodawcami FEdKP 2021-2027, n=</w:t>
      </w:r>
      <w:r>
        <w:t>67</w:t>
      </w:r>
      <w:r w:rsidRPr="00EE7E76">
        <w:t>. Odpowiedź na pytanie: „</w:t>
      </w:r>
      <w:r w:rsidRPr="00745FBA">
        <w:t>Jaki był stopień przygotowania projektu w momencie ogłoszenia naboru, do którego został złożony?</w:t>
      </w:r>
      <w:r w:rsidRPr="00EE7E76">
        <w:t>”</w:t>
      </w:r>
      <w:r>
        <w:t>. Wartości mogą nie sumować się do 100,0% z powodu zaokrągleń.</w:t>
      </w:r>
    </w:p>
    <w:p w14:paraId="65A2BDC4" w14:textId="77777777" w:rsidR="00F640D7" w:rsidRDefault="00F640D7" w:rsidP="00F640D7">
      <w:pPr>
        <w:rPr>
          <w:rFonts w:cstheme="minorHAnsi"/>
        </w:rPr>
      </w:pPr>
      <w:r>
        <w:rPr>
          <w:rFonts w:cstheme="minorHAnsi"/>
        </w:rPr>
        <w:lastRenderedPageBreak/>
        <w:t xml:space="preserve">Co ciekawe, </w:t>
      </w:r>
      <w:r w:rsidRPr="00AC1311">
        <w:rPr>
          <w:rFonts w:cstheme="minorHAnsi"/>
          <w:b/>
          <w:bCs/>
        </w:rPr>
        <w:t>35% badanych wnioskodawców nie uznało „braku gotowości projektu do realizacji” za barierę dla przygotowania swoich projektów</w:t>
      </w:r>
      <w:r>
        <w:rPr>
          <w:rFonts w:cstheme="minorHAnsi"/>
        </w:rPr>
        <w:t xml:space="preserve"> – niemal 19% badanych uznało, że była to jednak znacząca lub umiarkowana bariera.</w:t>
      </w:r>
    </w:p>
    <w:p w14:paraId="2F56E93D" w14:textId="17C36CC1" w:rsidR="00F640D7" w:rsidRDefault="00F640D7" w:rsidP="00F640D7">
      <w:pPr>
        <w:pStyle w:val="Legenda"/>
      </w:pPr>
      <w:r>
        <w:t xml:space="preserve">Wykres </w:t>
      </w:r>
      <w:fldSimple w:instr=" SEQ Wykres \* ARABIC ">
        <w:r w:rsidR="00541DFA">
          <w:rPr>
            <w:noProof/>
          </w:rPr>
          <w:t>9</w:t>
        </w:r>
      </w:fldSimple>
      <w:r>
        <w:t xml:space="preserve"> Ocena znaczenia „braku gotowości projektu do realizacji” </w:t>
      </w:r>
      <w:r w:rsidRPr="00297AEB">
        <w:t>w przygotowaniu projektu/projektów w ramach polityki terytorialnej</w:t>
      </w:r>
    </w:p>
    <w:p w14:paraId="343E8541" w14:textId="77777777" w:rsidR="00BD6196" w:rsidRDefault="00BD6196" w:rsidP="00BD6196">
      <w:pPr>
        <w:spacing w:before="0" w:after="0"/>
        <w:rPr>
          <w:rFonts w:cstheme="minorHAnsi"/>
        </w:rPr>
      </w:pPr>
      <w:r>
        <w:rPr>
          <w:noProof/>
        </w:rPr>
        <w:drawing>
          <wp:inline distT="0" distB="0" distL="0" distR="0" wp14:anchorId="1C46C6C9" wp14:editId="1FC5DA46">
            <wp:extent cx="5719445" cy="1725295"/>
            <wp:effectExtent l="0" t="0" r="14605" b="8255"/>
            <wp:docPr id="1021172050" name="Wykres 1" descr="Wykres Ocena znaczenia „braku gotowości projektu do realizacji” w przygotowaniu projektu/projektów w ramach polityki terytorialnej&#10;Wykres przedstawia odpowiedzi na pytanie kwestionariusza: „W jakim stopniu poniższe trudności stanowiły barierę w przygotowaniu projektu/projektów w ramach polityki terytorialnej?”&#10;Stanowiło znaczącą barierę - 9,3%&#10;Stanowiło umiarkowaną barierę - 9,3%&#10;Stanowiło niewielką barierę - 25,6%&#10;W ogólne nie było takiego problemu - 34,9%&#10;Nie wiem/trudno powiedzieć - 20,9%&#10;">
              <a:extLst xmlns:a="http://schemas.openxmlformats.org/drawingml/2006/main">
                <a:ext uri="{FF2B5EF4-FFF2-40B4-BE49-F238E27FC236}">
                  <a16:creationId xmlns:a16="http://schemas.microsoft.com/office/drawing/2014/main" id="{7A39CA02-B098-0F46-E97E-516987A94D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D8ADC03" w14:textId="65905150" w:rsidR="00BD6196" w:rsidRDefault="00BD6196" w:rsidP="005A2787">
      <w:pPr>
        <w:pStyle w:val="rdo"/>
      </w:pPr>
      <w:r>
        <w:t xml:space="preserve">Źródło: </w:t>
      </w:r>
      <w:r w:rsidRPr="00EE7E76">
        <w:t>CAWI/CATI z wnioskodawcami FEdKP 2021-2027, n=</w:t>
      </w:r>
      <w:r>
        <w:t>67</w:t>
      </w:r>
      <w:r w:rsidRPr="00EE7E76">
        <w:t>. Odpowiedź na pytanie: „</w:t>
      </w:r>
      <w:r w:rsidRPr="00B17BF8">
        <w:t>W jakim stopniu poniższe trudności stanowiły barierę w przygotowaniu projektu/projektów w ramach polityki terytorialnej?</w:t>
      </w:r>
      <w:r w:rsidRPr="00EE7E76">
        <w:t>”</w:t>
      </w:r>
      <w:r>
        <w:t>.</w:t>
      </w:r>
    </w:p>
    <w:p w14:paraId="33275148" w14:textId="278A782C" w:rsidR="00BD6196" w:rsidRDefault="00BD6196" w:rsidP="00BD6196">
      <w:r>
        <w:t xml:space="preserve">Powyższe wyniki badania CAWI/CATI wskazywać mogą, że w przypadku tych projektów, dla których nie złożono wniosków o dofinansowanie w ogłaszanych naborach (stanowiących zakres przedmiotowy badania) skala braku ich gotowości realizacyjnej była jeszcze większa. Pośrednio potwierdzają to także wnioski z przeprowadzonych wywiadów – nie tylko z przedstawicielami IZ i IP FEdKP, ale także wybranych JST należących do partnerstw terytorialnych. Działo się tak mimo prowadzenia działań mających na celu monitorowanie stopnia wdrażania strategii i samych projektów. Zgodnie z zapisami strategii prowadzony był monitoring półroczny i roczny – m.in. za pomocą </w:t>
      </w:r>
      <w:r w:rsidRPr="00DB2C72">
        <w:t>Kart monitorowania stanu realizacji projekt</w:t>
      </w:r>
      <w:r>
        <w:t>ów</w:t>
      </w:r>
      <w:r w:rsidRPr="00DB2C72">
        <w:t xml:space="preserve"> strategii</w:t>
      </w:r>
      <w:r>
        <w:t>, które musiały być cyklicznie składane przez wnioskodawców/ beneficjentów. Działania monitoringowe prowadziła także bezpośrednio IZ FEdKP – służyły temu spotkania z członkami partnerstw (</w:t>
      </w:r>
      <w:r w:rsidRPr="00BC68FF">
        <w:t xml:space="preserve">celem których </w:t>
      </w:r>
      <w:r>
        <w:t>było</w:t>
      </w:r>
      <w:r w:rsidRPr="00BC68FF">
        <w:t xml:space="preserve"> omawi</w:t>
      </w:r>
      <w:r>
        <w:t>anie</w:t>
      </w:r>
      <w:r w:rsidRPr="00BC68FF">
        <w:t xml:space="preserve"> zagrożeń i stanu przygotowania projektów</w:t>
      </w:r>
      <w:r>
        <w:t>), bieżące i doraźne kontakty telefoniczne i e</w:t>
      </w:r>
      <w:r w:rsidR="00A41081">
        <w:t>-</w:t>
      </w:r>
      <w:r>
        <w:t>mailowe dotyczące stopnia przygotowania wniosków o dofinansowanie, w tym ewentualnej konieczności wydłużania czasu trwania prowadzonych naborów.</w:t>
      </w:r>
    </w:p>
    <w:p w14:paraId="06660A1B" w14:textId="4F55EF6E" w:rsidR="00BD6196" w:rsidRDefault="00BD6196" w:rsidP="00BD6196">
      <w:r>
        <w:t xml:space="preserve">W ocenie badanych przedstawicieli </w:t>
      </w:r>
      <w:r w:rsidRPr="00351EA2">
        <w:t>UMWKP oraz IP ZIT BydOF zaangażowan</w:t>
      </w:r>
      <w:r>
        <w:t>ych</w:t>
      </w:r>
      <w:r w:rsidRPr="00351EA2">
        <w:t xml:space="preserve"> w realizację FEdKP 2021-2027</w:t>
      </w:r>
      <w:r>
        <w:t xml:space="preserve">, </w:t>
      </w:r>
      <w:r w:rsidRPr="000C676F">
        <w:rPr>
          <w:b/>
          <w:bCs/>
        </w:rPr>
        <w:t xml:space="preserve">jedną z </w:t>
      </w:r>
      <w:r>
        <w:rPr>
          <w:b/>
          <w:bCs/>
        </w:rPr>
        <w:t xml:space="preserve">możliwych </w:t>
      </w:r>
      <w:r w:rsidRPr="000C676F">
        <w:rPr>
          <w:b/>
          <w:bCs/>
        </w:rPr>
        <w:t xml:space="preserve">przyczyn nieskładania wniosków o dofinansowanie w części naborów dedykowanych polityce terytorialnej </w:t>
      </w:r>
      <w:r>
        <w:rPr>
          <w:b/>
          <w:bCs/>
        </w:rPr>
        <w:t>były</w:t>
      </w:r>
      <w:r w:rsidRPr="000C676F">
        <w:rPr>
          <w:b/>
          <w:bCs/>
        </w:rPr>
        <w:t xml:space="preserve"> też czynniki natury politycznej</w:t>
      </w:r>
      <w:r>
        <w:t xml:space="preserve">. Wiosną 2024 roku odbyły się bowiem w Polsce wybory samorządowe, które mogły skutkować zmianą dotychczasowych władz w poszczególnych samorządach. Nowi decydenci nierzadko kwestionowali zasadność wyboru takich, a nie innych projektów do realizacji (fiszek projektowych) i dążyli do zmiany listy zidentyfikowanych przedsięwzięć lub wprowadzania istotnych modyfikacji w ich zakresach. Nie bez znaczenia jest także </w:t>
      </w:r>
      <w:r>
        <w:lastRenderedPageBreak/>
        <w:t xml:space="preserve">fakt, że każda zmiana władz na pewien czas hamuje procesy decyzyjne – zwłaszcza dotyczące istotnych inwestycji, które wymagają wsparcia ze środków własnych. </w:t>
      </w:r>
    </w:p>
    <w:p w14:paraId="520B40DE" w14:textId="2ECF1BFD" w:rsidR="004E2337" w:rsidRPr="008570E4" w:rsidRDefault="00281E9D" w:rsidP="004E2337">
      <w:pPr>
        <w:pStyle w:val="Nagwek3"/>
      </w:pPr>
      <w:bookmarkStart w:id="10" w:name="_Toc208593143"/>
      <w:r w:rsidRPr="00281E9D">
        <w:t xml:space="preserve">Wpływ specyfiki </w:t>
      </w:r>
      <w:r w:rsidR="54A3F0BD">
        <w:t xml:space="preserve">niekonkurencyjnego </w:t>
      </w:r>
      <w:r w:rsidR="422DBAE2">
        <w:t>sposobu wyboru projektów</w:t>
      </w:r>
      <w:r w:rsidRPr="00281E9D">
        <w:t xml:space="preserve"> na skuteczność naborów</w:t>
      </w:r>
      <w:bookmarkEnd w:id="10"/>
    </w:p>
    <w:p w14:paraId="49AE0BE9" w14:textId="0B9813A2" w:rsidR="5800D058" w:rsidRDefault="00AA5B59" w:rsidP="00013301">
      <w:r>
        <w:rPr>
          <w:b/>
          <w:bCs/>
        </w:rPr>
        <w:t>Prowadzone dotychczas n</w:t>
      </w:r>
      <w:r w:rsidRPr="47E09144">
        <w:rPr>
          <w:b/>
          <w:bCs/>
        </w:rPr>
        <w:t>abory</w:t>
      </w:r>
      <w:r w:rsidR="0087587D">
        <w:rPr>
          <w:b/>
          <w:bCs/>
        </w:rPr>
        <w:t xml:space="preserve">, w których zastosowano </w:t>
      </w:r>
      <w:r w:rsidR="0087587D" w:rsidRPr="47E09144">
        <w:rPr>
          <w:b/>
          <w:bCs/>
        </w:rPr>
        <w:t>niekonkurencyjn</w:t>
      </w:r>
      <w:r w:rsidR="0087587D">
        <w:rPr>
          <w:b/>
          <w:bCs/>
        </w:rPr>
        <w:t>y sposób wyboru projektów,</w:t>
      </w:r>
      <w:r w:rsidR="0087587D" w:rsidRPr="47E09144">
        <w:rPr>
          <w:b/>
          <w:bCs/>
        </w:rPr>
        <w:t xml:space="preserve"> </w:t>
      </w:r>
      <w:r w:rsidR="00CC762B" w:rsidRPr="47E09144">
        <w:rPr>
          <w:b/>
          <w:bCs/>
        </w:rPr>
        <w:t xml:space="preserve">w zdecydowanej większości </w:t>
      </w:r>
      <w:r w:rsidR="00BF550B">
        <w:rPr>
          <w:b/>
          <w:bCs/>
        </w:rPr>
        <w:t>były</w:t>
      </w:r>
      <w:r w:rsidR="00CC762B" w:rsidRPr="47E09144">
        <w:rPr>
          <w:b/>
          <w:bCs/>
        </w:rPr>
        <w:t xml:space="preserve"> skuteczne</w:t>
      </w:r>
      <w:r w:rsidR="00CC762B" w:rsidRPr="47E09144">
        <w:t xml:space="preserve">. </w:t>
      </w:r>
      <w:r>
        <w:t>D</w:t>
      </w:r>
      <w:r w:rsidR="00CC762B" w:rsidRPr="47E09144">
        <w:t>o 3</w:t>
      </w:r>
      <w:r w:rsidR="681C9499" w:rsidRPr="47E09144">
        <w:t>1</w:t>
      </w:r>
      <w:r w:rsidR="00CC762B" w:rsidRPr="47E09144">
        <w:t>.0</w:t>
      </w:r>
      <w:r w:rsidR="0A2EF8E7" w:rsidRPr="47E09144">
        <w:t>3</w:t>
      </w:r>
      <w:r w:rsidR="00CC762B" w:rsidRPr="47E09144">
        <w:t>.20</w:t>
      </w:r>
      <w:r w:rsidR="1EAC93B3" w:rsidRPr="47E09144">
        <w:t>25</w:t>
      </w:r>
      <w:r w:rsidR="00CC762B" w:rsidRPr="47E09144">
        <w:t xml:space="preserve">r. </w:t>
      </w:r>
      <w:r>
        <w:t>zakończono</w:t>
      </w:r>
      <w:r w:rsidR="00CC762B" w:rsidRPr="47E09144">
        <w:t xml:space="preserve"> </w:t>
      </w:r>
      <w:r w:rsidR="65621CED" w:rsidRPr="47E09144">
        <w:t>43</w:t>
      </w:r>
      <w:r w:rsidR="00CC762B" w:rsidRPr="47E09144">
        <w:t xml:space="preserve"> </w:t>
      </w:r>
      <w:r w:rsidR="0087587D">
        <w:t xml:space="preserve">takie </w:t>
      </w:r>
      <w:r w:rsidR="00CC762B" w:rsidRPr="47E09144">
        <w:t>nabor</w:t>
      </w:r>
      <w:r w:rsidR="23F35820" w:rsidRPr="47E09144">
        <w:t>y</w:t>
      </w:r>
      <w:r w:rsidR="00CC762B" w:rsidRPr="47E09144">
        <w:t xml:space="preserve"> w ramach EFRR oraz </w:t>
      </w:r>
      <w:r w:rsidR="457025AF" w:rsidRPr="47E09144">
        <w:t xml:space="preserve">21 </w:t>
      </w:r>
      <w:r w:rsidR="00CC762B" w:rsidRPr="47E09144">
        <w:t xml:space="preserve">naborów w </w:t>
      </w:r>
      <w:r w:rsidR="00360E78">
        <w:t xml:space="preserve">ramach </w:t>
      </w:r>
      <w:r w:rsidR="00CC762B" w:rsidRPr="47E09144">
        <w:t>EFS+</w:t>
      </w:r>
      <w:r w:rsidR="00135531">
        <w:t xml:space="preserve">, </w:t>
      </w:r>
      <w:r w:rsidR="00CC762B" w:rsidRPr="47E09144">
        <w:t xml:space="preserve">czyli w sumie </w:t>
      </w:r>
      <w:r w:rsidR="187AFD96" w:rsidRPr="47E09144">
        <w:t>64</w:t>
      </w:r>
      <w:r w:rsidR="00CC762B" w:rsidRPr="47E09144">
        <w:t xml:space="preserve"> nabor</w:t>
      </w:r>
      <w:r w:rsidR="25459D7F" w:rsidRPr="47E09144">
        <w:t>y</w:t>
      </w:r>
      <w:r>
        <w:t xml:space="preserve">. W ramach przedmiotowego badania </w:t>
      </w:r>
      <w:r w:rsidR="00C645D7" w:rsidRPr="00077CA0">
        <w:rPr>
          <w:b/>
          <w:bCs/>
        </w:rPr>
        <w:t>analizie</w:t>
      </w:r>
      <w:r w:rsidRPr="00077CA0">
        <w:rPr>
          <w:b/>
          <w:bCs/>
        </w:rPr>
        <w:t xml:space="preserve"> poddano</w:t>
      </w:r>
      <w:r w:rsidR="00C645D7" w:rsidRPr="00077CA0">
        <w:rPr>
          <w:b/>
          <w:bCs/>
        </w:rPr>
        <w:t xml:space="preserve"> </w:t>
      </w:r>
      <w:r w:rsidR="00EC743B">
        <w:rPr>
          <w:b/>
          <w:bCs/>
        </w:rPr>
        <w:t xml:space="preserve">natomiast </w:t>
      </w:r>
      <w:r w:rsidR="00C645D7" w:rsidRPr="00077CA0">
        <w:rPr>
          <w:b/>
          <w:bCs/>
        </w:rPr>
        <w:t>tylko 6 naborów</w:t>
      </w:r>
      <w:r w:rsidR="0087587D" w:rsidRPr="0087587D">
        <w:t>, w których zastosowano niekonkurencyjny sposób wyboru projektów</w:t>
      </w:r>
      <w:r w:rsidR="00C645D7">
        <w:t xml:space="preserve"> – tj. </w:t>
      </w:r>
      <w:r w:rsidR="00EC743B">
        <w:t>takie</w:t>
      </w:r>
      <w:r w:rsidR="00C645D7">
        <w:t xml:space="preserve">, </w:t>
      </w:r>
      <w:r w:rsidR="00C645D7" w:rsidRPr="00077CA0">
        <w:rPr>
          <w:b/>
          <w:bCs/>
        </w:rPr>
        <w:t>w</w:t>
      </w:r>
      <w:r w:rsidR="00360E78" w:rsidRPr="00077CA0">
        <w:rPr>
          <w:b/>
          <w:bCs/>
        </w:rPr>
        <w:t xml:space="preserve"> </w:t>
      </w:r>
      <w:r w:rsidR="00CC762B" w:rsidRPr="00077CA0">
        <w:rPr>
          <w:b/>
          <w:bCs/>
        </w:rPr>
        <w:t>których</w:t>
      </w:r>
      <w:r w:rsidR="00CC762B" w:rsidRPr="47E09144">
        <w:t xml:space="preserve"> </w:t>
      </w:r>
      <w:r w:rsidR="00CC762B" w:rsidRPr="47E09144">
        <w:rPr>
          <w:b/>
          <w:bCs/>
        </w:rPr>
        <w:t xml:space="preserve">pojawiły się </w:t>
      </w:r>
      <w:r w:rsidR="00A31BC1">
        <w:rPr>
          <w:b/>
          <w:bCs/>
        </w:rPr>
        <w:t xml:space="preserve">określone </w:t>
      </w:r>
      <w:r w:rsidR="00C645D7" w:rsidRPr="00077CA0">
        <w:rPr>
          <w:b/>
          <w:bCs/>
        </w:rPr>
        <w:t>problemy</w:t>
      </w:r>
      <w:r w:rsidR="00CC762B" w:rsidRPr="738FE318">
        <w:rPr>
          <w:b/>
        </w:rPr>
        <w:t>.</w:t>
      </w:r>
      <w:r w:rsidR="00CC762B" w:rsidRPr="47E09144">
        <w:t xml:space="preserve"> Nie można zatem mówić o </w:t>
      </w:r>
      <w:r w:rsidR="00DE724D">
        <w:t>niskiej skuteczności naborów w ramach</w:t>
      </w:r>
      <w:r w:rsidR="00CC762B" w:rsidRPr="47E09144">
        <w:t xml:space="preserve"> </w:t>
      </w:r>
      <w:r w:rsidR="00DE724D" w:rsidRPr="47E09144">
        <w:t>niekonkurencyjnego</w:t>
      </w:r>
      <w:r w:rsidR="1C37F257" w:rsidRPr="47E09144">
        <w:t xml:space="preserve"> sposobu wyboru projekt</w:t>
      </w:r>
      <w:r w:rsidR="2D94C778" w:rsidRPr="47E09144">
        <w:t>ów</w:t>
      </w:r>
      <w:r w:rsidR="00CC762B" w:rsidRPr="47E09144">
        <w:t>. Jednakże – skoro problemy pojawiły się w tak niewielu naborach – należ</w:t>
      </w:r>
      <w:r w:rsidR="00DE724D">
        <w:t>ało</w:t>
      </w:r>
      <w:r w:rsidR="00CC762B" w:rsidRPr="47E09144">
        <w:t xml:space="preserve"> postawić pytanie, czy w pozostałych przypadkach ewentualne bariery systemowe</w:t>
      </w:r>
      <w:r w:rsidR="003E76C2">
        <w:t xml:space="preserve"> występowały, ale</w:t>
      </w:r>
      <w:r w:rsidR="00CC762B" w:rsidRPr="47E09144">
        <w:t xml:space="preserve"> zostały skutecznie przezwyciężone? Z drugiej strony nie można </w:t>
      </w:r>
      <w:r w:rsidR="00C74D2E">
        <w:t xml:space="preserve">było </w:t>
      </w:r>
      <w:r w:rsidR="00CC762B" w:rsidRPr="47E09144">
        <w:t>wykluczyć, że owych sześciu naborów nie udało się przeprowadzić z powodów tyleż specyficznych, co akcydentalnych i nie stanowi</w:t>
      </w:r>
      <w:r w:rsidR="00896F14">
        <w:t xml:space="preserve"> to</w:t>
      </w:r>
      <w:r w:rsidR="00CC762B" w:rsidRPr="47E09144">
        <w:t xml:space="preserve"> wystarczających przesłanek, wskazujących na potrzebę zasadniczych zmian systemowych. </w:t>
      </w:r>
      <w:r w:rsidR="00CC762B">
        <w:t xml:space="preserve">W tabeli poniżej opisano szczegółowo </w:t>
      </w:r>
      <w:r w:rsidR="70C400E0" w:rsidRPr="28C457C3">
        <w:t>problemy</w:t>
      </w:r>
      <w:r w:rsidR="00CC762B">
        <w:t>, jakie wystąpiły w przypadku</w:t>
      </w:r>
      <w:r w:rsidR="00896F14">
        <w:t xml:space="preserve"> tych</w:t>
      </w:r>
      <w:r w:rsidR="00CC762B">
        <w:t xml:space="preserve"> 6 naborów objętych naszym badaniem.</w:t>
      </w:r>
    </w:p>
    <w:p w14:paraId="61FED978" w14:textId="77777777" w:rsidR="009B1C23" w:rsidRDefault="009B1C23" w:rsidP="00B37FDD">
      <w:pPr>
        <w:pStyle w:val="Legenda"/>
        <w:sectPr w:rsidR="009B1C23" w:rsidSect="005D11A3">
          <w:pgSz w:w="11906" w:h="16838"/>
          <w:pgMar w:top="1417" w:right="1417" w:bottom="1417" w:left="1417" w:header="708" w:footer="708" w:gutter="0"/>
          <w:cols w:space="708"/>
          <w:docGrid w:linePitch="360"/>
        </w:sectPr>
      </w:pPr>
    </w:p>
    <w:p w14:paraId="0730B684" w14:textId="68A53B27" w:rsidR="009B1C23" w:rsidRPr="009B1C23" w:rsidRDefault="00B37FDD" w:rsidP="009B1C23">
      <w:pPr>
        <w:pStyle w:val="Legenda"/>
      </w:pPr>
      <w:r>
        <w:lastRenderedPageBreak/>
        <w:t xml:space="preserve">Tabela </w:t>
      </w:r>
      <w:fldSimple w:instr=" SEQ Tabela \* ARABIC ">
        <w:r w:rsidR="00541DFA">
          <w:rPr>
            <w:noProof/>
          </w:rPr>
          <w:t>8</w:t>
        </w:r>
      </w:fldSimple>
      <w:r w:rsidR="00840364">
        <w:t>.</w:t>
      </w:r>
      <w:r>
        <w:t xml:space="preserve"> </w:t>
      </w:r>
      <w:r w:rsidRPr="00B37FDD">
        <w:t>Projekty niekonkurencyjne, które nie zostały przyjęte do dofinansowania w pierwszym naborze lub nierealizujące całości alokacji</w:t>
      </w:r>
    </w:p>
    <w:tbl>
      <w:tblPr>
        <w:tblStyle w:val="Tabelalisty3akcent11"/>
        <w:tblW w:w="0" w:type="auto"/>
        <w:tblLook w:val="04A0" w:firstRow="1" w:lastRow="0" w:firstColumn="1" w:lastColumn="0" w:noHBand="0" w:noVBand="1"/>
        <w:tblCaption w:val="Projekty niekonkurencyjne, które nie zostały przyjęte do dofinansowania w pierwszym naborze lub nierealizujące całości alokacji"/>
        <w:tblDescription w:val="Tabela przedstawia zestawienie wybranych naborów projektów wraz z ich statusem początkowym, przyczynami wycofania lub niezłożenia wniosku oraz dalszymi losami przedsięwzięć.&#10;&#10;Wsparcie MŚP – akredytacja usług IOB (1.3): wniosek nie został złożony z powodu zmian w przepisach krajowych, ustaleń w projekcie partnerskim oraz braku zgody Instytucji Zarządzającej na przedłużenie terminu. W kolejnym naborze złożono wniosek na mniejszą alokację i podpisano umowę o dofinansowanie.&#10;&#10;Rozwój małej retencji (2.9): wniosek niezłożony ze względu na decyzję zarządu o przypisaniu projektu do innego departamentu. W kolejnym naborze złożono wniosek o podobnej wartości, który jest w trakcie oceny, z przewidywanym podpisaniem umowy.&#10;&#10;Zakup taboru kolejowego (4.1): wniosek niezłożony, ponieważ wymagany był trwający przetarg, który unieważniono z powodu prawdopodobnie tylko jednej oferty. W kolejnym naborze projekt złożono, podpisano umowę i wykorzystano prawie całą alokację.&#10;&#10;Inwestycje w miejscach niebezpiecznych (4.3): wniosek wycofany z uwagi na brak spełnienia wskaźnika rezultatu w jednym z miejsc i ryzyko negatywnej oceny. Po modyfikacji (inne miejsce) projekt ponownie złożono na mniejszą kwotę i podpisano umowę.&#10;&#10;Rozwój ochrony zdrowia psychicznego (6.9): wniosek wycofany z powodu błędu formalnego – pozwolenie na budowę było wystawione na niewłaściwy podmiot, a wnioskodawca nie miał doświadczenia. W kolejnym naborze złożono poprawny wniosek i podpisano umowę.&#10;&#10;Integracja zawodowa obywateli państw trzecich (8.23): wniosek złożony na 47% alokacji. Beneficjent zdecydował o podziale projektu na dwa etapy, prawdopodobnie z powodu braku wkładu własnego lub ograniczeń organizacyjnych. Drugi etap przewidziano w harmonogramie naborów na kolejne miesiące."/>
      </w:tblPr>
      <w:tblGrid>
        <w:gridCol w:w="2565"/>
        <w:gridCol w:w="1765"/>
        <w:gridCol w:w="4883"/>
        <w:gridCol w:w="4781"/>
      </w:tblGrid>
      <w:tr w:rsidR="0047314C" w:rsidRPr="00013301" w14:paraId="0EF795DB" w14:textId="77777777" w:rsidTr="009B1C23">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0" w:type="auto"/>
          </w:tcPr>
          <w:p w14:paraId="0D334361" w14:textId="012C2F8A" w:rsidR="47E09144" w:rsidRPr="00013301" w:rsidRDefault="47E09144" w:rsidP="00353C8C">
            <w:pPr>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Działanie</w:t>
            </w:r>
            <w:r w:rsidR="002519DD">
              <w:rPr>
                <w:rFonts w:asciiTheme="minorHAnsi" w:eastAsia="Calibri" w:hAnsiTheme="minorHAnsi" w:cstheme="minorHAnsi"/>
                <w:color w:val="FFFFFF" w:themeColor="background1"/>
                <w:szCs w:val="24"/>
              </w:rPr>
              <w:t xml:space="preserve"> / Nabór</w:t>
            </w:r>
          </w:p>
        </w:tc>
        <w:tc>
          <w:tcPr>
            <w:tcW w:w="0" w:type="auto"/>
          </w:tcPr>
          <w:p w14:paraId="78DB7BC7" w14:textId="011C8FE4"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Status początkowy</w:t>
            </w:r>
          </w:p>
        </w:tc>
        <w:tc>
          <w:tcPr>
            <w:tcW w:w="0" w:type="auto"/>
          </w:tcPr>
          <w:p w14:paraId="2462E938" w14:textId="0042CAE9"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Przyczyna wycofania / niezłożenia</w:t>
            </w:r>
          </w:p>
        </w:tc>
        <w:tc>
          <w:tcPr>
            <w:tcW w:w="0" w:type="auto"/>
          </w:tcPr>
          <w:p w14:paraId="4E0E6639" w14:textId="7926B785" w:rsidR="47E09144" w:rsidRPr="00013301" w:rsidRDefault="47E09144" w:rsidP="00353C8C">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FFFFF" w:themeColor="background1"/>
                <w:szCs w:val="24"/>
              </w:rPr>
            </w:pPr>
            <w:r w:rsidRPr="00013301">
              <w:rPr>
                <w:rFonts w:asciiTheme="minorHAnsi" w:eastAsia="Calibri" w:hAnsiTheme="minorHAnsi" w:cstheme="minorHAnsi"/>
                <w:color w:val="FFFFFF" w:themeColor="background1"/>
                <w:szCs w:val="24"/>
              </w:rPr>
              <w:t>Finał / dalsze losy projektu</w:t>
            </w:r>
          </w:p>
        </w:tc>
      </w:tr>
      <w:tr w:rsidR="004C4068" w:rsidRPr="00013301" w14:paraId="48231B8D"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23EA8301" w14:textId="31FD5689"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Wsparcie MŚP – akredytacja usług IOB</w:t>
            </w:r>
          </w:p>
          <w:p w14:paraId="656C6EF0" w14:textId="17286494"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E96553" w:rsidRPr="00E96553">
              <w:rPr>
                <w:rFonts w:asciiTheme="minorHAnsi" w:eastAsia="Calibri" w:hAnsiTheme="minorHAnsi" w:cstheme="minorHAnsi"/>
                <w:szCs w:val="24"/>
              </w:rPr>
              <w:t>FEKP.01.03-IZ.00-106/24</w:t>
            </w:r>
            <w:r w:rsidRPr="00013301">
              <w:rPr>
                <w:rFonts w:asciiTheme="minorHAnsi" w:eastAsia="Calibri" w:hAnsiTheme="minorHAnsi" w:cstheme="minorHAnsi"/>
                <w:szCs w:val="24"/>
              </w:rPr>
              <w:t>)</w:t>
            </w:r>
          </w:p>
        </w:tc>
        <w:tc>
          <w:tcPr>
            <w:tcW w:w="0" w:type="auto"/>
          </w:tcPr>
          <w:p w14:paraId="052D88BC" w14:textId="18DF268E"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Niezłożony </w:t>
            </w:r>
          </w:p>
        </w:tc>
        <w:tc>
          <w:tcPr>
            <w:tcW w:w="0" w:type="auto"/>
          </w:tcPr>
          <w:p w14:paraId="720F0569" w14:textId="6420C2AE" w:rsidR="47E09144" w:rsidRPr="00013301" w:rsidRDefault="00E26FF1"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Wnioskodawca wystąpił z prośbą o przedłużenie terminu naboru z powodu zmieniających się przepisów krajowych dotyczących pomocy de </w:t>
            </w:r>
            <w:proofErr w:type="spellStart"/>
            <w:r w:rsidRPr="00013301">
              <w:rPr>
                <w:rFonts w:asciiTheme="minorHAnsi" w:eastAsia="Calibri" w:hAnsiTheme="minorHAnsi" w:cstheme="minorHAnsi"/>
                <w:szCs w:val="24"/>
              </w:rPr>
              <w:t>minimis</w:t>
            </w:r>
            <w:proofErr w:type="spellEnd"/>
            <w:r w:rsidRPr="00013301">
              <w:rPr>
                <w:rFonts w:asciiTheme="minorHAnsi" w:eastAsia="Calibri" w:hAnsiTheme="minorHAnsi" w:cstheme="minorHAnsi"/>
                <w:szCs w:val="24"/>
              </w:rPr>
              <w:t xml:space="preserve"> oraz trwających ustaleń w projekcie partnerskim. IZ FEdKP</w:t>
            </w:r>
            <w:r w:rsidR="00210A3F" w:rsidRPr="00013301">
              <w:rPr>
                <w:rFonts w:asciiTheme="minorHAnsi" w:eastAsia="Calibri" w:hAnsiTheme="minorHAnsi" w:cstheme="minorHAnsi"/>
                <w:szCs w:val="24"/>
              </w:rPr>
              <w:t xml:space="preserve"> 2021-2</w:t>
            </w:r>
            <w:r w:rsidR="008B41E5" w:rsidRPr="00013301">
              <w:rPr>
                <w:rFonts w:asciiTheme="minorHAnsi" w:eastAsia="Calibri" w:hAnsiTheme="minorHAnsi" w:cstheme="minorHAnsi"/>
                <w:szCs w:val="24"/>
              </w:rPr>
              <w:t>0</w:t>
            </w:r>
            <w:r w:rsidR="00210A3F" w:rsidRPr="00013301">
              <w:rPr>
                <w:rFonts w:asciiTheme="minorHAnsi" w:eastAsia="Calibri" w:hAnsiTheme="minorHAnsi" w:cstheme="minorHAnsi"/>
                <w:szCs w:val="24"/>
              </w:rPr>
              <w:t>27</w:t>
            </w:r>
            <w:r w:rsidRPr="00013301">
              <w:rPr>
                <w:rFonts w:asciiTheme="minorHAnsi" w:eastAsia="Calibri" w:hAnsiTheme="minorHAnsi" w:cstheme="minorHAnsi"/>
                <w:szCs w:val="24"/>
              </w:rPr>
              <w:t xml:space="preserve"> nie wyraziła zgody na przedłużenie, obawiając się niewykorzystania alokacji, co doprowadziło do unieważnienia naboru. Główną przeszkodą była niepewność prawna, czy partner projektu (spółka) może udzielać pomocy de </w:t>
            </w:r>
            <w:proofErr w:type="spellStart"/>
            <w:r w:rsidRPr="00013301">
              <w:rPr>
                <w:rFonts w:asciiTheme="minorHAnsi" w:eastAsia="Calibri" w:hAnsiTheme="minorHAnsi" w:cstheme="minorHAnsi"/>
                <w:szCs w:val="24"/>
              </w:rPr>
              <w:t>minimis</w:t>
            </w:r>
            <w:proofErr w:type="spellEnd"/>
            <w:r w:rsidR="00210A3F" w:rsidRPr="00013301">
              <w:rPr>
                <w:rFonts w:asciiTheme="minorHAnsi" w:eastAsia="Calibri" w:hAnsiTheme="minorHAnsi" w:cstheme="minorHAnsi"/>
                <w:szCs w:val="24"/>
              </w:rPr>
              <w:t>.</w:t>
            </w:r>
          </w:p>
        </w:tc>
        <w:tc>
          <w:tcPr>
            <w:tcW w:w="0" w:type="auto"/>
          </w:tcPr>
          <w:p w14:paraId="79917E0A" w14:textId="45AC222B" w:rsidR="47E09144" w:rsidRPr="00013301" w:rsidRDefault="005573A5"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Problem został rozwiązany dzięki zmianie rozporządzenia o pomocy de </w:t>
            </w:r>
            <w:proofErr w:type="spellStart"/>
            <w:r w:rsidRPr="00013301">
              <w:rPr>
                <w:rFonts w:asciiTheme="minorHAnsi" w:eastAsia="Calibri" w:hAnsiTheme="minorHAnsi" w:cstheme="minorHAnsi"/>
                <w:szCs w:val="24"/>
              </w:rPr>
              <w:t>minimis</w:t>
            </w:r>
            <w:proofErr w:type="spellEnd"/>
            <w:r w:rsidRPr="00013301">
              <w:rPr>
                <w:rFonts w:asciiTheme="minorHAnsi" w:eastAsia="Calibri" w:hAnsiTheme="minorHAnsi" w:cstheme="minorHAnsi"/>
                <w:szCs w:val="24"/>
              </w:rPr>
              <w:t xml:space="preserve">, które dopuściło możliwość udzielania tej pomocy przez partnera projektu. Został zorganizowany kolejny nabór (nr 139/24), w którym wnioskodawca złożył wniosek na nieco niższą alokację. </w:t>
            </w:r>
            <w:r w:rsidR="005A0167" w:rsidRPr="00013301">
              <w:rPr>
                <w:rFonts w:asciiTheme="minorHAnsi" w:eastAsia="Calibri" w:hAnsiTheme="minorHAnsi" w:cstheme="minorHAnsi"/>
                <w:szCs w:val="24"/>
              </w:rPr>
              <w:t>Projekt</w:t>
            </w:r>
            <w:r w:rsidRPr="00013301">
              <w:rPr>
                <w:rFonts w:asciiTheme="minorHAnsi" w:eastAsia="Calibri" w:hAnsiTheme="minorHAnsi" w:cstheme="minorHAnsi"/>
                <w:szCs w:val="24"/>
              </w:rPr>
              <w:t xml:space="preserve"> jest już objęty umową o dofinansowanie</w:t>
            </w:r>
            <w:r w:rsidR="000A4959" w:rsidRPr="00013301">
              <w:rPr>
                <w:rFonts w:asciiTheme="minorHAnsi" w:eastAsia="Calibri" w:hAnsiTheme="minorHAnsi" w:cstheme="minorHAnsi"/>
                <w:szCs w:val="24"/>
              </w:rPr>
              <w:t>.</w:t>
            </w:r>
          </w:p>
        </w:tc>
      </w:tr>
      <w:tr w:rsidR="004C4068" w:rsidRPr="00013301" w14:paraId="3D8385F7"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71F304F3" w14:textId="77777777" w:rsidR="002519DD"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Rozwój małej retencji</w:t>
            </w:r>
          </w:p>
          <w:p w14:paraId="5750396A" w14:textId="4036CE42"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2519DD" w:rsidRPr="002519DD">
              <w:rPr>
                <w:rFonts w:asciiTheme="minorHAnsi" w:eastAsia="Calibri" w:hAnsiTheme="minorHAnsi" w:cstheme="minorHAnsi"/>
                <w:szCs w:val="24"/>
              </w:rPr>
              <w:t>FEKP.02.09-IZ.00-070/23</w:t>
            </w:r>
            <w:r w:rsidRPr="00013301">
              <w:rPr>
                <w:rFonts w:asciiTheme="minorHAnsi" w:eastAsia="Calibri" w:hAnsiTheme="minorHAnsi" w:cstheme="minorHAnsi"/>
                <w:szCs w:val="24"/>
              </w:rPr>
              <w:t>)</w:t>
            </w:r>
          </w:p>
        </w:tc>
        <w:tc>
          <w:tcPr>
            <w:tcW w:w="0" w:type="auto"/>
          </w:tcPr>
          <w:p w14:paraId="7E31B9C2" w14:textId="69A27FB9"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Niezłożony</w:t>
            </w:r>
          </w:p>
        </w:tc>
        <w:tc>
          <w:tcPr>
            <w:tcW w:w="0" w:type="auto"/>
          </w:tcPr>
          <w:p w14:paraId="01EB1269" w14:textId="06265A81" w:rsidR="47E09144" w:rsidRPr="00013301" w:rsidRDefault="009B1C23"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Pierwotnie projekt miał być realizowany przez Departament Rolnictwa i Geodezji. Jednakże, z powodu wewnętrznych zmian organizacyjnych w urzędzie i decyzji Zarządu Województwa, projekt został przypisany innemu departamentowi – Departamentowi Rozwoju Obszarów Wiejskich. Decyzja ta wynikała </w:t>
            </w:r>
            <w:r w:rsidR="00033A4F" w:rsidRPr="00013301">
              <w:rPr>
                <w:rFonts w:asciiTheme="minorHAnsi" w:eastAsia="Calibri" w:hAnsiTheme="minorHAnsi" w:cstheme="minorHAnsi"/>
                <w:szCs w:val="24"/>
              </w:rPr>
              <w:t xml:space="preserve">prawdopodobnie </w:t>
            </w:r>
            <w:r w:rsidRPr="00013301">
              <w:rPr>
                <w:rFonts w:asciiTheme="minorHAnsi" w:eastAsia="Calibri" w:hAnsiTheme="minorHAnsi" w:cstheme="minorHAnsi"/>
                <w:szCs w:val="24"/>
              </w:rPr>
              <w:t xml:space="preserve">z lepszej specjalizacji i </w:t>
            </w:r>
            <w:r w:rsidRPr="00013301">
              <w:rPr>
                <w:rFonts w:asciiTheme="minorHAnsi" w:eastAsia="Calibri" w:hAnsiTheme="minorHAnsi" w:cstheme="minorHAnsi"/>
                <w:szCs w:val="24"/>
              </w:rPr>
              <w:lastRenderedPageBreak/>
              <w:t xml:space="preserve">doświadczenia </w:t>
            </w:r>
            <w:r w:rsidR="000C6C11" w:rsidRPr="00013301">
              <w:rPr>
                <w:rFonts w:asciiTheme="minorHAnsi" w:eastAsia="Calibri" w:hAnsiTheme="minorHAnsi" w:cstheme="minorHAnsi"/>
                <w:szCs w:val="24"/>
              </w:rPr>
              <w:t>DROW w takim obszarze tematycznym</w:t>
            </w:r>
            <w:r w:rsidR="005E15A4" w:rsidRPr="00013301">
              <w:rPr>
                <w:rFonts w:asciiTheme="minorHAnsi" w:eastAsia="Calibri" w:hAnsiTheme="minorHAnsi" w:cstheme="minorHAnsi"/>
                <w:szCs w:val="24"/>
              </w:rPr>
              <w:t>.</w:t>
            </w:r>
            <w:r w:rsidR="006504AE" w:rsidRPr="00013301">
              <w:rPr>
                <w:rFonts w:asciiTheme="minorHAnsi" w:eastAsia="Calibri" w:hAnsiTheme="minorHAnsi" w:cstheme="minorHAnsi"/>
                <w:szCs w:val="24"/>
              </w:rPr>
              <w:t xml:space="preserve"> </w:t>
            </w:r>
            <w:r w:rsidR="000C6C11" w:rsidRPr="00013301">
              <w:rPr>
                <w:rFonts w:asciiTheme="minorHAnsi" w:eastAsia="Calibri" w:hAnsiTheme="minorHAnsi" w:cstheme="minorHAnsi"/>
                <w:szCs w:val="24"/>
              </w:rPr>
              <w:t>Dzięki temu możliwe było przygotowanie nowej fiszki projektu.</w:t>
            </w:r>
          </w:p>
        </w:tc>
        <w:tc>
          <w:tcPr>
            <w:tcW w:w="0" w:type="auto"/>
          </w:tcPr>
          <w:p w14:paraId="6CDC02E0" w14:textId="54DE2B33" w:rsidR="47E09144" w:rsidRPr="00013301" w:rsidRDefault="007F1A37" w:rsidP="47E09144">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745C7196">
              <w:rPr>
                <w:rFonts w:asciiTheme="minorHAnsi" w:eastAsia="Calibri" w:hAnsiTheme="minorHAnsi" w:cstheme="minorBidi"/>
              </w:rPr>
              <w:lastRenderedPageBreak/>
              <w:t>W drugim naborze DROW złożył wniosek, ale go wycofał z oceny.</w:t>
            </w:r>
            <w:r w:rsidR="0047314C" w:rsidRPr="745C7196">
              <w:rPr>
                <w:rFonts w:asciiTheme="minorHAnsi" w:eastAsia="Calibri" w:hAnsiTheme="minorHAnsi" w:cstheme="minorBidi"/>
              </w:rPr>
              <w:t xml:space="preserve"> W tej chwili trwają prace nad </w:t>
            </w:r>
            <w:r w:rsidR="00795F82">
              <w:rPr>
                <w:rFonts w:asciiTheme="minorHAnsi" w:eastAsia="Calibri" w:hAnsiTheme="minorHAnsi" w:cstheme="minorBidi"/>
              </w:rPr>
              <w:t xml:space="preserve">przygotowaniem </w:t>
            </w:r>
            <w:r w:rsidR="00795F82" w:rsidRPr="745C7196">
              <w:rPr>
                <w:rFonts w:asciiTheme="minorHAnsi" w:eastAsia="Calibri" w:hAnsiTheme="minorHAnsi" w:cstheme="minorBidi"/>
              </w:rPr>
              <w:t>kolejn</w:t>
            </w:r>
            <w:r w:rsidR="00795F82">
              <w:rPr>
                <w:rFonts w:asciiTheme="minorHAnsi" w:eastAsia="Calibri" w:hAnsiTheme="minorHAnsi" w:cstheme="minorBidi"/>
              </w:rPr>
              <w:t>ego</w:t>
            </w:r>
            <w:r w:rsidR="00795F82" w:rsidRPr="745C7196">
              <w:rPr>
                <w:rFonts w:asciiTheme="minorHAnsi" w:eastAsia="Calibri" w:hAnsiTheme="minorHAnsi" w:cstheme="minorBidi"/>
              </w:rPr>
              <w:t xml:space="preserve"> </w:t>
            </w:r>
            <w:r w:rsidR="0047314C" w:rsidRPr="745C7196">
              <w:rPr>
                <w:rFonts w:asciiTheme="minorHAnsi" w:eastAsia="Calibri" w:hAnsiTheme="minorHAnsi" w:cstheme="minorBidi"/>
              </w:rPr>
              <w:t>WoD.</w:t>
            </w:r>
          </w:p>
        </w:tc>
      </w:tr>
      <w:tr w:rsidR="004C4068" w:rsidRPr="00013301" w14:paraId="21F28EA9"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742728AA" w14:textId="77777777" w:rsidR="002519DD"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Zakup taboru kolejowego</w:t>
            </w:r>
          </w:p>
          <w:p w14:paraId="79AD68DB" w14:textId="3A1EC8EF"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2519DD" w:rsidRPr="002519DD">
              <w:rPr>
                <w:rFonts w:asciiTheme="minorHAnsi" w:eastAsia="Calibri" w:hAnsiTheme="minorHAnsi" w:cstheme="minorHAnsi"/>
                <w:szCs w:val="24"/>
              </w:rPr>
              <w:t>FEKP.04.01-IZ.00-019/23</w:t>
            </w:r>
            <w:r w:rsidRPr="00013301">
              <w:rPr>
                <w:rFonts w:asciiTheme="minorHAnsi" w:eastAsia="Calibri" w:hAnsiTheme="minorHAnsi" w:cstheme="minorHAnsi"/>
                <w:szCs w:val="24"/>
              </w:rPr>
              <w:t>)</w:t>
            </w:r>
          </w:p>
        </w:tc>
        <w:tc>
          <w:tcPr>
            <w:tcW w:w="0" w:type="auto"/>
          </w:tcPr>
          <w:p w14:paraId="06B1E0C5" w14:textId="3091AEFB"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Niezłożony</w:t>
            </w:r>
          </w:p>
        </w:tc>
        <w:tc>
          <w:tcPr>
            <w:tcW w:w="0" w:type="auto"/>
          </w:tcPr>
          <w:p w14:paraId="73D394C3" w14:textId="5B9249DF" w:rsidR="47E09144" w:rsidRPr="00013301" w:rsidRDefault="005543AC" w:rsidP="47E09144">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013301">
              <w:rPr>
                <w:rFonts w:asciiTheme="minorHAnsi" w:eastAsia="Calibri" w:hAnsiTheme="minorHAnsi" w:cstheme="minorHAnsi"/>
                <w:szCs w:val="24"/>
              </w:rPr>
              <w:t xml:space="preserve">Głównym powodem niezłożenia było to, że postępowanie przetargowe ogłoszone w celu wyłonienia dostawcy taboru kolejowego zakończyło się złożeniem ofert, które przekraczały kwotę zabezpieczoną na realizację projektu. </w:t>
            </w:r>
            <w:r w:rsidR="00EF3D83" w:rsidRPr="00013301">
              <w:rPr>
                <w:rFonts w:asciiTheme="minorHAnsi" w:eastAsia="Calibri" w:hAnsiTheme="minorHAnsi" w:cstheme="minorHAnsi"/>
                <w:szCs w:val="24"/>
              </w:rPr>
              <w:t xml:space="preserve">Z tego powodu przetarg ten unieważniono. </w:t>
            </w:r>
            <w:r w:rsidR="00763BA0" w:rsidRPr="00013301">
              <w:rPr>
                <w:rFonts w:asciiTheme="minorHAnsi" w:eastAsia="Calibri" w:hAnsiTheme="minorHAnsi" w:cstheme="minorHAnsi"/>
                <w:szCs w:val="24"/>
              </w:rPr>
              <w:t>Jednym z kluczowych kryteriów naboru było natomiast to, że przetarg musiał być w trakcie realizacji. Ponieważ przetarg został unieważniony, złożenie wniosku w tej sytuacji byłoby bezcelowe, gdyż uniemożliwiłoby spełnienie tego kryterium i automatycznie doprowadziłoby do odrzucenia wniosku.</w:t>
            </w:r>
          </w:p>
        </w:tc>
        <w:tc>
          <w:tcPr>
            <w:tcW w:w="0" w:type="auto"/>
          </w:tcPr>
          <w:p w14:paraId="5601B3C1" w14:textId="407D7B26" w:rsidR="47E09144" w:rsidRPr="00013301" w:rsidRDefault="001E6E49"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Ogłoszono</w:t>
            </w:r>
            <w:r w:rsidR="004C4068" w:rsidRPr="00013301">
              <w:rPr>
                <w:rFonts w:asciiTheme="minorHAnsi" w:eastAsia="Calibri" w:hAnsiTheme="minorHAnsi" w:cstheme="minorHAnsi"/>
                <w:szCs w:val="24"/>
              </w:rPr>
              <w:t xml:space="preserve"> kolejny nabór, przeprowadzono też kolejne postępowanie przetargowe</w:t>
            </w:r>
            <w:r w:rsidR="00C00F2E" w:rsidRPr="00013301">
              <w:rPr>
                <w:rFonts w:asciiTheme="minorHAnsi" w:eastAsia="Calibri" w:hAnsiTheme="minorHAnsi" w:cstheme="minorHAnsi"/>
                <w:szCs w:val="24"/>
              </w:rPr>
              <w:t xml:space="preserve"> na dostawcę taboru</w:t>
            </w:r>
            <w:r w:rsidRPr="00013301">
              <w:rPr>
                <w:rFonts w:asciiTheme="minorHAnsi" w:eastAsia="Calibri" w:hAnsiTheme="minorHAnsi" w:cstheme="minorHAnsi"/>
                <w:szCs w:val="24"/>
              </w:rPr>
              <w:t>. Zawarto UoD.</w:t>
            </w:r>
          </w:p>
        </w:tc>
      </w:tr>
      <w:tr w:rsidR="004C4068" w:rsidRPr="00013301" w14:paraId="75F4EDD3"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61AD9DCB"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Inwestycje w miejscach niebezpiecznych</w:t>
            </w:r>
          </w:p>
          <w:p w14:paraId="2D31402A" w14:textId="45A45ACE"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FEKP.04.03-IZ.00-082/24</w:t>
            </w:r>
            <w:r w:rsidRPr="00013301">
              <w:rPr>
                <w:rFonts w:asciiTheme="minorHAnsi" w:eastAsia="Calibri" w:hAnsiTheme="minorHAnsi" w:cstheme="minorHAnsi"/>
                <w:szCs w:val="24"/>
              </w:rPr>
              <w:t>)</w:t>
            </w:r>
          </w:p>
        </w:tc>
        <w:tc>
          <w:tcPr>
            <w:tcW w:w="0" w:type="auto"/>
          </w:tcPr>
          <w:p w14:paraId="2C8F009F" w14:textId="75C84F0B"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Wniosek wycofany</w:t>
            </w:r>
          </w:p>
        </w:tc>
        <w:tc>
          <w:tcPr>
            <w:tcW w:w="0" w:type="auto"/>
          </w:tcPr>
          <w:p w14:paraId="69002F3F" w14:textId="41A7C5C4" w:rsidR="47E09144" w:rsidRPr="00013301" w:rsidRDefault="008F2459"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rPr>
            </w:pPr>
            <w:r w:rsidRPr="57F9F8D9">
              <w:rPr>
                <w:rFonts w:asciiTheme="minorHAnsi" w:eastAsia="Calibri" w:hAnsiTheme="minorHAnsi" w:cstheme="minorBidi"/>
              </w:rPr>
              <w:t xml:space="preserve">Wnioskodawca wycofał wniosek. </w:t>
            </w:r>
            <w:r w:rsidR="00033A4F" w:rsidRPr="57F9F8D9">
              <w:rPr>
                <w:rFonts w:asciiTheme="minorHAnsi" w:eastAsia="Calibri" w:hAnsiTheme="minorHAnsi" w:cstheme="minorBidi"/>
              </w:rPr>
              <w:t xml:space="preserve">W </w:t>
            </w:r>
            <w:r w:rsidR="009176D0">
              <w:rPr>
                <w:rFonts w:asciiTheme="minorHAnsi" w:eastAsia="Calibri" w:hAnsiTheme="minorHAnsi" w:cstheme="minorBidi"/>
              </w:rPr>
              <w:t>zakresie</w:t>
            </w:r>
            <w:r w:rsidR="00033A4F" w:rsidRPr="57F9F8D9">
              <w:rPr>
                <w:rFonts w:asciiTheme="minorHAnsi" w:eastAsia="Calibri" w:hAnsiTheme="minorHAnsi" w:cstheme="minorBidi"/>
              </w:rPr>
              <w:t xml:space="preserve"> projektu </w:t>
            </w:r>
            <w:r w:rsidR="009176D0">
              <w:rPr>
                <w:rFonts w:asciiTheme="minorHAnsi" w:eastAsia="Calibri" w:hAnsiTheme="minorHAnsi" w:cstheme="minorBidi"/>
              </w:rPr>
              <w:t>zidentyfikowano</w:t>
            </w:r>
            <w:r w:rsidR="00033A4F" w:rsidRPr="57F9F8D9">
              <w:rPr>
                <w:rFonts w:asciiTheme="minorHAnsi" w:eastAsia="Calibri" w:hAnsiTheme="minorHAnsi" w:cstheme="minorBidi"/>
              </w:rPr>
              <w:t xml:space="preserve"> problem</w:t>
            </w:r>
            <w:r w:rsidR="009176D0">
              <w:rPr>
                <w:rFonts w:asciiTheme="minorHAnsi" w:eastAsia="Calibri" w:hAnsiTheme="minorHAnsi" w:cstheme="minorBidi"/>
              </w:rPr>
              <w:t>,</w:t>
            </w:r>
            <w:r w:rsidR="00033A4F" w:rsidRPr="57F9F8D9">
              <w:rPr>
                <w:rFonts w:asciiTheme="minorHAnsi" w:eastAsia="Calibri" w:hAnsiTheme="minorHAnsi" w:cstheme="minorBidi"/>
              </w:rPr>
              <w:t xml:space="preserve"> który mógł rzutować na wynik oceny. </w:t>
            </w:r>
            <w:r w:rsidRPr="57F9F8D9">
              <w:rPr>
                <w:rFonts w:asciiTheme="minorHAnsi" w:eastAsia="Calibri" w:hAnsiTheme="minorHAnsi" w:cstheme="minorBidi"/>
              </w:rPr>
              <w:t xml:space="preserve">Okazało się, że jedno z planowanych miejsc niebezpiecznych nie spełniało wymaganego wskaźnika rezultatu, tj. zmniejszenia liczby </w:t>
            </w:r>
            <w:r w:rsidRPr="57F9F8D9">
              <w:rPr>
                <w:rFonts w:asciiTheme="minorHAnsi" w:eastAsia="Calibri" w:hAnsiTheme="minorHAnsi" w:cstheme="minorBidi"/>
              </w:rPr>
              <w:lastRenderedPageBreak/>
              <w:t>zdarzeń drogowych (w danym roku</w:t>
            </w:r>
            <w:r w:rsidR="00A46CC4">
              <w:rPr>
                <w:rFonts w:asciiTheme="minorHAnsi" w:eastAsia="Calibri" w:hAnsiTheme="minorHAnsi" w:cstheme="minorBidi"/>
              </w:rPr>
              <w:t xml:space="preserve"> </w:t>
            </w:r>
            <w:r w:rsidR="00A46CC4" w:rsidRPr="57F9F8D9">
              <w:rPr>
                <w:rFonts w:asciiTheme="minorHAnsi" w:eastAsia="Calibri" w:hAnsiTheme="minorHAnsi" w:cstheme="minorBidi"/>
              </w:rPr>
              <w:t>nie było tam wypadku</w:t>
            </w:r>
            <w:r w:rsidRPr="57F9F8D9">
              <w:rPr>
                <w:rFonts w:asciiTheme="minorHAnsi" w:eastAsia="Calibri" w:hAnsiTheme="minorHAnsi" w:cstheme="minorBidi"/>
              </w:rPr>
              <w:t>).</w:t>
            </w:r>
          </w:p>
        </w:tc>
        <w:tc>
          <w:tcPr>
            <w:tcW w:w="0" w:type="auto"/>
          </w:tcPr>
          <w:p w14:paraId="07AA03E1" w14:textId="159DA9F4" w:rsidR="47E09144" w:rsidRPr="00013301" w:rsidRDefault="00927639"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lastRenderedPageBreak/>
              <w:t xml:space="preserve">Wnioskodawca zmodyfikował projekt, dodając inne miejsca niebezpieczne, które spełniały wskaźnik i ponownie złożył wniosek. </w:t>
            </w:r>
            <w:r w:rsidR="00C00F2E" w:rsidRPr="00013301">
              <w:rPr>
                <w:rFonts w:asciiTheme="minorHAnsi" w:eastAsia="Calibri" w:hAnsiTheme="minorHAnsi" w:cstheme="minorHAnsi"/>
                <w:szCs w:val="24"/>
              </w:rPr>
              <w:t>Zawarto UoD.</w:t>
            </w:r>
          </w:p>
        </w:tc>
      </w:tr>
      <w:tr w:rsidR="004C4068" w:rsidRPr="00013301" w14:paraId="5D10EF12" w14:textId="77777777" w:rsidTr="009B1C23">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3A60CFB9"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Rozwój ochrony zdrowia psychicznego</w:t>
            </w:r>
          </w:p>
          <w:p w14:paraId="3044A30E" w14:textId="2261D588"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FEKP.06.09-IZ.00-132/24</w:t>
            </w:r>
            <w:r w:rsidRPr="00013301">
              <w:rPr>
                <w:rFonts w:asciiTheme="minorHAnsi" w:eastAsia="Calibri" w:hAnsiTheme="minorHAnsi" w:cstheme="minorHAnsi"/>
                <w:szCs w:val="24"/>
              </w:rPr>
              <w:t>)</w:t>
            </w:r>
          </w:p>
        </w:tc>
        <w:tc>
          <w:tcPr>
            <w:tcW w:w="0" w:type="auto"/>
          </w:tcPr>
          <w:p w14:paraId="0FEFA5A2" w14:textId="191EBD66" w:rsidR="47E09144" w:rsidRPr="00013301" w:rsidRDefault="47E0914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Wniosek wycofany</w:t>
            </w:r>
          </w:p>
        </w:tc>
        <w:tc>
          <w:tcPr>
            <w:tcW w:w="0" w:type="auto"/>
          </w:tcPr>
          <w:p w14:paraId="3B1CD4DE" w14:textId="1E498B04" w:rsidR="47E09144" w:rsidRPr="00013301" w:rsidRDefault="00EB593E"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Głównym problemem był błąd formalny: pozwolenie na budowę zostało wydane na spółkę zajmującą się statutowo inwestycjami budowlanymi w województwie, a nie bezpośrednio na szpital, który był wnioskodawcą. Taka dokumentacja formalnie uniemożliwiałaby pozytywną ocenę projektu.</w:t>
            </w:r>
            <w:r w:rsidR="00C61E6B" w:rsidRPr="00013301">
              <w:rPr>
                <w:rFonts w:asciiTheme="minorHAnsi" w:eastAsia="Calibri" w:hAnsiTheme="minorHAnsi" w:cstheme="minorHAnsi"/>
                <w:szCs w:val="24"/>
              </w:rPr>
              <w:t xml:space="preserve"> </w:t>
            </w:r>
            <w:r w:rsidR="00F36C20" w:rsidRPr="00077CA0">
              <w:rPr>
                <w:rFonts w:asciiTheme="minorHAnsi" w:eastAsia="Calibri" w:hAnsiTheme="minorHAnsi" w:cstheme="minorHAnsi"/>
                <w:szCs w:val="24"/>
              </w:rPr>
              <w:t xml:space="preserve">Departament </w:t>
            </w:r>
            <w:r w:rsidR="00F36C20" w:rsidRPr="00077CA0">
              <w:rPr>
                <w:rFonts w:asciiTheme="minorHAnsi" w:hAnsiTheme="minorHAnsi" w:cstheme="minorHAnsi"/>
                <w:szCs w:val="24"/>
              </w:rPr>
              <w:t>Koordynacji Projektów Unijnych i Inwestycji</w:t>
            </w:r>
            <w:r w:rsidR="00F36C20" w:rsidRPr="00077CA0">
              <w:rPr>
                <w:rFonts w:asciiTheme="minorHAnsi" w:eastAsia="Calibri" w:hAnsiTheme="minorHAnsi" w:cstheme="minorHAnsi"/>
                <w:szCs w:val="24"/>
              </w:rPr>
              <w:t xml:space="preserve"> </w:t>
            </w:r>
            <w:r w:rsidR="00C61E6B" w:rsidRPr="00013301">
              <w:rPr>
                <w:rFonts w:asciiTheme="minorHAnsi" w:eastAsia="Calibri" w:hAnsiTheme="minorHAnsi" w:cstheme="minorHAnsi"/>
                <w:szCs w:val="24"/>
              </w:rPr>
              <w:t>dowiedział się o tym zbyt późno, by pomóc w rozwiązaniu problemu przed upływem terminu składania wniosków</w:t>
            </w:r>
            <w:r w:rsidR="00F36C20" w:rsidRPr="00013301">
              <w:rPr>
                <w:rFonts w:asciiTheme="minorHAnsi" w:eastAsia="Calibri" w:hAnsiTheme="minorHAnsi" w:cstheme="minorHAnsi"/>
                <w:szCs w:val="24"/>
              </w:rPr>
              <w:t>.</w:t>
            </w:r>
          </w:p>
        </w:tc>
        <w:tc>
          <w:tcPr>
            <w:tcW w:w="0" w:type="auto"/>
          </w:tcPr>
          <w:p w14:paraId="2A2B8F20" w14:textId="3A17AB14" w:rsidR="47E09144" w:rsidRPr="00013301" w:rsidRDefault="00844724" w:rsidP="47E09144">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Rozwiązanie problemu wymagało scedowania pozwolenia na budowę na właściwy podmiot. Przeprowadzono k</w:t>
            </w:r>
            <w:r w:rsidR="47E09144" w:rsidRPr="00013301">
              <w:rPr>
                <w:rFonts w:asciiTheme="minorHAnsi" w:eastAsia="Calibri" w:hAnsiTheme="minorHAnsi" w:cstheme="minorHAnsi"/>
                <w:szCs w:val="24"/>
              </w:rPr>
              <w:t>olejny nabór</w:t>
            </w:r>
            <w:r w:rsidRPr="00013301">
              <w:rPr>
                <w:rFonts w:asciiTheme="minorHAnsi" w:eastAsia="Calibri" w:hAnsiTheme="minorHAnsi" w:cstheme="minorHAnsi"/>
                <w:szCs w:val="24"/>
              </w:rPr>
              <w:t>. Zawarto UoD.</w:t>
            </w:r>
          </w:p>
        </w:tc>
      </w:tr>
      <w:tr w:rsidR="004C4068" w:rsidRPr="00013301" w14:paraId="63DEEC96" w14:textId="77777777" w:rsidTr="009B1C23">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0B5426E6" w14:textId="77777777" w:rsidR="007D55AB" w:rsidRDefault="47E09144" w:rsidP="47E09144">
            <w:pPr>
              <w:rPr>
                <w:rFonts w:asciiTheme="minorHAnsi" w:eastAsia="Calibri" w:hAnsiTheme="minorHAnsi" w:cstheme="minorHAnsi"/>
                <w:b w:val="0"/>
                <w:bCs w:val="0"/>
                <w:szCs w:val="24"/>
              </w:rPr>
            </w:pPr>
            <w:r w:rsidRPr="00013301">
              <w:rPr>
                <w:rFonts w:asciiTheme="minorHAnsi" w:eastAsia="Calibri" w:hAnsiTheme="minorHAnsi" w:cstheme="minorHAnsi"/>
                <w:szCs w:val="24"/>
              </w:rPr>
              <w:t xml:space="preserve">Integracja zawodowa obywateli państw trzecich </w:t>
            </w:r>
          </w:p>
          <w:p w14:paraId="0C1CEA05" w14:textId="0666CC4F" w:rsidR="47E09144" w:rsidRPr="00013301" w:rsidRDefault="47E09144" w:rsidP="47E09144">
            <w:pPr>
              <w:rPr>
                <w:rFonts w:asciiTheme="minorHAnsi" w:hAnsiTheme="minorHAnsi" w:cstheme="minorHAnsi"/>
                <w:szCs w:val="24"/>
              </w:rPr>
            </w:pPr>
            <w:r w:rsidRPr="00013301">
              <w:rPr>
                <w:rFonts w:asciiTheme="minorHAnsi" w:eastAsia="Calibri" w:hAnsiTheme="minorHAnsi" w:cstheme="minorHAnsi"/>
                <w:szCs w:val="24"/>
              </w:rPr>
              <w:t>(</w:t>
            </w:r>
            <w:r w:rsidR="007D55AB" w:rsidRPr="007D55AB">
              <w:rPr>
                <w:rFonts w:asciiTheme="minorHAnsi" w:eastAsia="Calibri" w:hAnsiTheme="minorHAnsi" w:cstheme="minorHAnsi"/>
                <w:szCs w:val="24"/>
              </w:rPr>
              <w:t>FEKP.08.23-IZ.00-030/23</w:t>
            </w:r>
            <w:r w:rsidRPr="00013301">
              <w:rPr>
                <w:rFonts w:asciiTheme="minorHAnsi" w:eastAsia="Calibri" w:hAnsiTheme="minorHAnsi" w:cstheme="minorHAnsi"/>
                <w:szCs w:val="24"/>
              </w:rPr>
              <w:t>)</w:t>
            </w:r>
          </w:p>
        </w:tc>
        <w:tc>
          <w:tcPr>
            <w:tcW w:w="0" w:type="auto"/>
          </w:tcPr>
          <w:p w14:paraId="355403C5" w14:textId="3081DA09"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Złożony na 47% alokacji</w:t>
            </w:r>
          </w:p>
        </w:tc>
        <w:tc>
          <w:tcPr>
            <w:tcW w:w="0" w:type="auto"/>
          </w:tcPr>
          <w:p w14:paraId="47CC95FC" w14:textId="30B89A7D"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Decyzja </w:t>
            </w:r>
            <w:r w:rsidR="00BA2647">
              <w:rPr>
                <w:rFonts w:asciiTheme="minorHAnsi" w:eastAsia="Calibri" w:hAnsiTheme="minorHAnsi" w:cstheme="minorHAnsi"/>
                <w:szCs w:val="24"/>
              </w:rPr>
              <w:t>wnioskodawcy</w:t>
            </w:r>
            <w:r w:rsidR="00BA2647" w:rsidRPr="00013301">
              <w:rPr>
                <w:rFonts w:asciiTheme="minorHAnsi" w:eastAsia="Calibri" w:hAnsiTheme="minorHAnsi" w:cstheme="minorHAnsi"/>
                <w:szCs w:val="24"/>
              </w:rPr>
              <w:t xml:space="preserve"> </w:t>
            </w:r>
            <w:r w:rsidRPr="00013301">
              <w:rPr>
                <w:rFonts w:asciiTheme="minorHAnsi" w:eastAsia="Calibri" w:hAnsiTheme="minorHAnsi" w:cstheme="minorHAnsi"/>
                <w:szCs w:val="24"/>
              </w:rPr>
              <w:t>o podziale projektu na 2 etapy (prawdopodobnie z powodu braku wkładu własnego lub organizacyjnych ograniczeń)</w:t>
            </w:r>
            <w:r w:rsidR="00844724" w:rsidRPr="00013301">
              <w:rPr>
                <w:rFonts w:asciiTheme="minorHAnsi" w:eastAsia="Calibri" w:hAnsiTheme="minorHAnsi" w:cstheme="minorHAnsi"/>
                <w:szCs w:val="24"/>
              </w:rPr>
              <w:t>.</w:t>
            </w:r>
          </w:p>
        </w:tc>
        <w:tc>
          <w:tcPr>
            <w:tcW w:w="0" w:type="auto"/>
          </w:tcPr>
          <w:p w14:paraId="6487C03D" w14:textId="2B2BF2C2" w:rsidR="47E09144" w:rsidRPr="00013301" w:rsidRDefault="47E09144" w:rsidP="47E09144">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013301">
              <w:rPr>
                <w:rFonts w:asciiTheme="minorHAnsi" w:eastAsia="Calibri" w:hAnsiTheme="minorHAnsi" w:cstheme="minorHAnsi"/>
                <w:szCs w:val="24"/>
              </w:rPr>
              <w:t xml:space="preserve">Drugi etap </w:t>
            </w:r>
            <w:r w:rsidR="00844724" w:rsidRPr="00013301">
              <w:rPr>
                <w:rFonts w:asciiTheme="minorHAnsi" w:eastAsia="Calibri" w:hAnsiTheme="minorHAnsi" w:cstheme="minorHAnsi"/>
                <w:szCs w:val="24"/>
              </w:rPr>
              <w:t xml:space="preserve">projektu jest </w:t>
            </w:r>
            <w:r w:rsidRPr="00013301">
              <w:rPr>
                <w:rFonts w:asciiTheme="minorHAnsi" w:eastAsia="Calibri" w:hAnsiTheme="minorHAnsi" w:cstheme="minorHAnsi"/>
                <w:szCs w:val="24"/>
              </w:rPr>
              <w:t>ujęty w harmonogramie naborów</w:t>
            </w:r>
            <w:r w:rsidR="00844724" w:rsidRPr="00013301">
              <w:rPr>
                <w:rFonts w:asciiTheme="minorHAnsi" w:eastAsia="Calibri" w:hAnsiTheme="minorHAnsi" w:cstheme="minorHAnsi"/>
                <w:szCs w:val="24"/>
              </w:rPr>
              <w:t>.</w:t>
            </w:r>
          </w:p>
        </w:tc>
      </w:tr>
    </w:tbl>
    <w:p w14:paraId="73076D9D" w14:textId="5D99F4EA" w:rsidR="5800D058" w:rsidRDefault="5800D058" w:rsidP="005A2787">
      <w:pPr>
        <w:pStyle w:val="rdo"/>
        <w:rPr>
          <w:rFonts w:eastAsia="Calibri"/>
        </w:rPr>
      </w:pPr>
      <w:r w:rsidRPr="47E09144">
        <w:rPr>
          <w:rFonts w:eastAsia="Calibri"/>
        </w:rPr>
        <w:t xml:space="preserve"> </w:t>
      </w:r>
      <w:r w:rsidR="0B6D0963" w:rsidRPr="47E09144">
        <w:rPr>
          <w:rFonts w:eastAsia="Calibri"/>
        </w:rPr>
        <w:t>Źródło: Opracowanie własne na podstawie danych zastanych i wywiadów</w:t>
      </w:r>
      <w:r w:rsidR="0013711C">
        <w:rPr>
          <w:rFonts w:eastAsia="Calibri"/>
        </w:rPr>
        <w:t>.</w:t>
      </w:r>
    </w:p>
    <w:p w14:paraId="77D2832A" w14:textId="77777777" w:rsidR="009B1C23" w:rsidRDefault="009B1C23" w:rsidP="47E09144">
      <w:pPr>
        <w:rPr>
          <w:rFonts w:ascii="Calibri" w:eastAsia="Calibri" w:hAnsi="Calibri"/>
          <w:b/>
          <w:bCs/>
        </w:rPr>
        <w:sectPr w:rsidR="009B1C23" w:rsidSect="009B1C23">
          <w:pgSz w:w="16838" w:h="11906" w:orient="landscape"/>
          <w:pgMar w:top="1417" w:right="1417" w:bottom="1417" w:left="1417" w:header="708" w:footer="708" w:gutter="0"/>
          <w:cols w:space="708"/>
          <w:docGrid w:linePitch="360"/>
        </w:sectPr>
      </w:pPr>
    </w:p>
    <w:p w14:paraId="2FE00692" w14:textId="0BB0967D" w:rsidR="00E97827" w:rsidRPr="00CB0037" w:rsidRDefault="00E97827" w:rsidP="002B5EF4">
      <w:r>
        <w:lastRenderedPageBreak/>
        <w:t xml:space="preserve">Analiza uzyskanych informacji pozwala stwierdzić, że </w:t>
      </w:r>
      <w:r w:rsidRPr="00CB0037">
        <w:rPr>
          <w:b/>
          <w:bCs/>
        </w:rPr>
        <w:t xml:space="preserve">w tych konkretnych </w:t>
      </w:r>
      <w:r>
        <w:rPr>
          <w:b/>
          <w:bCs/>
        </w:rPr>
        <w:t>naborach</w:t>
      </w:r>
      <w:r w:rsidRPr="00CB0037">
        <w:rPr>
          <w:b/>
          <w:bCs/>
        </w:rPr>
        <w:t xml:space="preserve"> przyczyny problemów były każdorazowo specyficzne i indywidualne</w:t>
      </w:r>
      <w:r>
        <w:t>. Potwierdzają to także przeprowadzone wywiady</w:t>
      </w:r>
      <w:r w:rsidR="00F810AF">
        <w:t xml:space="preserve"> –</w:t>
      </w:r>
      <w:r>
        <w:t xml:space="preserve"> zarówno z przedstawicielami </w:t>
      </w:r>
      <w:r w:rsidRPr="00182978">
        <w:t>UMWKP oraz i ZIT BydOF zaangażowan</w:t>
      </w:r>
      <w:r>
        <w:t>ymi</w:t>
      </w:r>
      <w:r w:rsidRPr="00182978">
        <w:t xml:space="preserve"> w realizację FEdKP 2021-2027</w:t>
      </w:r>
      <w:r>
        <w:t xml:space="preserve">, jak i wnioskodawcami aplikującymi </w:t>
      </w:r>
      <w:r w:rsidR="00480017">
        <w:t xml:space="preserve">w </w:t>
      </w:r>
      <w:r w:rsidR="006E186B">
        <w:t>wymienionych wyżej naborach</w:t>
      </w:r>
      <w:r>
        <w:t>. W ocenie</w:t>
      </w:r>
      <w:r w:rsidR="006E186B">
        <w:t xml:space="preserve"> rozmówców</w:t>
      </w:r>
      <w:r>
        <w:t xml:space="preserve"> </w:t>
      </w:r>
      <w:r w:rsidRPr="00CB0037">
        <w:rPr>
          <w:b/>
          <w:bCs/>
        </w:rPr>
        <w:t>problemem nie są obowiązujące procedury wyboru projektów niekonkurencyjnych</w:t>
      </w:r>
      <w:r>
        <w:t>. Co więcej, badani zwracali uwagę na mniejsz</w:t>
      </w:r>
      <w:r w:rsidR="00D9154E">
        <w:t>ą</w:t>
      </w:r>
      <w:r>
        <w:t xml:space="preserve"> liczb</w:t>
      </w:r>
      <w:r w:rsidR="00D9154E">
        <w:t>ę</w:t>
      </w:r>
      <w:r w:rsidR="00C6400C">
        <w:t xml:space="preserve"> </w:t>
      </w:r>
      <w:r>
        <w:t>kryteriów wyboru projektów (brak kryteriów premiujących) oraz nieco mniejsz</w:t>
      </w:r>
      <w:r w:rsidR="00D9154E">
        <w:t>ą</w:t>
      </w:r>
      <w:r>
        <w:t xml:space="preserve"> liczb</w:t>
      </w:r>
      <w:r w:rsidR="00D9154E">
        <w:t>ę</w:t>
      </w:r>
      <w:r>
        <w:t xml:space="preserve"> załączników, jakie trzeba przedłożyć wraz z wnioskiem</w:t>
      </w:r>
      <w:r w:rsidR="00B178C2">
        <w:t xml:space="preserve"> o dofinansowanie</w:t>
      </w:r>
      <w:r>
        <w:t xml:space="preserve">. Mimo to, w ramach prowadzonych wywiadów </w:t>
      </w:r>
      <w:r w:rsidRPr="00CB0037">
        <w:rPr>
          <w:b/>
          <w:bCs/>
        </w:rPr>
        <w:t>zidentyfikowano kilka kwestii problemowych, które mają wpływ na skuteczność i efektywność niekonkurencyjn</w:t>
      </w:r>
      <w:r w:rsidR="00B178C2">
        <w:rPr>
          <w:b/>
          <w:bCs/>
        </w:rPr>
        <w:t>ego sposobu wyboru projektów</w:t>
      </w:r>
      <w:r>
        <w:t>.</w:t>
      </w:r>
    </w:p>
    <w:p w14:paraId="55B67222" w14:textId="1C65F707" w:rsidR="00E97827" w:rsidRDefault="00E97827" w:rsidP="00E97827">
      <w:pPr>
        <w:rPr>
          <w:rFonts w:ascii="Calibri" w:eastAsia="Calibri" w:hAnsi="Calibri"/>
        </w:rPr>
      </w:pPr>
      <w:r w:rsidRPr="00CB0037">
        <w:rPr>
          <w:rFonts w:cstheme="minorHAnsi"/>
          <w:b/>
          <w:bCs/>
          <w:color w:val="640B68" w:themeColor="accent3" w:themeShade="BF"/>
        </w:rPr>
        <w:t>Etap identyfikacji projektów</w:t>
      </w:r>
      <w:r>
        <w:rPr>
          <w:rFonts w:cstheme="minorHAnsi"/>
          <w:b/>
          <w:bCs/>
          <w:color w:val="640B68" w:themeColor="accent3" w:themeShade="BF"/>
        </w:rPr>
        <w:t>,</w:t>
      </w:r>
      <w:r w:rsidRPr="00CB0037">
        <w:rPr>
          <w:rFonts w:cstheme="minorHAnsi"/>
          <w:b/>
          <w:bCs/>
          <w:color w:val="640B68" w:themeColor="accent3" w:themeShade="BF"/>
        </w:rPr>
        <w:t xml:space="preserve"> przygotowani</w:t>
      </w:r>
      <w:r>
        <w:rPr>
          <w:rFonts w:cstheme="minorHAnsi"/>
          <w:b/>
          <w:bCs/>
          <w:color w:val="640B68" w:themeColor="accent3" w:themeShade="BF"/>
        </w:rPr>
        <w:t>a</w:t>
      </w:r>
      <w:r w:rsidRPr="00CB0037">
        <w:rPr>
          <w:rFonts w:cstheme="minorHAnsi"/>
          <w:b/>
          <w:bCs/>
          <w:color w:val="640B68" w:themeColor="accent3" w:themeShade="BF"/>
        </w:rPr>
        <w:t xml:space="preserve"> </w:t>
      </w:r>
      <w:r w:rsidR="003E076B">
        <w:rPr>
          <w:rFonts w:cstheme="minorHAnsi"/>
          <w:b/>
          <w:bCs/>
          <w:color w:val="640B68" w:themeColor="accent3" w:themeShade="BF"/>
        </w:rPr>
        <w:t>„</w:t>
      </w:r>
      <w:r w:rsidRPr="00CB0037">
        <w:rPr>
          <w:rFonts w:cstheme="minorHAnsi"/>
          <w:b/>
          <w:bCs/>
          <w:color w:val="640B68" w:themeColor="accent3" w:themeShade="BF"/>
        </w:rPr>
        <w:t>fiszek projektowych</w:t>
      </w:r>
      <w:r w:rsidR="003E076B">
        <w:rPr>
          <w:rFonts w:cstheme="minorHAnsi"/>
          <w:b/>
          <w:bCs/>
          <w:color w:val="640B68" w:themeColor="accent3" w:themeShade="BF"/>
        </w:rPr>
        <w:t>”</w:t>
      </w:r>
      <w:r>
        <w:rPr>
          <w:rFonts w:cstheme="minorHAnsi"/>
          <w:b/>
          <w:bCs/>
          <w:color w:val="640B68" w:themeColor="accent3" w:themeShade="BF"/>
        </w:rPr>
        <w:t xml:space="preserve"> oraz WoD</w:t>
      </w:r>
    </w:p>
    <w:p w14:paraId="5C28427A" w14:textId="6045925E" w:rsidR="00E97827" w:rsidRDefault="00E97827" w:rsidP="002B5EF4">
      <w:r w:rsidRPr="47E09144">
        <w:t xml:space="preserve">Proces identyfikacji projektów w </w:t>
      </w:r>
      <w:r w:rsidR="00603D9E">
        <w:t>ramach</w:t>
      </w:r>
      <w:r w:rsidR="00603D9E" w:rsidRPr="47E09144">
        <w:t xml:space="preserve"> niekonkurencyjn</w:t>
      </w:r>
      <w:r w:rsidR="00603D9E">
        <w:t>ego sposobu wyboru</w:t>
      </w:r>
      <w:r w:rsidRPr="47E09144">
        <w:t xml:space="preserve"> opiera się na </w:t>
      </w:r>
      <w:r>
        <w:t>przygotowaniu</w:t>
      </w:r>
      <w:r w:rsidR="002C3C96">
        <w:t xml:space="preserve"> </w:t>
      </w:r>
      <w:r w:rsidR="00380BED">
        <w:t>f</w:t>
      </w:r>
      <w:r w:rsidR="00380BED" w:rsidRPr="00380BED">
        <w:t>ormularz</w:t>
      </w:r>
      <w:r w:rsidR="00380BED">
        <w:t>y</w:t>
      </w:r>
      <w:r w:rsidR="00380BED" w:rsidRPr="00380BED">
        <w:t xml:space="preserve"> zgłoszeniowy</w:t>
      </w:r>
      <w:r w:rsidR="00380BED">
        <w:t>ch</w:t>
      </w:r>
      <w:r w:rsidR="00380BED" w:rsidRPr="00380BED">
        <w:t xml:space="preserve"> dla propozycji projekt</w:t>
      </w:r>
      <w:r w:rsidR="00380BED">
        <w:t>ów – potocznie zwanych</w:t>
      </w:r>
      <w:r>
        <w:t xml:space="preserve"> </w:t>
      </w:r>
      <w:r w:rsidRPr="47E09144">
        <w:rPr>
          <w:b/>
          <w:bCs/>
        </w:rPr>
        <w:t>fisz</w:t>
      </w:r>
      <w:r w:rsidR="00380BED">
        <w:rPr>
          <w:b/>
          <w:bCs/>
        </w:rPr>
        <w:t xml:space="preserve">kami </w:t>
      </w:r>
      <w:r w:rsidR="00380BED" w:rsidRPr="47E09144">
        <w:rPr>
          <w:b/>
          <w:bCs/>
        </w:rPr>
        <w:t>projektowy</w:t>
      </w:r>
      <w:r w:rsidR="00380BED">
        <w:rPr>
          <w:b/>
          <w:bCs/>
        </w:rPr>
        <w:t>mi</w:t>
      </w:r>
      <w:r w:rsidRPr="47E09144">
        <w:t xml:space="preserve">. </w:t>
      </w:r>
      <w:r>
        <w:t>To one są następnie podstawą do przygotowania wniosków o dofinansowanie.</w:t>
      </w:r>
    </w:p>
    <w:p w14:paraId="063B4FA1" w14:textId="6C8C628B" w:rsidR="0BC7B73B" w:rsidRDefault="65B77938">
      <w:r>
        <w:t xml:space="preserve">Jednym z bardziej wymagających elementów całego procesu jest etap weryfikacji </w:t>
      </w:r>
      <w:r w:rsidR="3EAC7348">
        <w:t xml:space="preserve">tych </w:t>
      </w:r>
      <w:r>
        <w:t>formularzy. Prowadzony jest on zgodnie z Zasadami zgłaszania, przygotowania, realizacji i monitorowania projektów własnych Województwa Kujawsko-Pomorskiego dofinansowanych ze środków Unii Europejskiej w perspektywie finansowej 2021-2027, przyjętych uchwałą nr 11/521/24 Zarządu Województwa Kujawsko-Pomorskiego z dnia 13 marca 2024 r. (dalej: Zasady zgłaszania projektów).</w:t>
      </w:r>
      <w:r w:rsidR="1856CBB9">
        <w:t xml:space="preserve"> </w:t>
      </w:r>
      <w:r w:rsidR="0BC7B73B">
        <w:t xml:space="preserve">Proces weryfikacji </w:t>
      </w:r>
      <w:r w:rsidR="31C54381">
        <w:t>f</w:t>
      </w:r>
      <w:r w:rsidR="0BC7B73B">
        <w:t xml:space="preserve">ormularzy zgłoszeniowych jest dosyć złożony, wymaga ścisłej współpracy i zaangażowania zarówno jednostek realizujących projekt, departamentów sprawujących nadzór merytoryczny nad nimi, jak i </w:t>
      </w:r>
      <w:r w:rsidR="00CC46D3" w:rsidRPr="00CC46D3">
        <w:t>DKPUiI</w:t>
      </w:r>
      <w:r w:rsidR="0BC7B73B">
        <w:t xml:space="preserve">. Jednocześnie zapisy formularza zgłoszeniowego wymagają konsultacji z Członkami Zarządu oraz Departamentem Finansów (w tym Skarbnikiem Województwa). </w:t>
      </w:r>
      <w:r w:rsidR="00CC46D3">
        <w:t xml:space="preserve">Weryfikacja Formularzy zgłoszeniowych ma na celu </w:t>
      </w:r>
      <w:r w:rsidR="00CC46D3" w:rsidRPr="00054992">
        <w:t>wstępne sprawdzenie propozycji projektowej pod kątem możliwości uzyskania dofinansowania</w:t>
      </w:r>
      <w:r w:rsidR="00CC46D3">
        <w:t xml:space="preserve"> ze środków unijnych</w:t>
      </w:r>
      <w:r w:rsidR="00CC46D3" w:rsidRPr="00054992">
        <w:t xml:space="preserve">. </w:t>
      </w:r>
      <w:r w:rsidR="00CC46D3" w:rsidRPr="007E3A6A">
        <w:t>Należy jednak podkreślić, że nie stanowi ona właściwego etapu oceny projektu, dlatego nie pozwala na wykrycie wszystkich potencjalnych nieprawidłowości.</w:t>
      </w:r>
      <w:r w:rsidR="00CC46D3">
        <w:t xml:space="preserve"> </w:t>
      </w:r>
      <w:r w:rsidR="00CC46D3" w:rsidRPr="00054992">
        <w:t xml:space="preserve">Pomimo występujących trudności, </w:t>
      </w:r>
      <w:r w:rsidR="00CC46D3" w:rsidRPr="00077CA0">
        <w:rPr>
          <w:b/>
        </w:rPr>
        <w:t>proces weryfikacji prowadzony jest zgodnie z przyjętymi zasadami i uznawany za istotny element całego przebiegu procedury</w:t>
      </w:r>
      <w:r w:rsidR="00CC46D3" w:rsidRPr="00054992">
        <w:t>.</w:t>
      </w:r>
    </w:p>
    <w:p w14:paraId="6FAB2AFD" w14:textId="78EF9599" w:rsidR="00B24F42" w:rsidRDefault="00CC46D3">
      <w:r w:rsidRPr="00CC46D3">
        <w:t>DKPUiI</w:t>
      </w:r>
      <w:r>
        <w:t xml:space="preserve"> </w:t>
      </w:r>
      <w:r w:rsidR="00E97827" w:rsidRPr="47E09144">
        <w:t xml:space="preserve">pełni </w:t>
      </w:r>
      <w:r w:rsidR="00E726F3">
        <w:t xml:space="preserve">zatem </w:t>
      </w:r>
      <w:r w:rsidR="00E97827" w:rsidRPr="47E09144">
        <w:t xml:space="preserve">w </w:t>
      </w:r>
      <w:r w:rsidR="00E97827">
        <w:t>tym procesie</w:t>
      </w:r>
      <w:r w:rsidR="00E97827" w:rsidRPr="47E09144">
        <w:t xml:space="preserve"> </w:t>
      </w:r>
      <w:r w:rsidR="00E97827">
        <w:t xml:space="preserve">kluczową </w:t>
      </w:r>
      <w:r w:rsidR="00E97827" w:rsidRPr="47E09144">
        <w:t>rolę doradczą i koordynacyjną</w:t>
      </w:r>
      <w:r w:rsidR="00E97827">
        <w:t xml:space="preserve"> -</w:t>
      </w:r>
      <w:r w:rsidR="00E97827" w:rsidRPr="47E09144">
        <w:t xml:space="preserve"> pomaga dopasować pomysł do możliwości finansowania, sugeruj</w:t>
      </w:r>
      <w:r w:rsidR="00E97827">
        <w:t>e</w:t>
      </w:r>
      <w:r w:rsidR="00E97827" w:rsidRPr="47E09144">
        <w:t xml:space="preserve"> zmiany oraz </w:t>
      </w:r>
      <w:r w:rsidR="00E97827">
        <w:t xml:space="preserve">stara się </w:t>
      </w:r>
      <w:r w:rsidR="00E97827" w:rsidRPr="47E09144">
        <w:t>konsult</w:t>
      </w:r>
      <w:r w:rsidR="00E97827">
        <w:t>ować</w:t>
      </w:r>
      <w:r w:rsidR="00E97827" w:rsidRPr="47E09144">
        <w:t xml:space="preserve"> kwestie merytoryczne z innymi komórkami</w:t>
      </w:r>
      <w:r w:rsidR="00E97827">
        <w:t xml:space="preserve"> organizacyjnymi w UMWKP</w:t>
      </w:r>
      <w:r w:rsidR="00E97827" w:rsidRPr="47E09144">
        <w:t xml:space="preserve">. W założeniu miało to pozwalać na wczesne rozpoznanie ryzyk związanych z konkretnym pomysłem projektu, doprecyzowanie wskaźników, dopasowanie zakresu </w:t>
      </w:r>
      <w:r w:rsidR="00E97827" w:rsidRPr="47E09144">
        <w:lastRenderedPageBreak/>
        <w:t>projektu do założeń Programu, a w dalszej konsekwencji – do kryteriów</w:t>
      </w:r>
      <w:r w:rsidR="00F84AB8">
        <w:t xml:space="preserve"> wyboru</w:t>
      </w:r>
      <w:r w:rsidR="00E97827" w:rsidRPr="47E09144">
        <w:t xml:space="preserve">. </w:t>
      </w:r>
      <w:r w:rsidR="1C298116" w:rsidDel="0030277D">
        <w:t>Należy podkreślić, że weryfikacja fiszek projektowych oraz WoD nie stanowi właściwego etapu oceny i nie pozwala na wykrycie wszystkich ewentualnych nieprawidłowości. Przykładem może być problem, jaki wystąpił w projek</w:t>
      </w:r>
      <w:r w:rsidR="00C32D75">
        <w:t>cie</w:t>
      </w:r>
      <w:r w:rsidR="1C298116" w:rsidDel="0030277D">
        <w:t xml:space="preserve"> z naboru FEKP.06.09-IZ.00-132/24. Pracownicy Departamentu Koordynacji Projektów Unijnych i Inwestycji ocenili gotowość techniczną projektu do realizacji na podstawie oświadczenia jednostki zawartego w fiszce projektowej. Na tym etapie możliwe jest jedynie dopytywanie oraz sygnalizowanie potencjalnych problemów. Należy zauważyć, że szczegółowa analiza pełnej dokumentacji prawdopodobnie znacznie wydłużyłaby proces weryfikacji propozycji projektu i wymagałaby zaangażowania większej liczby pracowników. Ten etap ma charakter wstępny i informacyjny – jego celem jest przede wszystkim wczesne wykrywanie ryzyk, a nie pełna ocena projektu.</w:t>
      </w:r>
    </w:p>
    <w:p w14:paraId="6BB23A4B" w14:textId="6817908D" w:rsidR="00FB3839" w:rsidRDefault="00BE67E2" w:rsidP="002B5EF4">
      <w:r>
        <w:t xml:space="preserve">Jak już wspomniano, </w:t>
      </w:r>
      <w:r w:rsidRPr="00077CA0">
        <w:rPr>
          <w:b/>
          <w:bCs/>
        </w:rPr>
        <w:t xml:space="preserve">proces </w:t>
      </w:r>
      <w:r w:rsidR="00F60905" w:rsidRPr="00077CA0">
        <w:rPr>
          <w:b/>
          <w:bCs/>
        </w:rPr>
        <w:t xml:space="preserve">przygotowania i </w:t>
      </w:r>
      <w:r w:rsidRPr="00077CA0">
        <w:rPr>
          <w:b/>
          <w:bCs/>
        </w:rPr>
        <w:t>weryfikowania fiszek projektowych</w:t>
      </w:r>
      <w:r w:rsidR="00167E9F" w:rsidRPr="00077CA0">
        <w:rPr>
          <w:b/>
          <w:bCs/>
        </w:rPr>
        <w:t xml:space="preserve"> wymaga</w:t>
      </w:r>
      <w:r w:rsidRPr="00077CA0">
        <w:rPr>
          <w:b/>
          <w:bCs/>
        </w:rPr>
        <w:t xml:space="preserve"> </w:t>
      </w:r>
      <w:r w:rsidR="00167E9F" w:rsidRPr="00077CA0">
        <w:rPr>
          <w:b/>
          <w:bCs/>
        </w:rPr>
        <w:t>ścisłej współpracy i zaangażowania</w:t>
      </w:r>
      <w:r w:rsidR="00167E9F">
        <w:t xml:space="preserve"> zarówno jednostek realizujących projekt, departamentów sprawujących nadzór merytoryczny nad nimi</w:t>
      </w:r>
      <w:r w:rsidR="00BF152B">
        <w:rPr>
          <w:rStyle w:val="Odwoanieprzypisudolnego"/>
        </w:rPr>
        <w:footnoteReference w:id="43"/>
      </w:r>
      <w:r w:rsidR="00167E9F">
        <w:t xml:space="preserve">, jak i </w:t>
      </w:r>
      <w:r w:rsidR="00167E9F" w:rsidRPr="00CC46D3">
        <w:t>DKPUiI</w:t>
      </w:r>
      <w:r w:rsidR="00604A2D">
        <w:t xml:space="preserve">. Zgodnie z Zasadami zgłaszania projektów, </w:t>
      </w:r>
      <w:r w:rsidR="00355419">
        <w:t>f</w:t>
      </w:r>
      <w:r w:rsidR="00355419" w:rsidRPr="00355419">
        <w:t>ormularze zgłoszeniowe: wojewódzkich jednostek nieposiadających osobowości prawnej, wojewódzkich osób prawnych lub spółek prawa handlowego z większościowym udziałem WK-P składane są za pośrednictwem departamentu merytorycznego sprawującego nadzór nad tymi jednostkami. Oznacza to, że departament merytoryczny przygotowuje własne propozycje i/lub zbiera ww. propozycje przygotowane przez nadzorowane jednostki.</w:t>
      </w:r>
      <w:r w:rsidR="00355419">
        <w:t xml:space="preserve"> </w:t>
      </w:r>
      <w:r w:rsidR="002512BE">
        <w:t xml:space="preserve">W ramach badania zidentyfikowano </w:t>
      </w:r>
      <w:r w:rsidR="00744597" w:rsidRPr="00077CA0">
        <w:rPr>
          <w:b/>
          <w:bCs/>
        </w:rPr>
        <w:t>problem wynikający z niedostatecznego zaangażowania</w:t>
      </w:r>
      <w:r w:rsidR="00744597">
        <w:rPr>
          <w:b/>
        </w:rPr>
        <w:t xml:space="preserve"> </w:t>
      </w:r>
      <w:r w:rsidR="007637A0">
        <w:rPr>
          <w:b/>
          <w:bCs/>
        </w:rPr>
        <w:t>pracowników</w:t>
      </w:r>
      <w:r w:rsidR="00744597" w:rsidRPr="00077CA0">
        <w:rPr>
          <w:b/>
          <w:bCs/>
        </w:rPr>
        <w:t xml:space="preserve"> departamentów merytorycznych w proces weryfikowania, konsultowania</w:t>
      </w:r>
      <w:r w:rsidR="00355419" w:rsidRPr="00077CA0">
        <w:rPr>
          <w:b/>
          <w:bCs/>
        </w:rPr>
        <w:t xml:space="preserve"> </w:t>
      </w:r>
      <w:r w:rsidR="00744597" w:rsidRPr="00077CA0">
        <w:rPr>
          <w:b/>
          <w:bCs/>
        </w:rPr>
        <w:t>fiszek projektowych przygotowywanych przez jednostki podległe tym departamentom</w:t>
      </w:r>
      <w:r w:rsidR="00744597">
        <w:t xml:space="preserve">. Należy podkreślić, że takie wsparcie znacznie </w:t>
      </w:r>
      <w:r w:rsidR="008D509E">
        <w:t xml:space="preserve">usprawnia </w:t>
      </w:r>
      <w:r w:rsidR="00744597">
        <w:t xml:space="preserve">proces </w:t>
      </w:r>
      <w:r w:rsidR="00D963CB">
        <w:t>weryfikacji i przygotowania ostatecznych wersji fiszek.</w:t>
      </w:r>
    </w:p>
    <w:p w14:paraId="7C26F245" w14:textId="1901568E" w:rsidR="00E97827" w:rsidRDefault="00E97827" w:rsidP="002B5EF4">
      <w:r w:rsidRPr="00CB0037">
        <w:rPr>
          <w:b/>
          <w:bCs/>
        </w:rPr>
        <w:t xml:space="preserve">Skuteczność tego etapu zależy także od potencjału </w:t>
      </w:r>
      <w:r w:rsidR="0012382F">
        <w:rPr>
          <w:b/>
          <w:bCs/>
        </w:rPr>
        <w:t xml:space="preserve">samych </w:t>
      </w:r>
      <w:r w:rsidRPr="00CB0037">
        <w:rPr>
          <w:b/>
          <w:bCs/>
        </w:rPr>
        <w:t>wnioskodawców</w:t>
      </w:r>
      <w:r>
        <w:t xml:space="preserve">. </w:t>
      </w:r>
      <w:r w:rsidRPr="47E09144">
        <w:t xml:space="preserve">Brak </w:t>
      </w:r>
      <w:r>
        <w:t>doświadczenia</w:t>
      </w:r>
      <w:r w:rsidRPr="47E09144">
        <w:t xml:space="preserve"> kadrowego i organizacyjnego</w:t>
      </w:r>
      <w:r>
        <w:t xml:space="preserve"> (np. wynikającego z </w:t>
      </w:r>
      <w:r w:rsidR="00D52816">
        <w:t xml:space="preserve">braku </w:t>
      </w:r>
      <w:r>
        <w:t>realizacji projektów</w:t>
      </w:r>
      <w:r w:rsidR="00BF7CE2">
        <w:t xml:space="preserve"> pozakonkursowych</w:t>
      </w:r>
      <w:r>
        <w:t xml:space="preserve"> w ramach </w:t>
      </w:r>
      <w:r w:rsidR="004A08C7">
        <w:t>RPO WK-P</w:t>
      </w:r>
      <w:r>
        <w:t xml:space="preserve"> 2014-2020)</w:t>
      </w:r>
      <w:r w:rsidRPr="47E09144">
        <w:t xml:space="preserve"> u części </w:t>
      </w:r>
      <w:r>
        <w:t>wnioskodawców miał przełożenie na skalę uwag i poprawek w opiniowanych fiszkach, a następnie na jakość przygotowanych wniosków</w:t>
      </w:r>
      <w:r w:rsidRPr="47E09144">
        <w:t xml:space="preserve">. </w:t>
      </w:r>
    </w:p>
    <w:p w14:paraId="48DC3D88" w14:textId="39BFD537" w:rsidR="00E97827" w:rsidRPr="00173B32" w:rsidRDefault="00E97827" w:rsidP="00E97827">
      <w:pPr>
        <w:rPr>
          <w:rFonts w:cstheme="minorBidi"/>
          <w:b/>
          <w:color w:val="640B68" w:themeColor="accent3" w:themeShade="BF"/>
        </w:rPr>
      </w:pPr>
      <w:r w:rsidRPr="00173B32">
        <w:rPr>
          <w:rFonts w:cstheme="minorBidi"/>
          <w:b/>
          <w:color w:val="640B68" w:themeColor="accent3" w:themeShade="BF"/>
        </w:rPr>
        <w:t xml:space="preserve">Etap przygotowania i składania </w:t>
      </w:r>
      <w:r w:rsidR="32E1A837" w:rsidRPr="00173B32">
        <w:rPr>
          <w:rFonts w:cstheme="minorBidi"/>
          <w:b/>
          <w:color w:val="640B68" w:themeColor="accent3" w:themeShade="BF"/>
        </w:rPr>
        <w:t>wniosków</w:t>
      </w:r>
      <w:r w:rsidR="16BFCC98" w:rsidRPr="00173B32">
        <w:rPr>
          <w:rFonts w:cstheme="minorBidi"/>
          <w:b/>
          <w:color w:val="640B68" w:themeColor="accent3" w:themeShade="BF"/>
        </w:rPr>
        <w:t xml:space="preserve"> </w:t>
      </w:r>
    </w:p>
    <w:p w14:paraId="3DA57A4F" w14:textId="5CAB00AB" w:rsidR="007A5E59" w:rsidRDefault="00A4548D" w:rsidP="007A5E59">
      <w:r>
        <w:t xml:space="preserve">Kolejny etap to przygotowanie </w:t>
      </w:r>
      <w:r w:rsidR="00092904">
        <w:t xml:space="preserve">i złożenie wniosków o dofinansowanie w ogłaszanych naborach. </w:t>
      </w:r>
      <w:r w:rsidR="00E811EE">
        <w:t xml:space="preserve">Kluczowy w tym zakresie jest </w:t>
      </w:r>
      <w:r w:rsidR="00E811EE" w:rsidRPr="00077CA0">
        <w:rPr>
          <w:b/>
          <w:bCs/>
        </w:rPr>
        <w:t>termin naboru (czas jego trwania)</w:t>
      </w:r>
      <w:r w:rsidR="00E811EE">
        <w:t xml:space="preserve">. </w:t>
      </w:r>
      <w:r w:rsidR="00E811EE" w:rsidRPr="00E811EE">
        <w:t xml:space="preserve">Instrukcja wykonawcza </w:t>
      </w:r>
      <w:r w:rsidR="00A40A6D">
        <w:t>IZ FEdKP</w:t>
      </w:r>
      <w:r w:rsidR="00E811EE" w:rsidRPr="00E811EE">
        <w:t xml:space="preserve"> 2021-2027 przewiduje minimalny czas trwania naboru wynoszący jedynie 10 dni</w:t>
      </w:r>
      <w:r w:rsidR="00E811EE">
        <w:t>.</w:t>
      </w:r>
      <w:r w:rsidR="00530BB3">
        <w:t xml:space="preserve"> W praktyce czas trwania naborów </w:t>
      </w:r>
      <w:r w:rsidR="00594CBC">
        <w:t xml:space="preserve">dotyczących niekonkurencyjnego sposobu wyboru był dłuższy. Analiza danych dla wszystkich 64 </w:t>
      </w:r>
      <w:r w:rsidR="00594CBC">
        <w:lastRenderedPageBreak/>
        <w:t>takich naborów</w:t>
      </w:r>
      <w:r w:rsidR="00E811EE">
        <w:t xml:space="preserve"> </w:t>
      </w:r>
      <w:r w:rsidR="00594CBC">
        <w:t>zakończonych do 31.03.2025r. wskazuje</w:t>
      </w:r>
      <w:r w:rsidR="00095093">
        <w:t xml:space="preserve">, że średnio takie nabory trwały </w:t>
      </w:r>
      <w:r w:rsidR="002A3C7E">
        <w:t xml:space="preserve">w praktyce </w:t>
      </w:r>
      <w:r w:rsidR="00095093">
        <w:t>41 dni</w:t>
      </w:r>
      <w:r w:rsidR="000B1C64">
        <w:t xml:space="preserve"> (</w:t>
      </w:r>
      <w:r w:rsidR="00DD0B1D">
        <w:t>19 naborów trwało do 30 dni</w:t>
      </w:r>
      <w:r w:rsidR="00131D89">
        <w:t xml:space="preserve">, </w:t>
      </w:r>
      <w:r w:rsidR="000B1C64">
        <w:t>a 5 naborów powyżej 100 dni). Analizując zaś dane tylko dla 6 naborów</w:t>
      </w:r>
      <w:r w:rsidR="00384E46">
        <w:t xml:space="preserve"> objętych </w:t>
      </w:r>
      <w:r w:rsidR="00033AE0">
        <w:t>przedmiotowym</w:t>
      </w:r>
      <w:r w:rsidR="00384E46">
        <w:t xml:space="preserve"> badaniem można stwierdzić, że </w:t>
      </w:r>
      <w:r w:rsidR="00033AE0">
        <w:t>5 z nich trwało od 20 do 43 dni, a 1 nabór trwał aż 151 dni</w:t>
      </w:r>
      <w:r w:rsidR="002A3C7E">
        <w:rPr>
          <w:rStyle w:val="Odwoanieprzypisudolnego"/>
        </w:rPr>
        <w:footnoteReference w:id="44"/>
      </w:r>
      <w:r w:rsidR="00033AE0">
        <w:t xml:space="preserve">. </w:t>
      </w:r>
      <w:r w:rsidR="00CD54AC">
        <w:t xml:space="preserve">Z jednej strony badani wnioskodawcy zwracali uwagę, że w praktyce czas trwania naborów jest często zbyt krótki na to, by przygotować wniosek o dofinansowanie </w:t>
      </w:r>
      <w:r w:rsidR="00DD292F">
        <w:t>projektu</w:t>
      </w:r>
      <w:r w:rsidR="00897FB6">
        <w:t xml:space="preserve"> zgodny ze wszystkimi wymogami naboru. </w:t>
      </w:r>
      <w:r w:rsidR="005C10B9">
        <w:t>Z drugiej jednak strony</w:t>
      </w:r>
      <w:r w:rsidR="00D769FA">
        <w:t xml:space="preserve">, przeprowadzone wywiady z </w:t>
      </w:r>
      <w:r w:rsidR="00190918">
        <w:t>przedstawicielami UMWKP zaangażowanymi we wdrażanie FEdKP</w:t>
      </w:r>
      <w:r w:rsidR="005C10B9">
        <w:t xml:space="preserve"> </w:t>
      </w:r>
      <w:r w:rsidR="00190918">
        <w:t xml:space="preserve">oraz </w:t>
      </w:r>
      <w:r w:rsidR="001035E9">
        <w:t>późniejszy</w:t>
      </w:r>
      <w:r w:rsidR="00190918">
        <w:t xml:space="preserve"> warsztat ewaluacyjny dostarczyły </w:t>
      </w:r>
      <w:r w:rsidR="001035E9">
        <w:t>informacji wskazujący</w:t>
      </w:r>
      <w:r w:rsidR="00100DF6">
        <w:t>ch</w:t>
      </w:r>
      <w:r w:rsidR="001035E9">
        <w:t xml:space="preserve"> na to, że w rzeczywistości </w:t>
      </w:r>
      <w:r w:rsidR="001035E9" w:rsidRPr="001035E9">
        <w:t>długość naborów jest traktowana dość elastycznie</w:t>
      </w:r>
      <w:r w:rsidR="001035E9">
        <w:t xml:space="preserve"> i</w:t>
      </w:r>
      <w:r w:rsidR="001035E9" w:rsidRPr="001035E9">
        <w:t xml:space="preserve"> dostosowywana </w:t>
      </w:r>
      <w:r w:rsidR="001035E9">
        <w:t xml:space="preserve">- </w:t>
      </w:r>
      <w:r w:rsidR="001035E9" w:rsidRPr="001035E9">
        <w:t xml:space="preserve">w miarę możliwości </w:t>
      </w:r>
      <w:r w:rsidR="001035E9">
        <w:t xml:space="preserve">- </w:t>
      </w:r>
      <w:r w:rsidR="001035E9" w:rsidRPr="001035E9">
        <w:t>do postulatów wnioskodawców</w:t>
      </w:r>
      <w:r w:rsidR="001035E9">
        <w:t>.</w:t>
      </w:r>
      <w:r w:rsidR="00002233">
        <w:t xml:space="preserve"> W zgodnej ocenie tej grupy badanych,</w:t>
      </w:r>
      <w:r w:rsidR="007A5E59">
        <w:t xml:space="preserve"> moment ogłoszenia i</w:t>
      </w:r>
      <w:r w:rsidR="00002233">
        <w:t xml:space="preserve"> </w:t>
      </w:r>
      <w:r w:rsidR="00541489">
        <w:t>długość</w:t>
      </w:r>
      <w:r w:rsidR="00002233">
        <w:t xml:space="preserve"> naborów ustalana jest </w:t>
      </w:r>
      <w:r w:rsidR="00541489">
        <w:t>osobno dla każdego nabor</w:t>
      </w:r>
      <w:r w:rsidR="007A5E59">
        <w:t>u</w:t>
      </w:r>
      <w:r w:rsidR="00137BC0">
        <w:t xml:space="preserve"> – w procesie tym bierze udział także DKPUiI</w:t>
      </w:r>
      <w:r w:rsidR="007A5E59">
        <w:t>. Co więcej, c</w:t>
      </w:r>
      <w:r w:rsidR="007A5E59" w:rsidRPr="007A5E59">
        <w:t xml:space="preserve">zas </w:t>
      </w:r>
      <w:r w:rsidR="007A5E59">
        <w:t>trwania</w:t>
      </w:r>
      <w:r w:rsidR="007A5E59" w:rsidRPr="007A5E59">
        <w:t xml:space="preserve"> jest też często wydłużany zgodnie ze składanymi wnioskami</w:t>
      </w:r>
      <w:r w:rsidR="00D10DDB">
        <w:t xml:space="preserve"> wnioskodawców</w:t>
      </w:r>
      <w:r w:rsidR="007A5E59" w:rsidRPr="007A5E59">
        <w:t xml:space="preserve">. </w:t>
      </w:r>
      <w:r w:rsidR="00D10DDB">
        <w:t>Każdy</w:t>
      </w:r>
      <w:r w:rsidR="007A5E59" w:rsidRPr="007A5E59">
        <w:t xml:space="preserve"> wnioskodawca może złożyć prośbę o wydłużenie naboru do DW</w:t>
      </w:r>
      <w:r w:rsidR="00D10DDB">
        <w:t xml:space="preserve"> </w:t>
      </w:r>
      <w:r w:rsidR="007A5E59" w:rsidRPr="007A5E59">
        <w:t>FEdKP, który kieruję prośbę o rekomendację / opinię do DZ</w:t>
      </w:r>
      <w:r w:rsidR="00D10DDB">
        <w:t xml:space="preserve"> </w:t>
      </w:r>
      <w:r w:rsidR="007A5E59" w:rsidRPr="007A5E59">
        <w:t>FEdKP. Natomiast DZ</w:t>
      </w:r>
      <w:r w:rsidR="00D10DDB">
        <w:t xml:space="preserve"> </w:t>
      </w:r>
      <w:r w:rsidR="007A5E59" w:rsidRPr="007A5E59">
        <w:t>FEdKP po konsultacji z DKPUiI wydaje</w:t>
      </w:r>
      <w:r w:rsidR="00D10DDB">
        <w:t xml:space="preserve"> ostateczną</w:t>
      </w:r>
      <w:r w:rsidR="007A5E59" w:rsidRPr="007A5E59">
        <w:t xml:space="preserve"> opinię w tym zakresie.</w:t>
      </w:r>
      <w:r w:rsidR="0050329C">
        <w:t xml:space="preserve"> </w:t>
      </w:r>
      <w:r w:rsidR="00CB2196">
        <w:t xml:space="preserve">Takie </w:t>
      </w:r>
      <w:r w:rsidR="00CB2196" w:rsidRPr="00077CA0">
        <w:rPr>
          <w:b/>
          <w:bCs/>
        </w:rPr>
        <w:t>el</w:t>
      </w:r>
      <w:r w:rsidR="00245540" w:rsidRPr="00077CA0">
        <w:rPr>
          <w:b/>
          <w:bCs/>
        </w:rPr>
        <w:t>a</w:t>
      </w:r>
      <w:r w:rsidR="00CB2196" w:rsidRPr="00077CA0">
        <w:rPr>
          <w:b/>
          <w:bCs/>
        </w:rPr>
        <w:t>styczne podejście do czasu trwania naborów dotycz</w:t>
      </w:r>
      <w:r w:rsidR="00245540" w:rsidRPr="00077CA0">
        <w:rPr>
          <w:b/>
          <w:bCs/>
        </w:rPr>
        <w:t xml:space="preserve">ących niekonkurencyjnego sposobu wyboru projektów </w:t>
      </w:r>
      <w:r w:rsidR="00715825" w:rsidRPr="00077CA0">
        <w:rPr>
          <w:b/>
          <w:bCs/>
        </w:rPr>
        <w:t>należy uznać za dobrą praktykę</w:t>
      </w:r>
      <w:r w:rsidR="00715825">
        <w:t>.</w:t>
      </w:r>
      <w:r w:rsidR="00237028">
        <w:t xml:space="preserve"> </w:t>
      </w:r>
    </w:p>
    <w:p w14:paraId="6A90E5EB" w14:textId="77777777" w:rsidR="00C417BE" w:rsidRDefault="00EB1501" w:rsidP="00C417BE">
      <w:r>
        <w:t>Zgodnie z Zasadami zgłaszania projektów</w:t>
      </w:r>
      <w:r w:rsidR="009334C0">
        <w:t>, w</w:t>
      </w:r>
      <w:r w:rsidR="009334C0" w:rsidRPr="009334C0">
        <w:t xml:space="preserve"> terminie co najmniej na 2 tygodnie przed formalnym złożeniem wniosku o dofinansowanie projektu do właściwej instytucji, potencjalny </w:t>
      </w:r>
      <w:r w:rsidR="009334C0">
        <w:t>wnioskodawca</w:t>
      </w:r>
      <w:r w:rsidR="009334C0" w:rsidRPr="009334C0">
        <w:t xml:space="preserve"> projektu własnego WK-P powinien zwrócić się do </w:t>
      </w:r>
      <w:r w:rsidR="00564C72" w:rsidRPr="00CC46D3">
        <w:t>DKPUiI</w:t>
      </w:r>
      <w:r w:rsidR="009334C0" w:rsidRPr="009334C0">
        <w:t xml:space="preserve"> o przeprowadzenie uzgodnień w zakresie poprawności wypełnienia wniosku o dofinansowanie projektu. Uzgodnienie takie </w:t>
      </w:r>
      <w:r w:rsidR="00564C72">
        <w:t>obejmuje</w:t>
      </w:r>
      <w:r w:rsidR="009334C0" w:rsidRPr="009334C0">
        <w:t xml:space="preserve"> sprawdzenie zgodności zapisów wniosku z założeniami projektu określonymi w Formularzu zgłoszeniowym</w:t>
      </w:r>
      <w:r w:rsidR="00C417BE">
        <w:t xml:space="preserve"> </w:t>
      </w:r>
      <w:r w:rsidR="009334C0" w:rsidRPr="009334C0">
        <w:t xml:space="preserve">w następującym zakresie: </w:t>
      </w:r>
    </w:p>
    <w:p w14:paraId="164674A8" w14:textId="77777777" w:rsidR="00C417BE" w:rsidRDefault="009334C0" w:rsidP="00077CA0">
      <w:pPr>
        <w:pStyle w:val="Akapitzlist"/>
        <w:numPr>
          <w:ilvl w:val="0"/>
          <w:numId w:val="54"/>
        </w:numPr>
      </w:pPr>
      <w:r w:rsidRPr="009334C0">
        <w:t xml:space="preserve">Czy nazwa wnioskodawcy i partnerów projektu (jeśli dotyczy) jest zgodna z nazwą podmiotu zgłaszającego/partnerów wskazaną w Formularzu zgłoszeniowym? </w:t>
      </w:r>
    </w:p>
    <w:p w14:paraId="3CD78B65" w14:textId="77777777" w:rsidR="00C417BE" w:rsidRDefault="009334C0" w:rsidP="00077CA0">
      <w:pPr>
        <w:pStyle w:val="Akapitzlist"/>
        <w:numPr>
          <w:ilvl w:val="0"/>
          <w:numId w:val="54"/>
        </w:numPr>
      </w:pPr>
      <w:r w:rsidRPr="009334C0">
        <w:t xml:space="preserve">Czy tytuł projektu we wniosku o dofinansowanie jest zgodny z tytułem wskazanym w Formularzu zgłoszeniowym? </w:t>
      </w:r>
    </w:p>
    <w:p w14:paraId="798FDB9A" w14:textId="77777777" w:rsidR="00C417BE" w:rsidRDefault="009334C0" w:rsidP="00077CA0">
      <w:pPr>
        <w:pStyle w:val="Akapitzlist"/>
        <w:numPr>
          <w:ilvl w:val="0"/>
          <w:numId w:val="54"/>
        </w:numPr>
      </w:pPr>
      <w:r w:rsidRPr="009334C0">
        <w:t xml:space="preserve">Czy montaż finansowy we wniosku o dofinansowanie projektu jest zgodny z montażem wskazanym w Formularzu zgłoszeniowym? </w:t>
      </w:r>
    </w:p>
    <w:p w14:paraId="1C5B51D6" w14:textId="77777777" w:rsidR="00C417BE" w:rsidRDefault="009334C0" w:rsidP="00077CA0">
      <w:pPr>
        <w:pStyle w:val="Akapitzlist"/>
        <w:numPr>
          <w:ilvl w:val="0"/>
          <w:numId w:val="54"/>
        </w:numPr>
      </w:pPr>
      <w:r w:rsidRPr="009334C0">
        <w:t xml:space="preserve">Czy wskaźniki realizacji celów projektu we wniosku o dofinansowanie projektu są zgodne ze wskazanymi w Formularzu zgłoszeniowym? </w:t>
      </w:r>
    </w:p>
    <w:p w14:paraId="5694CA35" w14:textId="3E2441D5" w:rsidR="008E5E6D" w:rsidRDefault="009334C0" w:rsidP="00C417BE">
      <w:r w:rsidRPr="009334C0">
        <w:t>Uzgodnieni</w:t>
      </w:r>
      <w:r w:rsidR="00C417BE">
        <w:t>a</w:t>
      </w:r>
      <w:r w:rsidRPr="009334C0">
        <w:t xml:space="preserve"> mo</w:t>
      </w:r>
      <w:r w:rsidR="00C417BE">
        <w:t>gą</w:t>
      </w:r>
      <w:r w:rsidRPr="009334C0">
        <w:t xml:space="preserve"> dotyczyć również prawidłowości zapisów innych części dokumentacji projektowej.</w:t>
      </w:r>
      <w:r w:rsidR="00EB1501" w:rsidDel="009D14D2">
        <w:t xml:space="preserve"> </w:t>
      </w:r>
    </w:p>
    <w:p w14:paraId="322FD558" w14:textId="179B0C4C" w:rsidR="00DB243F" w:rsidRDefault="003175E1" w:rsidP="00E97827">
      <w:pPr>
        <w:rPr>
          <w:rFonts w:cstheme="minorBidi"/>
        </w:rPr>
      </w:pPr>
      <w:r>
        <w:lastRenderedPageBreak/>
        <w:t xml:space="preserve">Takie </w:t>
      </w:r>
      <w:r w:rsidRPr="00077CA0">
        <w:rPr>
          <w:b/>
          <w:bCs/>
        </w:rPr>
        <w:t>rozwiązanie</w:t>
      </w:r>
      <w:r w:rsidR="008F799F" w:rsidRPr="00077CA0">
        <w:rPr>
          <w:b/>
          <w:bCs/>
        </w:rPr>
        <w:t xml:space="preserve">, </w:t>
      </w:r>
      <w:r w:rsidR="001627A8" w:rsidRPr="00B7052B">
        <w:rPr>
          <w:b/>
          <w:bCs/>
        </w:rPr>
        <w:t>polegające na weryfikacji przygotowanego wniosku o dofinansowanie projektu przed jego formalnym złożeniem przez wnioskodawcę w systemie informatycznym, należy ocenić pozytywnie</w:t>
      </w:r>
      <w:r w:rsidR="00E97827" w:rsidRPr="5D655FAF">
        <w:rPr>
          <w:rFonts w:cstheme="minorBidi"/>
        </w:rPr>
        <w:t xml:space="preserve">. Weryfikacja ta jest "krótka/ bardziej ogólna" i nie jest tak szczegółowa jak </w:t>
      </w:r>
      <w:r w:rsidR="001627A8">
        <w:rPr>
          <w:rFonts w:cstheme="minorBidi"/>
        </w:rPr>
        <w:t xml:space="preserve">późniejsza (właściwa już) </w:t>
      </w:r>
      <w:r w:rsidR="00E97827" w:rsidRPr="5D655FAF">
        <w:rPr>
          <w:rFonts w:cstheme="minorBidi"/>
        </w:rPr>
        <w:t xml:space="preserve">ocena dokonywana przez odpowiedni departament wdrażający. Celem </w:t>
      </w:r>
      <w:r w:rsidR="001627A8">
        <w:rPr>
          <w:rFonts w:cstheme="minorBidi"/>
        </w:rPr>
        <w:t>tej weryfikacji</w:t>
      </w:r>
      <w:r w:rsidR="00E97827" w:rsidRPr="5D655FAF">
        <w:rPr>
          <w:rFonts w:cstheme="minorBidi"/>
        </w:rPr>
        <w:t xml:space="preserve"> jest wychwycenie błędów i nieprawidłowości na wczesnym etapie, co ma usprawnić późniejszą realizację projektu i zapewnić jego zgodność z wymogami naboru. O znaczeniu tego procesu świadczy przede wszystkim to, że nawet na tak zaawansowanym etapie pracy nad wnioskiem, wciąż identyfikowane były jeszcze błędy i elementy wymagające zmiany. </w:t>
      </w:r>
    </w:p>
    <w:p w14:paraId="3313542F" w14:textId="4B9D48E3" w:rsidR="00DB243F" w:rsidRDefault="00DB243F" w:rsidP="00E97827">
      <w:pPr>
        <w:rPr>
          <w:rFonts w:cstheme="minorBidi"/>
        </w:rPr>
      </w:pPr>
      <w:r>
        <w:t xml:space="preserve">Należy podkreślić jednak, że taka </w:t>
      </w:r>
      <w:r w:rsidR="00491B32">
        <w:t>ogólna</w:t>
      </w:r>
      <w:r>
        <w:t xml:space="preserve"> weryfikacja WoD nie stanowi właściwego etapu oceny i nie pozwala na wykrycie wszystkich ewentualnych nieprawidłowości. Na tym etapie możliwe jest jedynie dopytywanie oraz sygnalizowanie potencjalnych problemów. </w:t>
      </w:r>
      <w:r w:rsidR="00827679">
        <w:t>S</w:t>
      </w:r>
      <w:r>
        <w:t xml:space="preserve">zczegółowa analiza pełnej dokumentacji prawdopodobnie znacznie wydłużyłaby proces weryfikacji projektu i wymagałaby zaangażowania większej liczby pracowników. Ten etap ma </w:t>
      </w:r>
      <w:r w:rsidR="00483744">
        <w:t xml:space="preserve">natomiast </w:t>
      </w:r>
      <w:r>
        <w:t>charakter wstępny i informacyjny – jego celem jest przede wszystkim wczesne wykrywanie ryzyk, a nie pełna ocena projektu.</w:t>
      </w:r>
    </w:p>
    <w:p w14:paraId="32302DC1" w14:textId="129340D1" w:rsidR="00E97827" w:rsidRDefault="00E97827" w:rsidP="00E97827">
      <w:r w:rsidRPr="5D655FAF">
        <w:rPr>
          <w:rFonts w:cstheme="minorBidi"/>
        </w:rPr>
        <w:t xml:space="preserve">Wnioskodawcy są co prawda zobligowani do tego, by przekazać wniosek do takiej weryfikacji i pozytywnie oceniają tego rodzaju wsparcie, ale problemem jest (podobnie jak w przypadku opiniowania fiszek) niedotrzymywanie </w:t>
      </w:r>
      <w:r w:rsidR="00417D2C">
        <w:rPr>
          <w:rFonts w:cstheme="minorBidi"/>
        </w:rPr>
        <w:t>wskazanego</w:t>
      </w:r>
      <w:r w:rsidRPr="5D655FAF">
        <w:rPr>
          <w:rFonts w:cstheme="minorBidi"/>
        </w:rPr>
        <w:t xml:space="preserve"> </w:t>
      </w:r>
      <w:r w:rsidR="00417D2C" w:rsidRPr="5D655FAF">
        <w:rPr>
          <w:rFonts w:cstheme="minorBidi"/>
        </w:rPr>
        <w:t>termin</w:t>
      </w:r>
      <w:r w:rsidR="00417D2C">
        <w:rPr>
          <w:rFonts w:cstheme="minorBidi"/>
        </w:rPr>
        <w:t>u</w:t>
      </w:r>
      <w:r w:rsidRPr="5D655FAF">
        <w:rPr>
          <w:rFonts w:cstheme="minorBidi"/>
        </w:rPr>
        <w:t xml:space="preserve"> przekazania wniosków do takiej oceny</w:t>
      </w:r>
      <w:r w:rsidR="00417D2C">
        <w:rPr>
          <w:rFonts w:cstheme="minorBidi"/>
        </w:rPr>
        <w:t xml:space="preserve"> – wniosek do weryfikacji powinien być przekazany </w:t>
      </w:r>
      <w:r w:rsidR="00910475">
        <w:rPr>
          <w:rFonts w:cstheme="minorBidi"/>
        </w:rPr>
        <w:t>najpóźniej na 2 tygodnie przed jego złożeniem w naborze</w:t>
      </w:r>
      <w:r w:rsidR="00414301">
        <w:rPr>
          <w:rStyle w:val="Odwoanieprzypisudolnego"/>
          <w:rFonts w:cstheme="minorBidi"/>
        </w:rPr>
        <w:footnoteReference w:id="45"/>
      </w:r>
      <w:r w:rsidRPr="5D655FAF">
        <w:rPr>
          <w:rFonts w:cstheme="minorBidi"/>
        </w:rPr>
        <w:t xml:space="preserve">. </w:t>
      </w:r>
      <w:r w:rsidR="007908EA" w:rsidRPr="00414301">
        <w:t>Odpowiedzialność za przestrzeganie ustalonego terminu spoczywa na osobie kierującej daną jednostką realizującą projekt (JRP), na przykład Dyrektorze.</w:t>
      </w:r>
      <w:r w:rsidR="007908EA">
        <w:t xml:space="preserve"> </w:t>
      </w:r>
      <w:r w:rsidR="008F4F9F">
        <w:t>Analiza zapisów</w:t>
      </w:r>
      <w:r w:rsidR="00397771">
        <w:t xml:space="preserve"> Rozdziału III, </w:t>
      </w:r>
      <w:r w:rsidR="00C16518">
        <w:t>ust. 5</w:t>
      </w:r>
      <w:r w:rsidR="008F4F9F">
        <w:t xml:space="preserve"> Zasad zgłaszania projektów wskazuje, że w tym przypadku nie zdecydowano się na to, by odpowiedzialność za dochowanie terminu spoczywała także na </w:t>
      </w:r>
      <w:r w:rsidR="008F4F9F" w:rsidRPr="007908EA">
        <w:t>osob</w:t>
      </w:r>
      <w:r w:rsidR="008F4F9F">
        <w:t>ie</w:t>
      </w:r>
      <w:r w:rsidR="008F4F9F" w:rsidRPr="007908EA">
        <w:t xml:space="preserve"> kierując</w:t>
      </w:r>
      <w:r w:rsidR="008F4F9F">
        <w:t>ej</w:t>
      </w:r>
      <w:r w:rsidR="008F4F9F" w:rsidRPr="007908EA">
        <w:t xml:space="preserve"> departamentem merytorycznym sprawującym nadzór </w:t>
      </w:r>
      <w:r w:rsidR="008F4F9F">
        <w:t xml:space="preserve">nad daną JRP </w:t>
      </w:r>
      <w:r w:rsidR="008F4F9F" w:rsidRPr="007908EA">
        <w:t>(np. Dyrektor</w:t>
      </w:r>
      <w:r w:rsidR="008F4F9F">
        <w:t>ze departamentu</w:t>
      </w:r>
      <w:r w:rsidR="008F4F9F" w:rsidRPr="007908EA">
        <w:t>)</w:t>
      </w:r>
      <w:r w:rsidR="00CC5EED">
        <w:t xml:space="preserve"> - w sytuacji gdy ten departament nie jest JRP</w:t>
      </w:r>
      <w:r w:rsidR="00CC5EED">
        <w:rPr>
          <w:rStyle w:val="Odwoanieprzypisudolnego"/>
        </w:rPr>
        <w:t xml:space="preserve"> </w:t>
      </w:r>
      <w:r w:rsidR="00FC0560">
        <w:rPr>
          <w:rStyle w:val="Odwoanieprzypisudolnego"/>
        </w:rPr>
        <w:footnoteReference w:id="46"/>
      </w:r>
      <w:r w:rsidR="008F4F9F">
        <w:t>.</w:t>
      </w:r>
      <w:r w:rsidR="007908EA">
        <w:t xml:space="preserve"> </w:t>
      </w:r>
      <w:r w:rsidR="00414301">
        <w:rPr>
          <w:rFonts w:cstheme="minorBidi"/>
        </w:rPr>
        <w:t>W praktyce z</w:t>
      </w:r>
      <w:r w:rsidR="00414301" w:rsidRPr="5D655FAF">
        <w:rPr>
          <w:rFonts w:cstheme="minorBidi"/>
        </w:rPr>
        <w:t xml:space="preserve">darzały </w:t>
      </w:r>
      <w:r w:rsidRPr="5D655FAF">
        <w:rPr>
          <w:rFonts w:cstheme="minorBidi"/>
        </w:rPr>
        <w:t xml:space="preserve">się dotychczas sytuacje, kiedy </w:t>
      </w:r>
      <w:r w:rsidRPr="5D655FAF">
        <w:rPr>
          <w:rFonts w:cstheme="minorBidi"/>
          <w:b/>
        </w:rPr>
        <w:t xml:space="preserve">wnioski </w:t>
      </w:r>
      <w:r w:rsidR="00262125">
        <w:rPr>
          <w:rFonts w:cstheme="minorBidi"/>
          <w:b/>
        </w:rPr>
        <w:t>do weryfikacji</w:t>
      </w:r>
      <w:r w:rsidR="00414301">
        <w:rPr>
          <w:rFonts w:cstheme="minorBidi"/>
          <w:b/>
        </w:rPr>
        <w:t xml:space="preserve"> </w:t>
      </w:r>
      <w:r w:rsidRPr="5D655FAF">
        <w:rPr>
          <w:rFonts w:cstheme="minorBidi"/>
          <w:b/>
        </w:rPr>
        <w:t>były przekazywane na ostatnią chwilę</w:t>
      </w:r>
      <w:r w:rsidR="00262125">
        <w:rPr>
          <w:rFonts w:cstheme="minorBidi"/>
          <w:bCs/>
        </w:rPr>
        <w:t>/</w:t>
      </w:r>
      <w:r w:rsidRPr="00077CA0">
        <w:rPr>
          <w:rFonts w:cstheme="minorBidi"/>
        </w:rPr>
        <w:t xml:space="preserve"> na </w:t>
      </w:r>
      <w:r w:rsidR="00414301" w:rsidRPr="00077CA0">
        <w:rPr>
          <w:rFonts w:cstheme="minorBidi"/>
          <w:bCs/>
        </w:rPr>
        <w:t>kilka dni</w:t>
      </w:r>
      <w:r w:rsidRPr="00077CA0">
        <w:rPr>
          <w:rFonts w:cstheme="minorBidi"/>
        </w:rPr>
        <w:t xml:space="preserve"> przed zakończeniem naboru, kiedy</w:t>
      </w:r>
      <w:r w:rsidRPr="00077CA0">
        <w:rPr>
          <w:rFonts w:cstheme="minorBidi"/>
          <w:bCs/>
        </w:rPr>
        <w:t xml:space="preserve"> </w:t>
      </w:r>
      <w:r w:rsidRPr="00077CA0">
        <w:rPr>
          <w:rFonts w:cstheme="minorBidi"/>
        </w:rPr>
        <w:t>nie było już czasu na właściwą weryfikację, a tym bardziej na wprowadzenie jeszcze zmian we wniosku</w:t>
      </w:r>
      <w:r w:rsidRPr="5D655FAF">
        <w:rPr>
          <w:rFonts w:cstheme="minorBidi"/>
        </w:rPr>
        <w:t xml:space="preserve">. </w:t>
      </w:r>
      <w:r w:rsidR="005F4DA1">
        <w:rPr>
          <w:rFonts w:cstheme="minorBidi"/>
        </w:rPr>
        <w:t>Sytuacje takie mogą wynikać</w:t>
      </w:r>
      <w:r w:rsidR="00262125">
        <w:rPr>
          <w:rFonts w:cstheme="minorBidi"/>
        </w:rPr>
        <w:t xml:space="preserve"> także</w:t>
      </w:r>
      <w:r w:rsidR="005F4DA1">
        <w:rPr>
          <w:rFonts w:cstheme="minorBidi"/>
        </w:rPr>
        <w:t xml:space="preserve"> </w:t>
      </w:r>
      <w:r w:rsidR="0061498E" w:rsidRPr="00865087">
        <w:t xml:space="preserve">z </w:t>
      </w:r>
      <w:r w:rsidR="0061498E" w:rsidRPr="00077CA0">
        <w:rPr>
          <w:b/>
          <w:bCs/>
        </w:rPr>
        <w:t>braku doświadczenia części wnioskodawców</w:t>
      </w:r>
      <w:r w:rsidR="0061498E" w:rsidRPr="00077CA0">
        <w:rPr>
          <w:rFonts w:cstheme="minorBidi"/>
          <w:b/>
          <w:bCs/>
        </w:rPr>
        <w:t xml:space="preserve"> w </w:t>
      </w:r>
      <w:r w:rsidR="00282616" w:rsidRPr="00077CA0">
        <w:rPr>
          <w:rFonts w:cstheme="minorBidi"/>
          <w:b/>
          <w:bCs/>
        </w:rPr>
        <w:t>aplikowaniu/ realizacji projektów własnych</w:t>
      </w:r>
      <w:r w:rsidR="00282616">
        <w:rPr>
          <w:rFonts w:cstheme="minorBidi"/>
        </w:rPr>
        <w:t xml:space="preserve"> (o czym była mowa już</w:t>
      </w:r>
      <w:r w:rsidR="00742008">
        <w:rPr>
          <w:rFonts w:cstheme="minorBidi"/>
        </w:rPr>
        <w:t xml:space="preserve"> </w:t>
      </w:r>
      <w:r w:rsidR="00282616">
        <w:rPr>
          <w:rFonts w:cstheme="minorBidi"/>
        </w:rPr>
        <w:t xml:space="preserve">wyżej), </w:t>
      </w:r>
      <w:r w:rsidR="00742008">
        <w:rPr>
          <w:rFonts w:cstheme="minorBidi"/>
        </w:rPr>
        <w:t>w tym też</w:t>
      </w:r>
      <w:r w:rsidR="00282616">
        <w:rPr>
          <w:rFonts w:cstheme="minorBidi"/>
        </w:rPr>
        <w:t xml:space="preserve"> </w:t>
      </w:r>
      <w:r w:rsidR="00282616" w:rsidRPr="00077CA0">
        <w:rPr>
          <w:rFonts w:cstheme="minorBidi"/>
          <w:b/>
          <w:bCs/>
        </w:rPr>
        <w:t xml:space="preserve">z </w:t>
      </w:r>
      <w:r w:rsidR="00282616" w:rsidRPr="00077CA0">
        <w:rPr>
          <w:rFonts w:cstheme="minorBidi"/>
          <w:b/>
          <w:bCs/>
        </w:rPr>
        <w:lastRenderedPageBreak/>
        <w:t xml:space="preserve">niedostatecznej </w:t>
      </w:r>
      <w:r w:rsidR="00742008" w:rsidRPr="00077CA0">
        <w:rPr>
          <w:rFonts w:cstheme="minorBidi"/>
          <w:b/>
          <w:bCs/>
        </w:rPr>
        <w:t>świadomości</w:t>
      </w:r>
      <w:r w:rsidR="00282616" w:rsidRPr="00077CA0">
        <w:rPr>
          <w:rFonts w:cstheme="minorBidi"/>
          <w:b/>
          <w:bCs/>
        </w:rPr>
        <w:t xml:space="preserve"> znaczenia etapu weryfikacji dla </w:t>
      </w:r>
      <w:r w:rsidR="00742008" w:rsidRPr="00077CA0">
        <w:rPr>
          <w:rFonts w:cstheme="minorBidi"/>
          <w:b/>
          <w:bCs/>
        </w:rPr>
        <w:t>skutecznej realizacji projektów w przyszłości</w:t>
      </w:r>
      <w:r w:rsidR="00742008">
        <w:rPr>
          <w:rFonts w:cstheme="minorBidi"/>
        </w:rPr>
        <w:t xml:space="preserve"> (po zawarciu umów o dofinansowanie)</w:t>
      </w:r>
      <w:r w:rsidR="00742008">
        <w:t>.</w:t>
      </w:r>
    </w:p>
    <w:p w14:paraId="7D581270" w14:textId="0A09D8CD" w:rsidR="00E97827" w:rsidRPr="00CB0037" w:rsidRDefault="00E97827" w:rsidP="00E97827">
      <w:pPr>
        <w:rPr>
          <w:rFonts w:cstheme="minorBidi"/>
          <w:b/>
          <w:color w:val="640B68" w:themeColor="accent3" w:themeShade="BF"/>
        </w:rPr>
      </w:pPr>
      <w:r w:rsidRPr="5D655FAF">
        <w:rPr>
          <w:rFonts w:cstheme="minorBidi"/>
          <w:b/>
          <w:color w:val="640B68" w:themeColor="accent3" w:themeShade="BF"/>
        </w:rPr>
        <w:t>Inne kwestie</w:t>
      </w:r>
    </w:p>
    <w:p w14:paraId="44935BBC" w14:textId="2E4016EE" w:rsidR="00AB1FE5" w:rsidRDefault="00AB1FE5" w:rsidP="00E97827">
      <w:r>
        <w:t xml:space="preserve">W ramach badania zidentyfikowano także kwestie dotyczącą nie tyle procesu aplikowania w ramach niekonkurencyjnego sposobu wyboru projektów, co </w:t>
      </w:r>
      <w:r w:rsidR="00A11951">
        <w:t>etapu</w:t>
      </w:r>
      <w:r>
        <w:t xml:space="preserve"> oceny składanych wniosków. </w:t>
      </w:r>
      <w:r w:rsidRPr="002D23FA">
        <w:t xml:space="preserve">Problemem w przypadku projektów </w:t>
      </w:r>
      <w:r>
        <w:t>niekonkurencyjnych</w:t>
      </w:r>
      <w:r w:rsidRPr="002D23FA">
        <w:t xml:space="preserve"> może być </w:t>
      </w:r>
      <w:r>
        <w:t>bowiem</w:t>
      </w:r>
      <w:r w:rsidRPr="002D23FA">
        <w:t xml:space="preserve"> </w:t>
      </w:r>
      <w:r w:rsidRPr="00B7052B">
        <w:rPr>
          <w:b/>
          <w:bCs/>
        </w:rPr>
        <w:t>brak możliwości dwukrotnej poprawy błędów na etapie oceny</w:t>
      </w:r>
      <w:r>
        <w:t xml:space="preserve">. </w:t>
      </w:r>
      <w:r w:rsidRPr="002D23FA">
        <w:t>Trudno jednoznacznie określić, w jakim stopniu wpływa to na skuteczność naborów, jednak ograniczenie się do jednej poprawy może zwiększać ryzyko odrzucenia projektu. Projekty niekonkurencyjne, ze względu na swoje istotne znaczenie dla rozwoju województwa, wysoką wartość oraz stopień skomplikowania, mogłyby w takim przypadku zyskać dodatkową szansę na ograniczenie ryzyka negatywnej oceny.</w:t>
      </w:r>
    </w:p>
    <w:p w14:paraId="36C83DE9" w14:textId="3C6D1788" w:rsidR="00E97827" w:rsidRDefault="00E97827" w:rsidP="00E97827">
      <w:r>
        <w:t xml:space="preserve">W ramach prowadzonych wywiadów </w:t>
      </w:r>
      <w:r w:rsidR="00AB1FE5">
        <w:t>stwierdzono również</w:t>
      </w:r>
      <w:r>
        <w:t xml:space="preserve"> istotny </w:t>
      </w:r>
      <w:r w:rsidRPr="00CB0037">
        <w:rPr>
          <w:b/>
          <w:bCs/>
        </w:rPr>
        <w:t>problem w zakresie dostępności szkoleń dla wnioskodawców niekonkurencyjnych, którymi są komórki organizacyjne UMWKP</w:t>
      </w:r>
      <w:r>
        <w:rPr>
          <w:b/>
          <w:bCs/>
        </w:rPr>
        <w:t xml:space="preserve"> nienależące do struktur IZ FEdKP 2021-2027</w:t>
      </w:r>
      <w:r>
        <w:t xml:space="preserve"> (a dokładnie pracownicy, których miejsca pracy nie są finansowane z pomocy technicznej). Pracownicy tacy (mimo, że mają realizować duże i strategiczne dla regionu projekty) nie mają dostępu do szkoleń w ramach Programu, np. z CST2021. Z pozyskanych informacji wynika także, że pracownicy ci </w:t>
      </w:r>
      <w:r w:rsidR="00EE689B">
        <w:t xml:space="preserve">często </w:t>
      </w:r>
      <w:r>
        <w:t xml:space="preserve">nie są też informowani o szkoleniach, które są kierowane dla beneficjentów Programu. </w:t>
      </w:r>
    </w:p>
    <w:p w14:paraId="70623607" w14:textId="009E17DF" w:rsidR="004E2337" w:rsidRPr="00E97827" w:rsidRDefault="00E97827" w:rsidP="002E111A">
      <w:pPr>
        <w:rPr>
          <w:b/>
          <w:bCs/>
        </w:rPr>
      </w:pPr>
      <w:r w:rsidRPr="47E09144">
        <w:t xml:space="preserve">Pomimo wskazanych wyżej </w:t>
      </w:r>
      <w:r>
        <w:t>trudności i problemów</w:t>
      </w:r>
      <w:r w:rsidRPr="47E09144">
        <w:t xml:space="preserve"> wdrożeniowych, </w:t>
      </w:r>
      <w:r>
        <w:t xml:space="preserve">można stwierdzić, że </w:t>
      </w:r>
      <w:r w:rsidRPr="47E09144">
        <w:t xml:space="preserve">nabory </w:t>
      </w:r>
      <w:r w:rsidR="00522185">
        <w:t xml:space="preserve">dotyczące </w:t>
      </w:r>
      <w:r w:rsidRPr="47E09144">
        <w:t>niekonkurencyjne</w:t>
      </w:r>
      <w:r w:rsidR="00522185">
        <w:t>go sposobu wyboru</w:t>
      </w:r>
      <w:r w:rsidRPr="47E09144">
        <w:t xml:space="preserve"> nie lokują się w grupie naborów o niskim zainteresowaniu</w:t>
      </w:r>
      <w:r>
        <w:t xml:space="preserve"> - </w:t>
      </w:r>
      <w:r w:rsidRPr="47E09144">
        <w:t xml:space="preserve">mimo zidentyfikowania sześciu, </w:t>
      </w:r>
      <w:r>
        <w:t>w których wystąpiły problemy w zakresie ich skuteczności</w:t>
      </w:r>
      <w:r w:rsidRPr="47E09144">
        <w:t>.</w:t>
      </w:r>
    </w:p>
    <w:p w14:paraId="65955921" w14:textId="1157178D" w:rsidR="00006482" w:rsidRDefault="00006482" w:rsidP="00006482">
      <w:pPr>
        <w:pStyle w:val="Nagwek3"/>
      </w:pPr>
      <w:bookmarkStart w:id="11" w:name="_Toc208593144"/>
      <w:r w:rsidRPr="001D3F87">
        <w:t xml:space="preserve">Inne </w:t>
      </w:r>
      <w:r>
        <w:t xml:space="preserve">czynniki wpływające na niską </w:t>
      </w:r>
      <w:r w:rsidRPr="001D3F87">
        <w:t>skuteczno</w:t>
      </w:r>
      <w:r>
        <w:t xml:space="preserve">ść </w:t>
      </w:r>
      <w:r w:rsidRPr="001D3F87">
        <w:t>naborów</w:t>
      </w:r>
      <w:bookmarkEnd w:id="11"/>
    </w:p>
    <w:p w14:paraId="2D893F8D"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Główne powody niskiej skuteczności naborów – badanie wnioskodawców i potencjalnych wnioskodawców</w:t>
      </w:r>
    </w:p>
    <w:p w14:paraId="0557C1AB" w14:textId="78DC268E" w:rsidR="00006482" w:rsidRDefault="00006482" w:rsidP="00006482">
      <w:r>
        <w:t>O powody nieaplikowania do FEdKP 2021-2027 spytano podmioty, które były beneficjentami poprzedniego programu regionalnego (RPO WK-P 2014-2020)</w:t>
      </w:r>
      <w:r w:rsidR="00BA2647">
        <w:t xml:space="preserve"> (czyli potencjalnych wnioskodawców FEdKP</w:t>
      </w:r>
      <w:r w:rsidR="00990BD4">
        <w:t>)</w:t>
      </w:r>
      <w:r>
        <w:t>. Grupę tę podzielono na tych, którzy w ogóle nie rozważali składania wniosku do FEdKP 2021-2027 oraz tych, którzy rozważali, ale ostatecznie tego nie zrobili.</w:t>
      </w:r>
    </w:p>
    <w:p w14:paraId="12AD6E80" w14:textId="77777777" w:rsidR="00006482" w:rsidRDefault="00006482" w:rsidP="00006482">
      <w:r w:rsidRPr="00DB6A02">
        <w:t>Wśród beneficjentów RPO WK-P 2014</w:t>
      </w:r>
      <w:r>
        <w:t>-</w:t>
      </w:r>
      <w:r w:rsidRPr="00DB6A02">
        <w:t xml:space="preserve">2020, którzy w ogóle nie rozważali składania wniosku do </w:t>
      </w:r>
      <w:r>
        <w:t>FEdKP 2021-2027</w:t>
      </w:r>
      <w:r w:rsidRPr="00DB6A02">
        <w:t>, najczęściej wskazywanym powodem był brak naboru odpowiadającego potrzebom organizacji</w:t>
      </w:r>
      <w:r>
        <w:t xml:space="preserve">. Taką odpowiedź wskazywali głównie przedsiębiorcy. Uczestnicy wywiadu grupowego w obszarze rozwoju gospodarczego </w:t>
      </w:r>
      <w:r>
        <w:lastRenderedPageBreak/>
        <w:t>wskazywali, że n</w:t>
      </w:r>
      <w:r w:rsidRPr="007E3173">
        <w:t xml:space="preserve">ajwiększe zapotrzebowanie przedsiębiorców koncentruje się na możliwości uzyskania wsparcia unijnego na typowy rozwój działalności gospodarczej. Tego rodzaju finansowanie nie jest jednak przewidziane w ramach obecnie realizowanych programów, w których dostępne instrumenty obejmują wyłącznie projekty zawierające komponent badawczo-rozwojowy (B+R). </w:t>
      </w:r>
    </w:p>
    <w:p w14:paraId="2274F2E1" w14:textId="1DAA08F9" w:rsidR="00006482" w:rsidRDefault="00006482" w:rsidP="00006482">
      <w:pPr>
        <w:pStyle w:val="Legenda"/>
      </w:pPr>
      <w:r w:rsidRPr="00141A4C">
        <w:t xml:space="preserve">Wykres </w:t>
      </w:r>
      <w:fldSimple w:instr=" SEQ Wykres \* ARABIC ">
        <w:r w:rsidR="00541DFA">
          <w:rPr>
            <w:noProof/>
          </w:rPr>
          <w:t>10</w:t>
        </w:r>
      </w:fldSimple>
      <w:r w:rsidRPr="00141A4C">
        <w:t xml:space="preserve"> </w:t>
      </w:r>
      <w:r>
        <w:t>G</w:t>
      </w:r>
      <w:r w:rsidRPr="00460390">
        <w:t xml:space="preserve">łówne powody, dla których </w:t>
      </w:r>
      <w:r>
        <w:t>podmioty</w:t>
      </w:r>
      <w:r w:rsidRPr="00460390">
        <w:t xml:space="preserve"> NIE rozważał</w:t>
      </w:r>
      <w:r>
        <w:t>y</w:t>
      </w:r>
      <w:r w:rsidRPr="00460390">
        <w:t xml:space="preserve"> złożenia wniosku w ramach </w:t>
      </w:r>
      <w:r>
        <w:t>FEdKP 2021-2027</w:t>
      </w:r>
    </w:p>
    <w:p w14:paraId="7B965510" w14:textId="77777777" w:rsidR="00006482" w:rsidRDefault="00006482" w:rsidP="00006482">
      <w:r>
        <w:rPr>
          <w:noProof/>
        </w:rPr>
        <w:drawing>
          <wp:inline distT="0" distB="0" distL="0" distR="0" wp14:anchorId="7AC55D81" wp14:editId="69A8F120">
            <wp:extent cx="5719445" cy="5128591"/>
            <wp:effectExtent l="0" t="0" r="14605" b="15240"/>
            <wp:docPr id="1931018393" name="Wykres 1" descr="Wykres przedstawia odpowiedzi na pytanie z kwestionariusza „Jakie były główne powody, dla których Państwa organizacja NIE rozważała złożenia wniosku w ramach FEdKP 2021-2027?”.&#10;&#10;37% respondentów wskazało, że nie było naboru pasującego do potrzeb ich organizacji.&#10;29% nie wiedziało o rozpoczęciu naborów w ramach FEdKP.&#10;13% miało złe doświadczenia z poprzednich projektów (np. z lat 2014–2020).&#10;12% respondentów deklarowało, że mieli zbyt dużo bieżących zadań, aby przygotować projekt.&#10;11% stwierdziło, że brakowało im wystarczających zasobów, takich jak pracownicy czy czas, do realizacji projektu.&#10;9% wskazało, że nie potrzebowali dodatkowego wsparcia lub brakowały im takie potrzeby, a także 9% miało niewystarczającą kwotę na wkład własny.&#10;8% uznało, że procedury składania wniosku były zbyt trudne lub zniechęcające, natomiast 6% wskazało na zbyt wysokie koszty przygotowania projektu.">
              <a:extLst xmlns:a="http://schemas.openxmlformats.org/drawingml/2006/main">
                <a:ext uri="{FF2B5EF4-FFF2-40B4-BE49-F238E27FC236}">
                  <a16:creationId xmlns:a16="http://schemas.microsoft.com/office/drawing/2014/main" id="{2459EBE1-3C32-4911-A0D8-2828BE34E7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14A30E9" w14:textId="2BAFAA7E" w:rsidR="00006482" w:rsidRDefault="00006482" w:rsidP="005A2787">
      <w:pPr>
        <w:pStyle w:val="rdo"/>
      </w:pPr>
      <w:r>
        <w:t>Źródło: badanie ilościowe wśród beneficjentów RPO WK-P 2014-2020, n=123</w:t>
      </w:r>
      <w:r w:rsidR="00B23833">
        <w:t>.</w:t>
      </w:r>
      <w:r w:rsidR="00CB6396">
        <w:t xml:space="preserve"> </w:t>
      </w:r>
      <w:r w:rsidR="00A533CC" w:rsidRPr="00EE7E76">
        <w:t>Odpowiedź na pytanie: „</w:t>
      </w:r>
      <w:r w:rsidR="00A533CC" w:rsidRPr="00A533CC">
        <w:t>Jakie były główne powody, dla których Państwa organizacja NIE rozważała złożenia wniosku w ramach FEdKP 2021-2027?</w:t>
      </w:r>
      <w:r w:rsidR="00A533CC">
        <w:t>”</w:t>
      </w:r>
      <w:r w:rsidR="00922621">
        <w:t>.</w:t>
      </w:r>
      <w:r w:rsidR="00B23833">
        <w:t xml:space="preserve"> W</w:t>
      </w:r>
      <w:r w:rsidR="00B23833" w:rsidRPr="00BC7B58">
        <w:t>artości nie sumują się do 100,0%, ponieważ każdy respondent mógł wybrać więcej niż 1 odpowiedź</w:t>
      </w:r>
      <w:r w:rsidR="00B23833">
        <w:t xml:space="preserve">. </w:t>
      </w:r>
    </w:p>
    <w:p w14:paraId="7C49698C" w14:textId="3EBC110A" w:rsidR="0046352F" w:rsidRDefault="00006482" w:rsidP="00006482">
      <w:r w:rsidRPr="00DB6A02">
        <w:t>Drugim najczęściej wymienianym czynnikiem</w:t>
      </w:r>
      <w:r>
        <w:t>, który wpływał na to, że respondenci nie rozważali aplikowania do FEdKP 2021-2027</w:t>
      </w:r>
      <w:r w:rsidRPr="00DB6A02">
        <w:t xml:space="preserve"> było to, że w ogóle nie wiedzieli </w:t>
      </w:r>
      <w:r w:rsidR="0036012C">
        <w:t xml:space="preserve">oni </w:t>
      </w:r>
      <w:r w:rsidRPr="00DB6A02">
        <w:t xml:space="preserve">o rozpoczęciu naborów w ramach </w:t>
      </w:r>
      <w:r w:rsidR="005D4CA1">
        <w:t>P</w:t>
      </w:r>
      <w:r w:rsidR="005D4CA1" w:rsidRPr="00DB6A02">
        <w:t>rogramu</w:t>
      </w:r>
      <w:r w:rsidRPr="00DB6A02">
        <w:t xml:space="preserve">. </w:t>
      </w:r>
    </w:p>
    <w:p w14:paraId="7C6C3D44" w14:textId="107FF5BC" w:rsidR="00006482" w:rsidRDefault="00006482" w:rsidP="00006482">
      <w:r w:rsidRPr="00DB6A02">
        <w:lastRenderedPageBreak/>
        <w:t>Kolejn</w:t>
      </w:r>
      <w:r>
        <w:t>ym</w:t>
      </w:r>
      <w:r w:rsidRPr="00DB6A02">
        <w:t xml:space="preserve"> powod</w:t>
      </w:r>
      <w:r>
        <w:t>em</w:t>
      </w:r>
      <w:r w:rsidRPr="00DB6A02">
        <w:t xml:space="preserve"> </w:t>
      </w:r>
      <w:r>
        <w:t>były</w:t>
      </w:r>
      <w:r w:rsidRPr="00DB6A02">
        <w:t xml:space="preserve"> złe doświadczenia z poprzednich projektów</w:t>
      </w:r>
      <w:r>
        <w:t xml:space="preserve">. </w:t>
      </w:r>
      <w:r w:rsidRPr="0069650C">
        <w:t xml:space="preserve">Uczestnicy </w:t>
      </w:r>
      <w:r>
        <w:t>wywiadu grupowego w obszarze rozwoju gospodarczego</w:t>
      </w:r>
      <w:r w:rsidRPr="0069650C">
        <w:t xml:space="preserve"> podkreślali, że doświadczenia z poprzedniej perspektywy zniechęciły wielu przedsiębiorców do ponownego ubiegania się o wsparcie. Wskazywano na wyjątkowo długie procedury oceny, sięgające nawet dwóch lat, co powodowało, że projekty przygotowane na początku naboru po latach stawały się nieaktualne rynkowo, a część beneficjentów rezygnowała z realizacji. Szczególnie problematyczny był brak elastyczności wprowadzania zmian – nawet gdy warunki rynkowe lub technologie ulegały istotnym modyfikacjom, instytucje niechętnie akceptowały korekty założeń, co prowadziło do realizacji inwestycji technologicznie przestarzałych lub nieopłacalnych. Takie doświadczenia sprawiały, że przedsiębiorcy woleli finansować inwestycje z własnych środków lub szukać wsparcia w programach krajowych</w:t>
      </w:r>
      <w:r w:rsidR="006F41A7">
        <w:t xml:space="preserve"> (np. KPO, </w:t>
      </w:r>
      <w:r w:rsidR="000F31A6">
        <w:t>ścieżka SMART w ramach FENG)</w:t>
      </w:r>
      <w:r w:rsidRPr="0069650C">
        <w:t>, gdzie procedury były prostsze i szybsze.</w:t>
      </w:r>
      <w:r w:rsidR="000F31A6">
        <w:t xml:space="preserve"> </w:t>
      </w:r>
      <w:r w:rsidR="00094D02">
        <w:t xml:space="preserve">Jednocześnie </w:t>
      </w:r>
      <w:r w:rsidR="00631B49">
        <w:t>jeden z uczestników</w:t>
      </w:r>
      <w:r w:rsidR="00631B49" w:rsidRPr="0069650C">
        <w:t xml:space="preserve"> </w:t>
      </w:r>
      <w:r w:rsidR="00631B49">
        <w:t xml:space="preserve">wywiadu grupowego w obszarze rozwoju gospodarczego zwrócił uwagę, że </w:t>
      </w:r>
      <w:r w:rsidR="007E27EF">
        <w:t xml:space="preserve">nie zawsze wsparcie dostępne na poziomie krajowym jest adekwatne do skali działalności </w:t>
      </w:r>
      <w:r w:rsidR="00382425">
        <w:t xml:space="preserve">kujawsko-pomorskich firm </w:t>
      </w:r>
      <w:r w:rsidR="00FA3D8C">
        <w:t>–</w:t>
      </w:r>
      <w:r w:rsidR="00382425">
        <w:t xml:space="preserve"> </w:t>
      </w:r>
      <w:r w:rsidR="00FA3D8C">
        <w:t xml:space="preserve">w ścieżce SMART </w:t>
      </w:r>
      <w:r w:rsidR="00FA3D8C" w:rsidRPr="00FA3D8C">
        <w:t>na poziomie krajowym są realizowane duże projekty o wysokim progu finansowym, a w województwie kujawsko-pomorskim zabrakło analogiczne</w:t>
      </w:r>
      <w:r w:rsidR="00FA3D8C">
        <w:t>go wsparcie</w:t>
      </w:r>
      <w:r w:rsidR="00FA3D8C" w:rsidRPr="00FA3D8C">
        <w:t xml:space="preserve"> dla mniejszych przedsięwzięć inwestycyjnych i badawczo-rozwojowych, które mogłyby odpowiadać na realne potrzeby regionalnych MŚP</w:t>
      </w:r>
      <w:r w:rsidR="00FA3D8C">
        <w:t>.</w:t>
      </w:r>
    </w:p>
    <w:p w14:paraId="5F7752DC" w14:textId="4EE289DD" w:rsidR="00006482" w:rsidRDefault="00006482" w:rsidP="00006482">
      <w:r>
        <w:t xml:space="preserve">Ponad co dziesiąty respondent </w:t>
      </w:r>
      <w:r w:rsidR="005D7896">
        <w:t>(</w:t>
      </w:r>
      <w:r w:rsidR="00E710BD">
        <w:t>12,2</w:t>
      </w:r>
      <w:r w:rsidR="005D7896">
        <w:t xml:space="preserve">%) </w:t>
      </w:r>
      <w:r>
        <w:t>wskazał jako powód nieaplikowani</w:t>
      </w:r>
      <w:r w:rsidR="0036012C">
        <w:t>a</w:t>
      </w:r>
      <w:r>
        <w:t xml:space="preserve"> na niedostateczny potencjał po swojej stronie – zbyt dużą </w:t>
      </w:r>
      <w:r w:rsidRPr="00DB6A02">
        <w:t>liczb</w:t>
      </w:r>
      <w:r>
        <w:t>ę</w:t>
      </w:r>
      <w:r w:rsidRPr="00DB6A02">
        <w:t xml:space="preserve"> bieżących zadań uniemożliwiając</w:t>
      </w:r>
      <w:r w:rsidR="0036012C">
        <w:t>ą</w:t>
      </w:r>
      <w:r w:rsidRPr="00DB6A02">
        <w:t xml:space="preserve"> przygotowanie wniosku oraz brak wystarczających zasobów kadrowych lub czasowych</w:t>
      </w:r>
      <w:r>
        <w:t xml:space="preserve">. Warto zwrócić uwagę, że jedynie niecałe 9% respondentów jako przyczynę wskazało brak zapotrzebowania na dodatkowe wsparcie. </w:t>
      </w:r>
    </w:p>
    <w:p w14:paraId="35A28E60" w14:textId="528579FA" w:rsidR="0046352F" w:rsidRDefault="00006482" w:rsidP="00006482">
      <w:r w:rsidRPr="00DB6A02">
        <w:t>W grupie beneficjentów</w:t>
      </w:r>
      <w:r>
        <w:t xml:space="preserve"> RPO WK-P 2014-2020</w:t>
      </w:r>
      <w:r w:rsidRPr="00DB6A02">
        <w:t xml:space="preserve">, którzy </w:t>
      </w:r>
      <w:r w:rsidRPr="00DB6A02">
        <w:rPr>
          <w:b/>
          <w:bCs/>
        </w:rPr>
        <w:t>rozważali złożenie wniosku, ale ostatecznie tego nie zrobili</w:t>
      </w:r>
      <w:r w:rsidRPr="00DB6A02">
        <w:t xml:space="preserve">, najczęściej wskazywano również brak naboru pasującego do potrzeb (43,4%). </w:t>
      </w:r>
      <w:r w:rsidR="00E774BC">
        <w:t>Warto podkreślić, iż w</w:t>
      </w:r>
      <w:r w:rsidR="00E774BC" w:rsidRPr="00585FAA">
        <w:t xml:space="preserve"> FEdKP 2021</w:t>
      </w:r>
      <w:r w:rsidR="00E774BC">
        <w:t>-</w:t>
      </w:r>
      <w:r w:rsidR="00E774BC" w:rsidRPr="00585FAA">
        <w:t>2027 przyjęto model wsparcia dla MŚP oparty w większym stopniu na instrumentach pośrednich, a w mniejszym na klasycznych dotacjach kierowanych bezpośrednio do przedsiębiorców</w:t>
      </w:r>
      <w:r w:rsidR="00E774BC">
        <w:t xml:space="preserve">, stąd zainteresowane MŚP mogą dostrzegać brak naborów pasujących do ich potrzeb w ramach wsparcia bezpośredniego. </w:t>
      </w:r>
      <w:r w:rsidR="00E774BC" w:rsidRPr="00114DC1">
        <w:t xml:space="preserve">Wsparcie pośrednie kierowane jest do MŚP z przeznaczeniem na rozwój zaplecza badawczo-rozwojowego, prowadzenie prac B+R ukierunkowanych na komercjalizację ich wyników, a także na działania związane z internacjonalizacją, promocją gospodarczą oraz zakupem akredytowanych usług doradczych. </w:t>
      </w:r>
      <w:r w:rsidR="00E774BC" w:rsidRPr="00CF21EF">
        <w:t>Z kolei inwestycje ukierunkowane na wzmacnianie produktywności MŚP, wdrażanie innowacji, wyników prac B+R, nowoczesnych modeli biznesowych oraz transformację cyfrową przedsiębiorstw finansowane są z wykorzystaniem instrumentów finansowych.</w:t>
      </w:r>
    </w:p>
    <w:p w14:paraId="7FB2B72E" w14:textId="6E12FCF3" w:rsidR="00006482" w:rsidRDefault="007D00FF" w:rsidP="00006482">
      <w:r>
        <w:lastRenderedPageBreak/>
        <w:t>N</w:t>
      </w:r>
      <w:r w:rsidR="00E20581" w:rsidRPr="00E20581">
        <w:t>a drugim miejscu wśród powodów nieaplikowania wskazywano</w:t>
      </w:r>
      <w:r w:rsidR="00E20581">
        <w:t xml:space="preserve"> </w:t>
      </w:r>
      <w:r w:rsidR="00E20581" w:rsidRPr="00E20581">
        <w:t xml:space="preserve">zbyt krótki czas na przygotowanie </w:t>
      </w:r>
      <w:r w:rsidR="00006482" w:rsidRPr="00DB6A02">
        <w:t>wniosku (28,9%), a dalej trudności w spełnieniu wymagań konkursowych (26,3%) oraz brak gotowego projektu (26,3%). Inne powody obejmowały zbyt skomplikowaną dokumentację (14,5%), przekonanie o małych szansach na uzyskanie dofinansowania (11,8%), problemy z zapewnieniem wkładu własnego (11,8%) oraz konieczność korzystania z usług firm zewnętrznych przy przygotowaniu wniosku (11,8%).</w:t>
      </w:r>
    </w:p>
    <w:p w14:paraId="062A6A2F" w14:textId="16728F58" w:rsidR="00006482" w:rsidRDefault="00006482" w:rsidP="00006482">
      <w:pPr>
        <w:pStyle w:val="Legenda"/>
      </w:pPr>
      <w:r w:rsidRPr="00141A4C">
        <w:t xml:space="preserve">Wykres </w:t>
      </w:r>
      <w:fldSimple w:instr=" SEQ Wykres \* ARABIC ">
        <w:r w:rsidR="00541DFA">
          <w:rPr>
            <w:noProof/>
          </w:rPr>
          <w:t>11</w:t>
        </w:r>
      </w:fldSimple>
      <w:r w:rsidRPr="00141A4C">
        <w:t xml:space="preserve"> </w:t>
      </w:r>
      <w:r>
        <w:t>G</w:t>
      </w:r>
      <w:r w:rsidRPr="00460390">
        <w:t xml:space="preserve">łówne powody, dla których </w:t>
      </w:r>
      <w:r>
        <w:t>podmioty</w:t>
      </w:r>
      <w:r w:rsidRPr="00460390">
        <w:t xml:space="preserve"> </w:t>
      </w:r>
      <w:r w:rsidRPr="004C2DF8">
        <w:t>rozważał</w:t>
      </w:r>
      <w:r>
        <w:t>y</w:t>
      </w:r>
      <w:r w:rsidRPr="004C2DF8">
        <w:t xml:space="preserve"> złożenie wniosku o dofinansowanie, ale ostatecznie tego nie zrobił</w:t>
      </w:r>
      <w:r>
        <w:t>y</w:t>
      </w:r>
    </w:p>
    <w:p w14:paraId="243833F7" w14:textId="77777777" w:rsidR="00006482" w:rsidRDefault="00006482" w:rsidP="00006482">
      <w:r>
        <w:rPr>
          <w:noProof/>
        </w:rPr>
        <w:drawing>
          <wp:inline distT="0" distB="0" distL="0" distR="0" wp14:anchorId="3E02FB68" wp14:editId="54E04501">
            <wp:extent cx="5719445" cy="4318635"/>
            <wp:effectExtent l="0" t="0" r="14605" b="5715"/>
            <wp:docPr id="1906545369" name="Wykres 1" descr="Wykres przedstawia odpowiedzi na pytanie z kwestionariusza „Jakie były główne powody, dla których Państwa organizacja rozważała złożenie wniosku o dofinansowanie, ale ostatecznie tego nie zrobiła?”.&#10;&#10;43,4% respondentów wskazało, że nie było naboru odpowiadającego potrzebom ich organizacji.&#10;28,9% uznało, że było za mało czasu na przygotowanie wniosku.&#10;26,3% badanych miało trudności ze spełnieniem wymagań oraz tyle samo wskazało, że nie mieli jeszcze gotowego projektu.&#10;14,5% stwierdziło, że dokumentacja była zbyt trudna do przygotowania.&#10;11,8% uważało, że mają małe szanse na dofinansowanie, a równie wielu miało problemy z zapewnieniem wkładu własnego lub musiało skorzystać z firmy zewnętrznej do przygotowania wniosku.&#10;5,3% respondentów wskazało, że zmienili plany lub sytuacja w organizacji uległa zmianie.">
              <a:extLst xmlns:a="http://schemas.openxmlformats.org/drawingml/2006/main">
                <a:ext uri="{FF2B5EF4-FFF2-40B4-BE49-F238E27FC236}">
                  <a16:creationId xmlns:a16="http://schemas.microsoft.com/office/drawing/2014/main" id="{C95F33CF-D267-476A-99FD-E1314FA9FF5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BA38375" w14:textId="6876E935" w:rsidR="00A533CC" w:rsidRDefault="00006482" w:rsidP="00077CA0">
      <w:pPr>
        <w:pStyle w:val="rdo"/>
      </w:pPr>
      <w:r>
        <w:t>Źródło: badanie ilościowe wśród beneficjentów RPO</w:t>
      </w:r>
      <w:r w:rsidRPr="00042A22">
        <w:t xml:space="preserve"> </w:t>
      </w:r>
      <w:r>
        <w:t>WK-P 2014-2020, n=76</w:t>
      </w:r>
      <w:r w:rsidR="00AD461F">
        <w:t>.</w:t>
      </w:r>
      <w:r w:rsidR="0099411C">
        <w:t xml:space="preserve"> </w:t>
      </w:r>
      <w:r w:rsidR="00A533CC">
        <w:t>Odpowiedź na pytanie „</w:t>
      </w:r>
      <w:r w:rsidR="00A533CC" w:rsidRPr="00A533CC">
        <w:t>Jakie były główne powody, dla których Państwa organizacja rozważała złożenie wniosku o dofinansowanie, ale ostatecznie tego nie zrobiła?</w:t>
      </w:r>
      <w:r w:rsidR="00A533CC">
        <w:t>”</w:t>
      </w:r>
      <w:r w:rsidR="00A9054D">
        <w:t>.</w:t>
      </w:r>
      <w:r w:rsidR="00AD461F">
        <w:t xml:space="preserve"> Wartości nie sumują się do 100,0%, ponieważ każdy respondent mógł wybrać więcej niż 1 odpowiedź.</w:t>
      </w:r>
    </w:p>
    <w:p w14:paraId="59A4D6F3" w14:textId="0A818FF8" w:rsidR="00006482" w:rsidRPr="000C186A" w:rsidRDefault="00006482" w:rsidP="00A533CC">
      <w:pPr>
        <w:rPr>
          <w:szCs w:val="24"/>
        </w:rPr>
      </w:pPr>
      <w:r w:rsidRPr="00077CA0">
        <w:rPr>
          <w:rFonts w:eastAsia="Times New Roman" w:cs="Segoe UI"/>
          <w:iCs/>
          <w:szCs w:val="24"/>
          <w:lang w:eastAsia="pl-PL"/>
        </w:rPr>
        <w:t>13% tych, którzy w ogóle nie rozważali składania wniosku do FEdKP 2021-2027 jako powód wskazało złe doświadczenia z wcześniej realizowanych projektów. Trudności napotkane w poprzedniej perspektywie finansowej rzeczywiście mogą być barierą dla potencjalnych wnioskodawców. Na różnych etapach życia projektu – od przygotowania wniosku, przez jego realizację, po rozliczenie –</w:t>
      </w:r>
      <w:r w:rsidR="00776243" w:rsidRPr="00077CA0">
        <w:rPr>
          <w:rFonts w:eastAsia="Times New Roman" w:cs="Segoe UI"/>
          <w:iCs/>
          <w:szCs w:val="24"/>
          <w:lang w:eastAsia="pl-PL"/>
        </w:rPr>
        <w:t xml:space="preserve"> </w:t>
      </w:r>
      <w:r w:rsidRPr="00077CA0">
        <w:rPr>
          <w:rFonts w:eastAsia="Times New Roman" w:cs="Segoe UI"/>
          <w:iCs/>
          <w:szCs w:val="24"/>
          <w:lang w:eastAsia="pl-PL"/>
        </w:rPr>
        <w:t xml:space="preserve">ponad połowa beneficjentów RPO WK-P 2014-2020 napotykała na różnego rodzaju trudności, które </w:t>
      </w:r>
      <w:r w:rsidRPr="00077CA0">
        <w:rPr>
          <w:rFonts w:eastAsia="Times New Roman" w:cs="Segoe UI"/>
          <w:iCs/>
          <w:szCs w:val="24"/>
          <w:lang w:eastAsia="pl-PL"/>
        </w:rPr>
        <w:lastRenderedPageBreak/>
        <w:t xml:space="preserve">wynikały zarówno z uwarunkowań systemu wdrażania, jak i z czynników zewnętrznych, na które </w:t>
      </w:r>
      <w:r w:rsidR="00BC7B58">
        <w:rPr>
          <w:szCs w:val="24"/>
        </w:rPr>
        <w:t>I</w:t>
      </w:r>
      <w:r w:rsidR="00BC7B58" w:rsidRPr="00077CA0">
        <w:rPr>
          <w:rFonts w:eastAsia="Times New Roman" w:cs="Segoe UI"/>
          <w:iCs/>
          <w:szCs w:val="24"/>
          <w:lang w:eastAsia="pl-PL"/>
        </w:rPr>
        <w:t xml:space="preserve">nstytucja </w:t>
      </w:r>
      <w:r w:rsidR="00BC7B58">
        <w:rPr>
          <w:szCs w:val="24"/>
        </w:rPr>
        <w:t>Z</w:t>
      </w:r>
      <w:r w:rsidR="00BC7B58" w:rsidRPr="00077CA0">
        <w:rPr>
          <w:rFonts w:eastAsia="Times New Roman" w:cs="Segoe UI"/>
          <w:iCs/>
          <w:szCs w:val="24"/>
          <w:lang w:eastAsia="pl-PL"/>
        </w:rPr>
        <w:t xml:space="preserve">arządzająca </w:t>
      </w:r>
      <w:r w:rsidRPr="00077CA0">
        <w:rPr>
          <w:rFonts w:eastAsia="Times New Roman" w:cs="Segoe UI"/>
          <w:iCs/>
          <w:szCs w:val="24"/>
          <w:lang w:eastAsia="pl-PL"/>
        </w:rPr>
        <w:t>nie miała wpływu. Część z nich określiła te trudności jako bardzo duże.</w:t>
      </w:r>
    </w:p>
    <w:p w14:paraId="23D7044B" w14:textId="50C9BCB6" w:rsidR="00006482" w:rsidRDefault="00006482" w:rsidP="00006482">
      <w:pPr>
        <w:pStyle w:val="Legenda"/>
      </w:pPr>
      <w:r w:rsidRPr="00141A4C">
        <w:t xml:space="preserve">Wykres </w:t>
      </w:r>
      <w:fldSimple w:instr=" SEQ Wykres \* ARABIC ">
        <w:r w:rsidR="00541DFA">
          <w:rPr>
            <w:noProof/>
          </w:rPr>
          <w:t>12</w:t>
        </w:r>
      </w:fldSimple>
      <w:r w:rsidRPr="00141A4C">
        <w:t xml:space="preserve"> </w:t>
      </w:r>
      <w:r>
        <w:t>Ocena doświadczeń z przygotowania i realizacji projektów w ramach RPO WK-P 2014-2020</w:t>
      </w:r>
    </w:p>
    <w:p w14:paraId="0ACC66D3" w14:textId="77777777" w:rsidR="00006482" w:rsidRDefault="00006482" w:rsidP="00006482">
      <w:r>
        <w:rPr>
          <w:noProof/>
        </w:rPr>
        <w:drawing>
          <wp:inline distT="0" distB="0" distL="0" distR="0" wp14:anchorId="546B447A" wp14:editId="1F2BDA19">
            <wp:extent cx="5719445" cy="2567305"/>
            <wp:effectExtent l="0" t="0" r="14605" b="4445"/>
            <wp:docPr id="487115106" name="Wykres 1" descr="Wykres przedstawia odpowiedzi na pytanie z kwestionariusza „Proszę ocenić Państwa doświadczenia z realizacji projektu/projektów w ramach RPO WK-P 2014-2020, biorąc pod uwagę poniższe etapy.”&#10;&#10;W etapie opracowania projektu i przygotowania wniosku o dofinansowanie, 10,7% respondentów wskazało na bardzo duże trudności, 29,8% na raczej duże trudności, a 35,8% na raczej niewielkie trudności.&#10;&#10;W fazie realizacji projektu, bardzo duże trudności odczuwało 5,6% badanych, raczej duże trudności – 22,8%, a raczej niewielkie – 44,7%.&#10;&#10;W etapie rozliczania projektu i przygotowania wniosków o płatność, 10,7% respondentów zaznaczyło bardzo duże trudności, 20,0% raczej duże trudności, natomiast 40,0% raczej niewielkie trudności.">
              <a:extLst xmlns:a="http://schemas.openxmlformats.org/drawingml/2006/main">
                <a:ext uri="{FF2B5EF4-FFF2-40B4-BE49-F238E27FC236}">
                  <a16:creationId xmlns:a16="http://schemas.microsoft.com/office/drawing/2014/main" id="{E0865D83-1CC4-1183-102D-D522B591AA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E915B42" w14:textId="1862DA66" w:rsidR="00006482" w:rsidRDefault="00006482" w:rsidP="005A2787">
      <w:pPr>
        <w:pStyle w:val="rdo"/>
      </w:pPr>
      <w:r>
        <w:t>Źródło: badanie ilościowe wśród beneficjentów RPO</w:t>
      </w:r>
      <w:r w:rsidRPr="00042A22">
        <w:t xml:space="preserve"> </w:t>
      </w:r>
      <w:r>
        <w:t>WK-P 2014-2020, n=215, nie pokazano odpowiedzi „nie wiem/trudno powiedzieć”.</w:t>
      </w:r>
      <w:r w:rsidR="00B41A63">
        <w:t xml:space="preserve"> Odpowiedź na pytanie „</w:t>
      </w:r>
      <w:r w:rsidR="00B41A63" w:rsidRPr="00B41A63">
        <w:t>Proszę ocenić Państwa doświadczenia z realizacji projektu/projektów w ramach RPO WK-P 2014-2020, biorąc pod uwagę poniższe etapy</w:t>
      </w:r>
      <w:r w:rsidR="00B41A63">
        <w:t>”</w:t>
      </w:r>
      <w:r w:rsidR="00A9054D">
        <w:t>.</w:t>
      </w:r>
      <w:r w:rsidR="00690B73">
        <w:t xml:space="preserve"> </w:t>
      </w:r>
      <w:r w:rsidR="00690B73" w:rsidRPr="00690B73">
        <w:t>Wartości mogą nie sumować się do 100,0% z powodu zaokrągleń.</w:t>
      </w:r>
    </w:p>
    <w:p w14:paraId="0966CC12" w14:textId="77777777" w:rsidR="00006482" w:rsidRPr="00324E6A" w:rsidRDefault="00006482" w:rsidP="00006482">
      <w:r w:rsidRPr="00324E6A">
        <w:rPr>
          <w:b/>
          <w:bCs/>
        </w:rPr>
        <w:t>Na etapie opracowania i składania wniosku</w:t>
      </w:r>
      <w:r>
        <w:rPr>
          <w:b/>
          <w:bCs/>
        </w:rPr>
        <w:t xml:space="preserve"> o dofinansowanie</w:t>
      </w:r>
      <w:r w:rsidRPr="00324E6A">
        <w:t xml:space="preserve"> najczęściej wskazywanym problemem była konieczność korzystania z usług firm zewnętrznych przy przygotowaniu dokumentacji. Wynikało to głównie z braków kadrowych i kompetencyjnych po stronie wnioskodawców, zwłaszcza w mniejszych jednostkach samorządu terytorialnego. Równocześnie duże trudności sprawiała złożona i skomplikowana dokumentacja konkursowa, wymagająca szczegółowej znajomości procedur i interpretacji kryteriów. Wśród barier systemowych istotne znaczenie miały także krótki czas na przygotowanie </w:t>
      </w:r>
      <w:r>
        <w:t>dokumentacji</w:t>
      </w:r>
      <w:r w:rsidRPr="00324E6A">
        <w:t xml:space="preserve"> oraz wysokie wymagania formalne i finansowe, w tym wysoki poziom wkładu własnego czy konieczność przedstawiania zabezpieczeń. Część problemów miała charakter organizacyjny i wynikała z zewnętrznych uwarunkowań, takich jak wysokie koszty przygotowania projektu czy trudności w pozyskaniu wymaganych załączników od innych instytucji.</w:t>
      </w:r>
    </w:p>
    <w:p w14:paraId="47AF80E4" w14:textId="7C3A4D1C" w:rsidR="00006482" w:rsidRPr="00324E6A" w:rsidRDefault="00006482" w:rsidP="00006482">
      <w:r w:rsidRPr="00324E6A">
        <w:rPr>
          <w:b/>
          <w:bCs/>
        </w:rPr>
        <w:t>Podczas realizacji projektów</w:t>
      </w:r>
      <w:r w:rsidRPr="00324E6A">
        <w:t xml:space="preserve"> najczęściej wskazywano na czynniki zewnętrzne, w tym skutki pandemii COVID-19 oraz wzrost cen i kosztów w trakcie realizacji działań, które wymuszały zmiany budżetowe i harmonogramowe. Wysoko plasowały się także nieprzewidziane trudności w realizacji zadań oraz</w:t>
      </w:r>
      <w:r>
        <w:t>, w przypadku projektów EFS</w:t>
      </w:r>
      <w:r w:rsidR="003D6315">
        <w:t>+</w:t>
      </w:r>
      <w:r>
        <w:t>,</w:t>
      </w:r>
      <w:r w:rsidRPr="00324E6A">
        <w:t xml:space="preserve"> problemy z rekrutacją uczestników. W obszarze barier </w:t>
      </w:r>
      <w:r>
        <w:t>zewnętrznych</w:t>
      </w:r>
      <w:r w:rsidRPr="00324E6A">
        <w:t xml:space="preserve"> pojawiały się </w:t>
      </w:r>
      <w:r>
        <w:t xml:space="preserve">także </w:t>
      </w:r>
      <w:r w:rsidRPr="00324E6A">
        <w:t xml:space="preserve">trudności w uzyskaniu wymaganych pozwoleń, przedłużające się procedury </w:t>
      </w:r>
      <w:r w:rsidRPr="00324E6A">
        <w:lastRenderedPageBreak/>
        <w:t>przetargowe oraz problemy ze znalezieniem wykonawców, co prowadziło do opóźnień w harmonogramie. Część beneficjentów</w:t>
      </w:r>
      <w:r w:rsidR="002D13AE">
        <w:t xml:space="preserve"> RPO </w:t>
      </w:r>
      <w:r w:rsidR="004A08C7">
        <w:t>WK-P</w:t>
      </w:r>
      <w:r w:rsidR="002D13AE">
        <w:t xml:space="preserve"> 2014-2020</w:t>
      </w:r>
      <w:r w:rsidRPr="00324E6A">
        <w:t xml:space="preserve"> wskazywała również na niedobory zasobów – kadrowych, sprzętowych lub materiałowych – zarówno po swojej stronie, jak i u partnerów czy wykonawców.</w:t>
      </w:r>
    </w:p>
    <w:p w14:paraId="32F08711" w14:textId="27FF46FC" w:rsidR="00006482" w:rsidRPr="00324E6A" w:rsidRDefault="00006482" w:rsidP="00006482">
      <w:r w:rsidRPr="00A06A4D">
        <w:rPr>
          <w:b/>
          <w:bCs/>
        </w:rPr>
        <w:t xml:space="preserve">Trudności na etapie </w:t>
      </w:r>
      <w:r w:rsidRPr="00324E6A">
        <w:rPr>
          <w:b/>
          <w:bCs/>
        </w:rPr>
        <w:t>rozliczania projektów</w:t>
      </w:r>
      <w:r>
        <w:t xml:space="preserve">, zdaniem respondentów, wynikały przede wszystkim z </w:t>
      </w:r>
      <w:r w:rsidRPr="00324E6A">
        <w:t>systemu wdrażania. Beneficjenci</w:t>
      </w:r>
      <w:r w:rsidR="00AB3217">
        <w:t xml:space="preserve"> RPO </w:t>
      </w:r>
      <w:r w:rsidR="004A08C7">
        <w:t>WK-P</w:t>
      </w:r>
      <w:r w:rsidR="00AB3217">
        <w:t xml:space="preserve"> 2014-2020</w:t>
      </w:r>
      <w:r w:rsidRPr="00324E6A">
        <w:t xml:space="preserve"> najczęściej zwracali uwagę na nadmierną biurokrację i rozbudowane formalności, a także na skomplikowane zasady rozliczeń, które wymagały szczegółowej dokumentacji potwierdzającej każdy wydatek. </w:t>
      </w:r>
      <w:r>
        <w:t>P</w:t>
      </w:r>
      <w:r w:rsidRPr="00324E6A">
        <w:t xml:space="preserve">roblemem były </w:t>
      </w:r>
      <w:r>
        <w:t>również długi czas oceny</w:t>
      </w:r>
      <w:r w:rsidRPr="00324E6A">
        <w:t xml:space="preserve"> wniosków o płatność i w przekazywaniu środków. Część wnioskodawców napotykała również na sytuacje, w których instytucja rozliczająca nie uznawała części poniesionych wydatków za kwalifikowalne, co generowało dodatkowe obciążenia finansowe po stronie beneficjenta.</w:t>
      </w:r>
    </w:p>
    <w:p w14:paraId="020132A4"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Niedostateczna dostępność informacji o naborach i ocena działań informacyjno-promocyjnych </w:t>
      </w:r>
    </w:p>
    <w:p w14:paraId="0300716F" w14:textId="77777777" w:rsidR="00006482" w:rsidRDefault="00006482" w:rsidP="00006482">
      <w:r>
        <w:t xml:space="preserve">Ocena dostępności </w:t>
      </w:r>
      <w:r w:rsidRPr="0057390B">
        <w:t xml:space="preserve">informacji o naborach </w:t>
      </w:r>
      <w:r>
        <w:t xml:space="preserve">FEdKP 2021-2027 wśród większości podmiotów, które złożyły wnioski o dofinansowanie jest dobra i bardzo dobra. Natomiast w grupie podmiotów, które skorzystały ze wsparcia z RPO WK-P 2014-2020 oraz szukały informacji o możliwości aplikowania w FEdKP 2021-2027 ta ocena jest niższa. </w:t>
      </w:r>
    </w:p>
    <w:p w14:paraId="430C571D" w14:textId="5C8C1A26" w:rsidR="00006482" w:rsidRPr="00141A4C" w:rsidRDefault="00006482" w:rsidP="00006482">
      <w:pPr>
        <w:pStyle w:val="Legenda"/>
      </w:pPr>
      <w:r w:rsidRPr="00141A4C">
        <w:t xml:space="preserve">Wykres </w:t>
      </w:r>
      <w:fldSimple w:instr=" SEQ Wykres \* ARABIC ">
        <w:r w:rsidR="00541DFA">
          <w:rPr>
            <w:noProof/>
          </w:rPr>
          <w:t>13</w:t>
        </w:r>
      </w:fldSimple>
      <w:r w:rsidRPr="00141A4C">
        <w:t xml:space="preserve"> Ocena </w:t>
      </w:r>
      <w:r>
        <w:t>d</w:t>
      </w:r>
      <w:r w:rsidRPr="002761B8">
        <w:t>ostępnoś</w:t>
      </w:r>
      <w:r>
        <w:t>ci</w:t>
      </w:r>
      <w:r w:rsidRPr="002761B8">
        <w:t xml:space="preserve"> informacji o naborach </w:t>
      </w:r>
      <w:r>
        <w:t>FEdKP 2021-2027</w:t>
      </w:r>
    </w:p>
    <w:p w14:paraId="4B76CF51" w14:textId="77777777" w:rsidR="00006482" w:rsidRDefault="00006482" w:rsidP="00006482">
      <w:r>
        <w:rPr>
          <w:noProof/>
        </w:rPr>
        <w:drawing>
          <wp:inline distT="0" distB="0" distL="0" distR="0" wp14:anchorId="4A30F0B0" wp14:editId="0462C9FA">
            <wp:extent cx="5719445" cy="2623185"/>
            <wp:effectExtent l="0" t="0" r="14605" b="5715"/>
            <wp:docPr id="678396516" name="Wykres 1" descr="Wykres przedstawia odpowiedzi na pytanie z kwestionariusza „Jak oceniają Państwo dostępność informacji o naborach FEdKP 2021-2027?”.&#10;Wśród beneficjentów RPO 12,8% oceniło dostępność informacji jako bardzo dobrą, 29,1% jako dobrą, 36,2% jako przeciętną, 11,3% jako słabą, a 5,7% jako bardzo słabą. 5,0% respondentów w tej grupie wskazało odpowiedź „Nie wiem/trudno powiedzieć”.&#10;W grupie wnioskodawców FEdKP 47,1% uznało dostępność informacji za bardzo dobrą, kolejne 47,1% za dobrą, 2,9% za przeciętną, 2,9% za słabą, a nikt nie wybrał opcji „bardzo słaba” ani „Nie wiem/trudno powiedzieć”.">
              <a:extLst xmlns:a="http://schemas.openxmlformats.org/drawingml/2006/main">
                <a:ext uri="{FF2B5EF4-FFF2-40B4-BE49-F238E27FC236}">
                  <a16:creationId xmlns:a16="http://schemas.microsoft.com/office/drawing/2014/main" id="{468DCB63-D95D-432F-AD9F-C184AA1A39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7FC3C2E" w14:textId="2534B1B0" w:rsidR="00006482" w:rsidRDefault="00006482" w:rsidP="005A2787">
      <w:pPr>
        <w:pStyle w:val="rdo"/>
      </w:pPr>
      <w:r>
        <w:t xml:space="preserve">Źródło: badanie ilościowe wśród wnioskodawców FEdKP 2021-2027, n=104, oraz beneficjentów </w:t>
      </w:r>
      <w:r w:rsidR="004A08C7">
        <w:t>RPO WK-P</w:t>
      </w:r>
      <w:r w:rsidR="00AB3217">
        <w:t xml:space="preserve"> 2014-2020</w:t>
      </w:r>
      <w:r>
        <w:t>, n=141</w:t>
      </w:r>
      <w:r w:rsidR="003E5334">
        <w:t>.</w:t>
      </w:r>
      <w:r w:rsidR="0099411C">
        <w:t xml:space="preserve"> </w:t>
      </w:r>
      <w:r w:rsidR="00B41A63">
        <w:t>Odpowiedź na pytanie „</w:t>
      </w:r>
      <w:r w:rsidR="00CB3B18" w:rsidRPr="00CB3B18">
        <w:t>Jak oceniają Państwo dostępność informacji o naborze FEdKP 2021-2027, w którym złożyli Państwo wniosek na realizację projektu</w:t>
      </w:r>
      <w:r w:rsidR="002357C5">
        <w:t>?”</w:t>
      </w:r>
      <w:r w:rsidR="00A9054D">
        <w:t>.</w:t>
      </w:r>
      <w:r w:rsidR="003E5334">
        <w:t xml:space="preserve"> Wartości mogą nie sumować się do 100,0% z powodu zaokrągleń</w:t>
      </w:r>
      <w:r w:rsidR="003E5334" w:rsidRPr="0099411C">
        <w:t>.</w:t>
      </w:r>
    </w:p>
    <w:p w14:paraId="129D7DD1" w14:textId="2505E98C" w:rsidR="00006482" w:rsidRDefault="00006482" w:rsidP="00006482">
      <w:r>
        <w:lastRenderedPageBreak/>
        <w:t xml:space="preserve">Respondenci, którzy nisko ocenili dostępność informacji, wskazywali najczęściej, że informacje były trudne do znalezienia na stronie internetowej </w:t>
      </w:r>
      <w:r w:rsidR="00871BBB">
        <w:t xml:space="preserve">Programu </w:t>
      </w:r>
      <w:r>
        <w:t xml:space="preserve">lub były rozproszone w wielu źródłach. Część wskazała też na nieodpowiednie </w:t>
      </w:r>
      <w:r w:rsidRPr="00930D1A">
        <w:t>kanał</w:t>
      </w:r>
      <w:r>
        <w:t>y</w:t>
      </w:r>
      <w:r w:rsidRPr="00930D1A">
        <w:t xml:space="preserve"> komunikacji </w:t>
      </w:r>
      <w:r>
        <w:t xml:space="preserve">– brakowało im bardziej bezpośrednich, indywidualnych kontaktów, a także na zbyt małą promocję </w:t>
      </w:r>
      <w:r w:rsidRPr="00930D1A">
        <w:t>naborów (np. w mediach, podczas wydarzeń branżowych)</w:t>
      </w:r>
      <w:r>
        <w:t xml:space="preserve">. </w:t>
      </w:r>
    </w:p>
    <w:p w14:paraId="3EF06AE1" w14:textId="77777777" w:rsidR="00006482" w:rsidRDefault="00006482" w:rsidP="00006482">
      <w:r>
        <w:t xml:space="preserve">Co trzeci beneficjent RPO WK-P 2014-2020 w ogóle nie szukał informacji o naborach w ramach FEdKP 2021-2027. </w:t>
      </w:r>
      <w:r w:rsidRPr="00A557A0">
        <w:t>Do ponad połowy respondentów dotarły informacje o naborach, jednak znaczna grupa, obejmująca ponad 40% badanych, nie otrzymała takich wiadomości.</w:t>
      </w:r>
    </w:p>
    <w:p w14:paraId="28411D2B" w14:textId="432BCD5A" w:rsidR="00006482" w:rsidRPr="00141A4C" w:rsidRDefault="00006482" w:rsidP="00006482">
      <w:pPr>
        <w:pStyle w:val="Legenda"/>
      </w:pPr>
      <w:r w:rsidRPr="00141A4C">
        <w:t xml:space="preserve">Wykres </w:t>
      </w:r>
      <w:fldSimple w:instr=" SEQ Wykres \* ARABIC ">
        <w:r w:rsidR="00541DFA">
          <w:rPr>
            <w:noProof/>
          </w:rPr>
          <w:t>14</w:t>
        </w:r>
      </w:fldSimple>
      <w:r w:rsidRPr="00141A4C">
        <w:t xml:space="preserve"> </w:t>
      </w:r>
      <w:r>
        <w:t>Poszukiwanie informacji o FEdKP 2021-2027 wśród beneficjentów RPO WK-P 2014-2020</w:t>
      </w:r>
    </w:p>
    <w:p w14:paraId="6508D5E2" w14:textId="77777777" w:rsidR="00006482" w:rsidRDefault="00006482" w:rsidP="00006482">
      <w:r>
        <w:rPr>
          <w:noProof/>
        </w:rPr>
        <w:drawing>
          <wp:inline distT="0" distB="0" distL="0" distR="0" wp14:anchorId="3B23D87C" wp14:editId="16290136">
            <wp:extent cx="5719445" cy="2159000"/>
            <wp:effectExtent l="0" t="0" r="14605" b="12700"/>
            <wp:docPr id="321362836" name="Wykres 1" descr="Wykres przedstawia odpowiedzi na pytanie z kwestionariusza „Czy dotarły do Państwa informacje o możliwościach ubiegania się o środki z Funduszy Europejskich dla Kujaw i Pomorza (FEdKP) na lata 2021-2027? Czy szukali Państwo informacji o naborach w ramach FEdKP 2021-2027?”.&#10;&#10;59,5% respondentów potwierdziło, że dotarły do nich informacje o możliwościach ubiegania się o środki z FEdKP, natomiast 40,5% odpowiedziało, że takich informacji nie otrzymało.&#10;65,6% badanych deklarowało, że szukało informacji o naborach w ramach FEdKP, a 34,4% – że tego nie robiło.">
              <a:extLst xmlns:a="http://schemas.openxmlformats.org/drawingml/2006/main">
                <a:ext uri="{FF2B5EF4-FFF2-40B4-BE49-F238E27FC236}">
                  <a16:creationId xmlns:a16="http://schemas.microsoft.com/office/drawing/2014/main" id="{CE0D7173-9A56-3A37-D396-2B716B25CF7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1F022216" w14:textId="1D2F8B5F" w:rsidR="00006482" w:rsidRDefault="00006482" w:rsidP="005A2787">
      <w:pPr>
        <w:pStyle w:val="rdo"/>
      </w:pPr>
      <w:r>
        <w:t>Źródło: badanie ilościowe wśród beneficjentów RPO</w:t>
      </w:r>
      <w:r w:rsidRPr="00042A22">
        <w:t xml:space="preserve"> </w:t>
      </w:r>
      <w:r>
        <w:t>WK-P 2014-2020, n=215.</w:t>
      </w:r>
      <w:r w:rsidR="002357C5">
        <w:t xml:space="preserve"> Odpowiedź na pytani</w:t>
      </w:r>
      <w:r w:rsidR="005171AF">
        <w:t>a</w:t>
      </w:r>
      <w:r w:rsidR="002357C5">
        <w:t xml:space="preserve"> „</w:t>
      </w:r>
      <w:r w:rsidR="005171AF">
        <w:t>Czy byli Państwo świadomi ogłoszonych naborów w ramach FEdKP 2021-2027?” oraz „Czy szukali Państwo informacji o naborach w ramach FEdKP 2021-2027?”</w:t>
      </w:r>
      <w:r w:rsidR="00A9054D">
        <w:t>.</w:t>
      </w:r>
    </w:p>
    <w:p w14:paraId="386FAB20" w14:textId="1324AD48" w:rsidR="004B07B2" w:rsidRDefault="004B07B2" w:rsidP="00414FB5">
      <w:r>
        <w:t xml:space="preserve">Główną komórką </w:t>
      </w:r>
      <w:r w:rsidR="007154D2">
        <w:t xml:space="preserve">odpowiedzialną za działania informacyjno-promocyjne oraz szkoleniowe jest </w:t>
      </w:r>
      <w:r w:rsidR="00E85557" w:rsidRPr="00E85557">
        <w:t>Wydział Punktów Informacyjnych Funduszy Europejskich</w:t>
      </w:r>
      <w:r w:rsidR="007154D2">
        <w:t xml:space="preserve">, który podejmuje liczne działania </w:t>
      </w:r>
      <w:r w:rsidR="00855628">
        <w:t xml:space="preserve">informacyjne </w:t>
      </w:r>
      <w:r w:rsidR="007154D2">
        <w:t xml:space="preserve">mające zachęcić do aplikowania. </w:t>
      </w:r>
      <w:r w:rsidR="00335844" w:rsidRPr="00335844">
        <w:t xml:space="preserve">Głównym źródłem informacji na temat naborów wniosków oraz wymaganej dokumentacji w postępowaniach, w których respondenci ubiegali się o dofinansowanie projektów, była strona </w:t>
      </w:r>
      <w:r w:rsidR="00A40A6D">
        <w:t>P</w:t>
      </w:r>
      <w:r w:rsidR="00335844" w:rsidRPr="00335844">
        <w:t>rogramu FEdKP 2021–2027 (</w:t>
      </w:r>
      <w:hyperlink r:id="rId33" w:history="1">
        <w:r w:rsidR="007B1D08">
          <w:rPr>
            <w:rStyle w:val="Hipercze"/>
          </w:rPr>
          <w:t>Fundusze Europejskie dla Kujaw i Pomorza 2021-2027</w:t>
        </w:r>
      </w:hyperlink>
      <w:r w:rsidR="00335844" w:rsidRPr="00335844">
        <w:t>) oraz ogólnopolski portal poświęcony funduszom europejskim (</w:t>
      </w:r>
      <w:hyperlink r:id="rId34" w:history="1">
        <w:r w:rsidR="000C2596">
          <w:rPr>
            <w:rStyle w:val="Hipercze"/>
          </w:rPr>
          <w:t>Portal Funduszy Europejskich</w:t>
        </w:r>
      </w:hyperlink>
      <w:r w:rsidR="00316691">
        <w:t xml:space="preserve"> </w:t>
      </w:r>
      <w:r w:rsidR="00335844" w:rsidRPr="00335844">
        <w:t xml:space="preserve">). Na dalszych miejscach wskazywano różne formy bezpośrednich spotkań z potencjalnymi wnioskodawcami, zarówno stacjonarnych, jak i realizowanych on-line. Badanie przeprowadzone w 2024 roku potwierdziło wysoką ocenę działań informacyjno-promocyjnych prowadzonych przez Województwo Kujawsko-Pomorskie, w szczególności spotkań informacyjnych, szkoleń oraz </w:t>
      </w:r>
      <w:proofErr w:type="spellStart"/>
      <w:r w:rsidR="00335844" w:rsidRPr="00335844">
        <w:t>webinarów</w:t>
      </w:r>
      <w:proofErr w:type="spellEnd"/>
      <w:r w:rsidR="00335844" w:rsidRPr="00335844">
        <w:t>.</w:t>
      </w:r>
    </w:p>
    <w:p w14:paraId="340AA672" w14:textId="01186240" w:rsidR="006A77C6" w:rsidRDefault="00335844" w:rsidP="005429F6">
      <w:r>
        <w:lastRenderedPageBreak/>
        <w:t>Jak wynika z deklaracji przedstawicieli IZ, w</w:t>
      </w:r>
      <w:r w:rsidR="005429F6">
        <w:t xml:space="preserve"> przypadku naborów w ramach EFS+ </w:t>
      </w:r>
      <w:r w:rsidR="006A77C6">
        <w:t xml:space="preserve">szkolenia </w:t>
      </w:r>
      <w:r w:rsidR="005429F6">
        <w:t>są organizowane</w:t>
      </w:r>
      <w:r w:rsidR="006A77C6" w:rsidRPr="006A77C6">
        <w:t xml:space="preserve"> </w:t>
      </w:r>
      <w:r w:rsidR="006A77C6">
        <w:t>zawsze</w:t>
      </w:r>
      <w:r w:rsidR="005429F6">
        <w:t xml:space="preserve">. </w:t>
      </w:r>
      <w:r w:rsidR="006A77C6" w:rsidRPr="006A77C6">
        <w:t>Natomiast w odniesieniu do EFRR, po uzgodnieniach pomiędzy Departamentem Wdrażania Funduszy Europejskich dla Kujaw i Pomorza oraz Wydziałem Punktów Informacyjnych Funduszy Europejskich w Departamencie Zarządzania Funduszami Europejskimi dla Kujaw i Pomorza, szkolenia lub spotkania są realizowane w odniesieniu do naborów uznanych przez wskazane komórki za zasadne. Przy podejmowaniu decyzji brane są pod uwagę m.in. informacje o wcześniej zadawanych pytaniach w danym obszarze, trudności napotykane w ramach wcześniejszych naborów, ocena własna zaangażowanych komórek co do potencjalnych problemów, a także potrzeba pobudzenia zainteresowania naborami w sytuacjach, gdy w poprzednich edycjach odnotowano niewielkie zainteresowanie.</w:t>
      </w:r>
    </w:p>
    <w:p w14:paraId="2FE25772" w14:textId="52AA9521" w:rsidR="00006482" w:rsidRPr="001D70B6" w:rsidRDefault="006A77C6" w:rsidP="005429F6">
      <w:r>
        <w:t>Pomimo szeroko podejmowanych działań, j</w:t>
      </w:r>
      <w:r w:rsidR="00006482" w:rsidRPr="001D70B6">
        <w:t>ednym z problemów wpływających na niskie zainteresowanie naborami</w:t>
      </w:r>
      <w:r w:rsidR="00006482">
        <w:t>, zdaniem instytucji organizujących nabory,</w:t>
      </w:r>
      <w:r w:rsidR="00006482" w:rsidRPr="001D70B6">
        <w:t xml:space="preserve"> </w:t>
      </w:r>
      <w:r>
        <w:t xml:space="preserve">pozostaje </w:t>
      </w:r>
      <w:r w:rsidR="00006482" w:rsidRPr="001D70B6">
        <w:rPr>
          <w:b/>
          <w:bCs/>
        </w:rPr>
        <w:t>niewystarczające dotarcie informacji do mniejszych gmin</w:t>
      </w:r>
      <w:r w:rsidR="00006482" w:rsidRPr="001D70B6">
        <w:t>, szczególnie tych o ograniczonych zasobach kadrowych i mniejszym doświadczeniu w aplikowaniu o środki unijne.</w:t>
      </w:r>
    </w:p>
    <w:p w14:paraId="194185C3" w14:textId="1F7DE27B" w:rsidR="00006482" w:rsidRDefault="00006482" w:rsidP="00006482">
      <w:r>
        <w:t>Zdaniem przedstawicieli niektórych komórek w instytucjach zaangażowanych w realizację FEdKP 2021-2027</w:t>
      </w:r>
      <w:r w:rsidR="00E22D2A">
        <w:t>,</w:t>
      </w:r>
      <w:r>
        <w:t>IZ w zbyt duż</w:t>
      </w:r>
      <w:r w:rsidR="001A6A89">
        <w:t>y</w:t>
      </w:r>
      <w:r>
        <w:t>m stopniu</w:t>
      </w:r>
      <w:r w:rsidRPr="004328B4">
        <w:t xml:space="preserve"> bazuje na tzw. „biernym” kanale informacyjnym – </w:t>
      </w:r>
      <w:r w:rsidR="00831E8D">
        <w:t>wnioskodawca</w:t>
      </w:r>
      <w:r w:rsidR="00831E8D" w:rsidRPr="004328B4">
        <w:t xml:space="preserve"> </w:t>
      </w:r>
      <w:r w:rsidRPr="004328B4">
        <w:t>sam musi trafić na stronę i odnaleźć ogłoszenie o naborze. Nie towarzyszy temu szeroko zakrojona kampania, która mogłaby zwrócić uwagę nowych potencjalnych wnioskodawców lub zmotywować mniej aktywnych do przygotowania projektu.</w:t>
      </w:r>
    </w:p>
    <w:p w14:paraId="01B5390C" w14:textId="77777777" w:rsidR="00006482" w:rsidRDefault="00006482" w:rsidP="00006482">
      <w:r w:rsidRPr="001D70B6">
        <w:t xml:space="preserve">W praktyce wiele </w:t>
      </w:r>
      <w:r>
        <w:t>mniejszych</w:t>
      </w:r>
      <w:r w:rsidRPr="001D70B6">
        <w:t xml:space="preserve"> gmin nie prowadzi systematycznego monitorowania strony internetowej </w:t>
      </w:r>
      <w:r>
        <w:t>IZ FEdKP 2021-2027</w:t>
      </w:r>
      <w:r w:rsidRPr="001D70B6">
        <w:t xml:space="preserve"> ani </w:t>
      </w:r>
      <w:r>
        <w:t>strony MFiPR</w:t>
      </w:r>
      <w:r w:rsidRPr="001D70B6">
        <w:t>, gdzie publikowane są ogłoszenia o naborach i dokumentacja konkursowa. Wynika to m.in. z niewielkich kadr urzędów, w których obowiązki związane z funduszami europejskimi są tylko jednym z wielu zadań pracowników, a także z braku wyodrębnionej komórki zajmującej się projektami.</w:t>
      </w:r>
      <w:r w:rsidRPr="007A1EF3">
        <w:t xml:space="preserve"> Taki sposób komunikacji jest wystarczający dla podmiotów komercyjnych i większych jednostek, które na bieżąco monitorują strony instytucji.</w:t>
      </w:r>
    </w:p>
    <w:p w14:paraId="205A4579" w14:textId="77777777" w:rsidR="00006482" w:rsidRDefault="00006482" w:rsidP="00006482">
      <w:r w:rsidRPr="001D70B6">
        <w:t>Efektem jest sytuacja, w której informacje o naborach trafiają do takich gmin z opóźnieniem lub wcale – np. dopiero wtedy, gdy zostaną przekazane przez inne podmioty lub pojawi się zaproszenie na szkolenie. W konsekwencji czas na przygotowanie wniosku jest jeszcze krótszy, a w skrajnych przypadkach gmina w ogóle rezygnuje z udziału w naborze.</w:t>
      </w:r>
    </w:p>
    <w:p w14:paraId="48F5C242" w14:textId="5A9469EF" w:rsidR="006A77C6" w:rsidRDefault="00006482" w:rsidP="00006482">
      <w:r w:rsidRPr="001D70B6">
        <w:t xml:space="preserve">Instytucja </w:t>
      </w:r>
      <w:r w:rsidR="00390F2E">
        <w:t>Zarządzająca</w:t>
      </w:r>
      <w:r w:rsidR="00390F2E" w:rsidRPr="001D70B6">
        <w:t xml:space="preserve"> </w:t>
      </w:r>
      <w:r w:rsidRPr="001D70B6">
        <w:t>podejmuje działania zaradcze, m.in. indywidualnie zaprasza potencjalnych wnioskodawców (zwłaszcza tych, którzy mają zatwierdzone fiszki projektowe</w:t>
      </w:r>
      <w:r>
        <w:t xml:space="preserve"> w Działaniach w ramach polityki terytorialnej</w:t>
      </w:r>
      <w:r w:rsidRPr="001D70B6">
        <w:t xml:space="preserve">) na szkolenia, wysyła informacje mailowo i kontaktuje się telefonicznie. </w:t>
      </w:r>
      <w:r w:rsidR="005646DD" w:rsidRPr="005646DD">
        <w:t xml:space="preserve">Jako dobrą praktykę należy wskazać działania podejmowane w przypadku naborów dotyczących infrastruktury </w:t>
      </w:r>
      <w:r w:rsidR="005646DD" w:rsidRPr="005646DD">
        <w:lastRenderedPageBreak/>
        <w:t>OSP oraz świetlic wiejskich, kiedy to bezpośrednie informacje o naborach były kierowane do gmin. Pracownicy IZ aktywnie uczestniczyli w przygotowywaniu pism adresowanych do samorządów, co pozwalało na skuteczniejsze dotarcie do potencjalnych wnioskodawców i zwiększało ich świadomość w zakresie dostępnych możliwości wsparcia.</w:t>
      </w:r>
    </w:p>
    <w:p w14:paraId="4227EAB5" w14:textId="0AB0D79C" w:rsidR="00006482" w:rsidRDefault="00006482" w:rsidP="00006482">
      <w:r w:rsidRPr="001D70B6">
        <w:t xml:space="preserve">Mimo to, problem pełnego i szybkiego dotarcia informacji do wszystkich potencjalnych </w:t>
      </w:r>
      <w:r w:rsidR="00854BB0">
        <w:t>wnioskodawców</w:t>
      </w:r>
      <w:r w:rsidR="00854BB0" w:rsidRPr="001D70B6">
        <w:t xml:space="preserve"> </w:t>
      </w:r>
      <w:r w:rsidRPr="001D70B6">
        <w:t>pozostaje aktualny.</w:t>
      </w:r>
    </w:p>
    <w:p w14:paraId="1063F1A1" w14:textId="2EF5F3C3" w:rsidR="00006482" w:rsidRDefault="003441D9" w:rsidP="00006482">
      <w:r>
        <w:rPr>
          <w:b/>
          <w:bCs/>
          <w:color w:val="0F14D2" w:themeColor="accent1"/>
        </w:rPr>
        <w:t>Zalecenie</w:t>
      </w:r>
      <w:r w:rsidR="00006482" w:rsidRPr="004C7B78">
        <w:rPr>
          <w:b/>
          <w:bCs/>
          <w:color w:val="0F14D2" w:themeColor="accent1"/>
        </w:rPr>
        <w:t>:</w:t>
      </w:r>
      <w:r w:rsidR="00006482" w:rsidRPr="004C7B78">
        <w:rPr>
          <w:color w:val="0F14D2" w:themeColor="accent1"/>
        </w:rPr>
        <w:t xml:space="preserve"> </w:t>
      </w:r>
      <w:r>
        <w:t>Warto rozważyć</w:t>
      </w:r>
      <w:r w:rsidR="00006482" w:rsidRPr="00897731">
        <w:t xml:space="preserve"> wprowadzenie </w:t>
      </w:r>
      <w:r>
        <w:t xml:space="preserve">w większym stopniu </w:t>
      </w:r>
      <w:r w:rsidR="00006482" w:rsidRPr="00897731">
        <w:t>bardziej proaktywnych i zróżnicowanych kanałów komunikacji z potencjalnymi wnioskodawcami, w szczególności z mniejszych gmin o ograniczonych zasobach kadrowych. Oprócz publikacji ogłoszeń na stronie internetowej, warto stosować bezpośrednie formy kontaktu, takie jak newslettery, powiadomienia SMS, listy mailingowe tworzone w oparciu o dane z poprzednich naborów oraz kontakt telefoniczny w przypadku naborów o krótszym terminie trwania.</w:t>
      </w:r>
    </w:p>
    <w:p w14:paraId="65397917" w14:textId="77777777" w:rsidR="00006482" w:rsidRDefault="00006482" w:rsidP="00006482">
      <w:r w:rsidRPr="007A1EF3">
        <w:t>O tym, że bezpośredni kontakt jest najskuteczniejszy, świadczą wyniki ankiet poszkoleniowych</w:t>
      </w:r>
      <w:r>
        <w:t xml:space="preserve"> (dotyczących naborów w ramach polityki terytorialnej)</w:t>
      </w:r>
      <w:r w:rsidRPr="007A1EF3">
        <w:t>, w których uczestnicy najczęściej wskazywali, że o szkoleniu dowiedzieli się z indywidualnego zaproszenia – drogą mailową lub telefoniczną – a nie z informacji zamieszczonej na stronie internetowej, mimo że była tam opublikowana</w:t>
      </w:r>
      <w:r>
        <w:t>. W Działaniach realizowanych w ramach polityki terytorialnej, mimo iż wydawałoby się, że samorządy powinny oczekiwać i śledzić na bieżąco ogłoszenia, z</w:t>
      </w:r>
      <w:r w:rsidRPr="007A1EF3">
        <w:t>darzają się przypadki, że są</w:t>
      </w:r>
      <w:r>
        <w:t xml:space="preserve"> oni</w:t>
      </w:r>
      <w:r w:rsidRPr="007A1EF3">
        <w:t xml:space="preserve"> zaskoczeni informacją o trwającym naborze. Problem pogłębia mylne przekonanie części gmin, że po zaakceptowaniu strategii </w:t>
      </w:r>
      <w:r>
        <w:t xml:space="preserve">terytorialnej </w:t>
      </w:r>
      <w:r w:rsidRPr="007A1EF3">
        <w:t xml:space="preserve">i fiszki projektowej </w:t>
      </w:r>
      <w:r>
        <w:t>przygotowanie wniosku</w:t>
      </w:r>
      <w:r w:rsidRPr="007A1EF3">
        <w:t xml:space="preserve"> jest już tylko formalnością.</w:t>
      </w:r>
    </w:p>
    <w:p w14:paraId="536ADA09" w14:textId="363742B8" w:rsidR="003441D9" w:rsidRDefault="0099788D" w:rsidP="00006482">
      <w:r w:rsidRPr="0099788D">
        <w:t xml:space="preserve">Doświadczenia innych regionów pokazują, że </w:t>
      </w:r>
      <w:r>
        <w:t>różnego</w:t>
      </w:r>
      <w:r w:rsidRPr="0099788D">
        <w:t xml:space="preserve"> typu rozwiązania mogą przynosić wymierne efekty i warto je rozważyć także w kontekście województwa kujawsko-pomorskiego. </w:t>
      </w:r>
      <w:r w:rsidRPr="00077CA0">
        <w:t>Przykłady stosowanych praktyk obejmują m.in.:</w:t>
      </w:r>
    </w:p>
    <w:p w14:paraId="4E938247" w14:textId="77777777" w:rsidR="00546D81" w:rsidRPr="00546D81" w:rsidRDefault="00546D81" w:rsidP="00077CA0">
      <w:pPr>
        <w:pStyle w:val="Akapitzlist"/>
        <w:numPr>
          <w:ilvl w:val="0"/>
          <w:numId w:val="51"/>
        </w:numPr>
        <w:ind w:left="714" w:hanging="357"/>
        <w:contextualSpacing w:val="0"/>
      </w:pPr>
      <w:r w:rsidRPr="00077CA0">
        <w:t>Wskazanie osób kontaktowych dla poszczególnych naborów</w:t>
      </w:r>
      <w:r w:rsidRPr="00546D81">
        <w:t>, co</w:t>
      </w:r>
      <w:r w:rsidRPr="00077CA0">
        <w:t xml:space="preserve"> </w:t>
      </w:r>
      <w:r w:rsidRPr="00546D81">
        <w:t>umożliwia wnioskodawcom zwracanie się z zapytaniami do konkretnych pracowników. Takie rozwiązanie stosowane jest np. w województwie podkarpackim, gdzie podaje się kontakty do pracowników z komórki odpowiedzialnej za dany nabór, komórki zajmującej się np. kwestiami środowiskowymi, a także do osoby, do której można kierować pytania w kwestiach technicznych związanych z korzystaniem z aplikacji WOD2021.</w:t>
      </w:r>
    </w:p>
    <w:p w14:paraId="0BF9CF76" w14:textId="77777777" w:rsidR="00546D81" w:rsidRPr="00546D81" w:rsidRDefault="00546D81" w:rsidP="00077CA0">
      <w:pPr>
        <w:pStyle w:val="Akapitzlist"/>
        <w:numPr>
          <w:ilvl w:val="0"/>
          <w:numId w:val="51"/>
        </w:numPr>
        <w:ind w:left="714" w:hanging="357"/>
        <w:contextualSpacing w:val="0"/>
      </w:pPr>
      <w:r w:rsidRPr="00546D81">
        <w:t xml:space="preserve">Dostępność </w:t>
      </w:r>
      <w:r w:rsidRPr="00077CA0">
        <w:t>osoby pełniącej obowiązki koordynatora ds. równości, niedyskryminacji i Karty Praw Podstawowych (KPP)</w:t>
      </w:r>
      <w:r w:rsidRPr="00546D81">
        <w:t xml:space="preserve"> dla wnioskodawców (ale </w:t>
      </w:r>
      <w:r w:rsidRPr="00546D81">
        <w:lastRenderedPageBreak/>
        <w:t>też pracowników i ekspertów zaangażowanych w ocenę projektów) w celu konsultacji zasad horyzontalnych</w:t>
      </w:r>
      <w:r w:rsidRPr="00546D81">
        <w:rPr>
          <w:rStyle w:val="Odwoanieprzypisudolnego"/>
        </w:rPr>
        <w:footnoteReference w:id="47"/>
      </w:r>
      <w:r w:rsidRPr="00546D81">
        <w:t>.</w:t>
      </w:r>
    </w:p>
    <w:p w14:paraId="0998AA67" w14:textId="77777777" w:rsidR="00546D81" w:rsidRPr="00546D81" w:rsidRDefault="00546D81" w:rsidP="00077CA0">
      <w:pPr>
        <w:pStyle w:val="Akapitzlist"/>
        <w:numPr>
          <w:ilvl w:val="0"/>
          <w:numId w:val="51"/>
        </w:numPr>
        <w:ind w:left="714" w:hanging="357"/>
        <w:contextualSpacing w:val="0"/>
      </w:pPr>
      <w:r w:rsidRPr="00546D81">
        <w:t xml:space="preserve">Oferowanie możliwości </w:t>
      </w:r>
      <w:r w:rsidRPr="00077CA0">
        <w:t>spotkań indywidualnych</w:t>
      </w:r>
      <w:r w:rsidRPr="00546D81">
        <w:t xml:space="preserve"> dostępnych dla wnioskodawców na każdym etapie przygotowania wniosku, umożliwiają szczegółowe omówienie ich pomysłów na projekty (taką formę wsparcia oferuje m.in. IZ programem regionalnym na lata 2021-2027 w województwie lubuskim</w:t>
      </w:r>
      <w:r w:rsidRPr="00546D81">
        <w:rPr>
          <w:rStyle w:val="Odwoanieprzypisudolnego"/>
        </w:rPr>
        <w:footnoteReference w:id="48"/>
      </w:r>
      <w:r w:rsidRPr="00546D81">
        <w:t xml:space="preserve">). W perspektywie 2014-2020 w województwie podlaskim organizowane były w odniesieniu do wybranych naborów EFS </w:t>
      </w:r>
      <w:r w:rsidRPr="00077CA0">
        <w:t>indywidualne konsultacje</w:t>
      </w:r>
      <w:r w:rsidRPr="00546D81">
        <w:t xml:space="preserve">, także tzw. </w:t>
      </w:r>
      <w:proofErr w:type="spellStart"/>
      <w:r w:rsidRPr="00077CA0">
        <w:t>prepanele</w:t>
      </w:r>
      <w:proofErr w:type="spellEnd"/>
      <w:r w:rsidRPr="00077CA0">
        <w:t xml:space="preserve"> </w:t>
      </w:r>
      <w:r w:rsidRPr="00546D81">
        <w:t>czyli indywidualne konsultacje z poszczególnymi podmiotami, które chcą ubiegać się o środki, podczas których omawiane są kryteria wyboru projektów</w:t>
      </w:r>
      <w:r w:rsidRPr="00546D81">
        <w:rPr>
          <w:rStyle w:val="Odwoanieprzypisudolnego"/>
        </w:rPr>
        <w:footnoteReference w:id="49"/>
      </w:r>
      <w:r w:rsidRPr="00546D81">
        <w:t>.</w:t>
      </w:r>
    </w:p>
    <w:p w14:paraId="40CDDE4D" w14:textId="77777777" w:rsidR="00546D81" w:rsidRPr="00546D81" w:rsidRDefault="00546D81" w:rsidP="00077CA0">
      <w:pPr>
        <w:pStyle w:val="Akapitzlist"/>
        <w:numPr>
          <w:ilvl w:val="0"/>
          <w:numId w:val="51"/>
        </w:numPr>
        <w:ind w:left="714" w:hanging="357"/>
        <w:contextualSpacing w:val="0"/>
      </w:pPr>
      <w:r w:rsidRPr="00077CA0">
        <w:t>Bieżące rozwiązywanie problemów</w:t>
      </w:r>
      <w:r w:rsidRPr="00546D81">
        <w:t xml:space="preserve"> poprzez organizowanie ad-hoc szkoleń i spotkań informacyjnych w celu wyjaśniania wątpliwości w trakcie pisania wniosków o dofinansowanie. Takie rozwiązania stosowane są m.in. przez Instytucję Zarządzającą programem regionalnym na lata 2021-2027 w województwie śląskim, gdzie w sytuacji zgłaszania w danym naborze wielu podobnych wątpliwości, poza udzielaniem odpowiedzi w sekcji FAQ, organizowano krótkie dodatkowe szkolenia</w:t>
      </w:r>
      <w:r w:rsidRPr="00546D81">
        <w:rPr>
          <w:rStyle w:val="Odwoanieprzypisudolnego"/>
        </w:rPr>
        <w:footnoteReference w:id="50"/>
      </w:r>
      <w:r w:rsidRPr="00546D81">
        <w:t xml:space="preserve">. </w:t>
      </w:r>
    </w:p>
    <w:p w14:paraId="34D6023F" w14:textId="77777777" w:rsidR="00546D81" w:rsidRPr="00546D81" w:rsidRDefault="00546D81" w:rsidP="00077CA0">
      <w:pPr>
        <w:pStyle w:val="Akapitzlist"/>
        <w:numPr>
          <w:ilvl w:val="0"/>
          <w:numId w:val="51"/>
        </w:numPr>
        <w:ind w:left="714" w:hanging="357"/>
        <w:contextualSpacing w:val="0"/>
      </w:pPr>
      <w:r w:rsidRPr="00546D81">
        <w:t xml:space="preserve">Wysyłanie </w:t>
      </w:r>
      <w:proofErr w:type="spellStart"/>
      <w:r w:rsidRPr="00077CA0">
        <w:t>newslettera</w:t>
      </w:r>
      <w:proofErr w:type="spellEnd"/>
      <w:r w:rsidRPr="00546D81">
        <w:t>, informującego o ogłoszeniach naborów wniosków, aktualnościach, szkoleniach i konferencjach. Takie rozwiązanie stosowało i stosuje województwo podlaskie. Z badania przeprowadzonego w perspektywie 2014-2020 wynika, że newsletter był istotnym źródłem informacji o naborach w szczególności dla samorządów</w:t>
      </w:r>
      <w:r w:rsidRPr="00546D81">
        <w:rPr>
          <w:rStyle w:val="Odwoanieprzypisudolnego"/>
        </w:rPr>
        <w:footnoteReference w:id="51"/>
      </w:r>
      <w:r w:rsidRPr="00546D81">
        <w:t xml:space="preserve">. </w:t>
      </w:r>
    </w:p>
    <w:p w14:paraId="1120EF4D" w14:textId="5378E67C" w:rsidR="00546D81" w:rsidRDefault="00546D81" w:rsidP="00077CA0">
      <w:pPr>
        <w:pStyle w:val="Akapitzlist"/>
        <w:numPr>
          <w:ilvl w:val="0"/>
          <w:numId w:val="51"/>
        </w:numPr>
        <w:ind w:left="714" w:hanging="357"/>
        <w:contextualSpacing w:val="0"/>
      </w:pPr>
      <w:r w:rsidRPr="00546D81">
        <w:t xml:space="preserve">Szkolenia w połowie naboru - w przypadku jednej z instytucji </w:t>
      </w:r>
      <w:r>
        <w:t xml:space="preserve">w województwie warmińsko-mazurskim </w:t>
      </w:r>
      <w:r w:rsidRPr="00546D81">
        <w:t xml:space="preserve">wprowadzony został </w:t>
      </w:r>
      <w:r w:rsidRPr="00077CA0">
        <w:t xml:space="preserve">zwyczaj organizowania </w:t>
      </w:r>
      <w:r w:rsidRPr="00B56CC9">
        <w:t>spotkania informacyjnego dla wnioskodawców</w:t>
      </w:r>
      <w:r w:rsidRPr="00546D81">
        <w:t xml:space="preserve"> </w:t>
      </w:r>
      <w:r w:rsidRPr="00077CA0">
        <w:t>w połowie trwania naboru</w:t>
      </w:r>
      <w:r w:rsidRPr="00546D81">
        <w:t>. Przed takim spotkaniem mają oni możliwość szczegółowego zapoznania się z dokumentacją konkursową, zidentyfikowania wątpliwości oraz problemów przy sporządzaniu wniosku o dofinansowanie. Spotkanie jest wówczas idealnym sposobem na odpowiedź na wszelkie pytania</w:t>
      </w:r>
      <w:r w:rsidRPr="0051699C">
        <w:t xml:space="preserve"> wnioskodawc</w:t>
      </w:r>
      <w:r>
        <w:t>ów</w:t>
      </w:r>
      <w:r w:rsidRPr="0051699C">
        <w:t xml:space="preserve">. Jest to </w:t>
      </w:r>
      <w:r w:rsidRPr="0051699C">
        <w:lastRenderedPageBreak/>
        <w:t>rozwiązanie, które sprawdza się w praktyce, a potencjalni beneficjenci aktywnie uczestniczą w takich spotkaniach</w:t>
      </w:r>
      <w:r>
        <w:rPr>
          <w:rStyle w:val="Odwoanieprzypisudolnego"/>
        </w:rPr>
        <w:footnoteReference w:id="52"/>
      </w:r>
      <w:r w:rsidR="001A1616">
        <w:t>.</w:t>
      </w:r>
    </w:p>
    <w:p w14:paraId="68E74BC2" w14:textId="77777777" w:rsidR="00006482" w:rsidRDefault="00006482" w:rsidP="00006482">
      <w:r>
        <w:t xml:space="preserve">Problem </w:t>
      </w:r>
      <w:r w:rsidRPr="00EC6CA9">
        <w:rPr>
          <w:b/>
          <w:bCs/>
        </w:rPr>
        <w:t>rozproszenia informacji o źródłach wsparcia</w:t>
      </w:r>
      <w:r>
        <w:t xml:space="preserve"> nie dotyczy wyłącznie naborów objętych niniejszym badaniem, ale jest szerszy – i wykracza poza same nabory do FEdKP 2021-2027. Uczestnicy wywiadu grupowego w obszarze rozwoju gospodarczego zwracają uwagę, że w</w:t>
      </w:r>
      <w:r w:rsidRPr="000A1801">
        <w:t xml:space="preserve"> regionie funkcjonuje wiele instytucji oferujących wsparcie (instytucja zarządzająca, instytucje pośredniczące, operatorzy projektów grantowych, organizacje otoczenia biznesu), ale każda promuje swoje działania oddzielnie, w ramach własnych kanałów (strony internetowe, </w:t>
      </w:r>
      <w:proofErr w:type="spellStart"/>
      <w:r w:rsidRPr="000A1801">
        <w:t>social</w:t>
      </w:r>
      <w:proofErr w:type="spellEnd"/>
      <w:r w:rsidRPr="000A1801">
        <w:t xml:space="preserve"> media, newslettery).</w:t>
      </w:r>
      <w:r>
        <w:t xml:space="preserve"> </w:t>
      </w:r>
      <w:r w:rsidRPr="000A1801">
        <w:t>Nie istnieje jedno „centralne miejsce”, które prezentowałoby pełny obraz dostępnych programów – zarówno z poziomu regionalnego, jak i krajowego.</w:t>
      </w:r>
      <w:r>
        <w:t xml:space="preserve"> </w:t>
      </w:r>
      <w:r w:rsidRPr="000A1801">
        <w:t>Przedsiębiorcy, szczególnie ci, którzy wcześniej nie korzystali z funduszy, nie wiedzą,</w:t>
      </w:r>
      <w:r w:rsidRPr="000A1801">
        <w:rPr>
          <w:b/>
          <w:bCs/>
        </w:rPr>
        <w:t xml:space="preserve"> </w:t>
      </w:r>
      <w:r w:rsidRPr="000A1801">
        <w:t>gdzie i czego szukać.</w:t>
      </w:r>
    </w:p>
    <w:p w14:paraId="0C523A9B" w14:textId="6C1E7B81" w:rsidR="00006482" w:rsidRPr="000A1801" w:rsidRDefault="00006482" w:rsidP="00006482">
      <w:r>
        <w:t xml:space="preserve">Przykładem rozproszenia informacji o możliwym uzyskaniu wsparcia są projekty w zakresie promocji gospodarczej realizowane w Działaniu 1.3 Wsparcie MŚP, realizowane zarówno przez Samorząd Województwa, jak też kilku beneficjentów wybranych w naborze konkurencyjnym. </w:t>
      </w:r>
      <w:r w:rsidR="00752F26">
        <w:t xml:space="preserve">W ramach projektów realizowane jest wsparcie grantowe skierowane do MŚP. </w:t>
      </w:r>
      <w:r>
        <w:t>Każdy beneficjent prowadzi własne działania informacyjno-promocyjne</w:t>
      </w:r>
      <w:r w:rsidR="005F1EB7">
        <w:t xml:space="preserve"> zachęcające MŚP do udziału</w:t>
      </w:r>
      <w:r>
        <w:t>, podczas gdy zróżnicowana oferta poszczególnych projektów powinna być dostępna w jednym miejscu. Beneficjenci odnotowują trudności w rekrutowaniu mniej aktywnych firm. O</w:t>
      </w:r>
      <w:r w:rsidRPr="000A1801">
        <w:t>dnotowują, że ich komunikacja trafia do „tej samej puli” aktywnych beneficjentów – firm, które korzystały ze wsparcia w poprzedniej perspektywie, zapisanych do newsletterów czy obserwujących profile w mediach społecznościowych.</w:t>
      </w:r>
      <w:r>
        <w:t xml:space="preserve"> </w:t>
      </w:r>
      <w:r w:rsidRPr="000A1801">
        <w:t>Testowane są metody bezpośredniego kontaktu (typowanie firm i telefoniczne/bezpośrednie zaproszenia), ale jest to czasochłonne i ograniczone zasięgiem.</w:t>
      </w:r>
      <w:r>
        <w:t xml:space="preserve"> Dodatkowym utrudnieniem w tych projektach są </w:t>
      </w:r>
      <w:proofErr w:type="spellStart"/>
      <w:r>
        <w:t>nieuspójnione</w:t>
      </w:r>
      <w:proofErr w:type="spellEnd"/>
      <w:r>
        <w:t xml:space="preserve"> zasady uczestnictwa w każdym z projektów – k</w:t>
      </w:r>
      <w:r w:rsidRPr="000A1801">
        <w:t>ażd</w:t>
      </w:r>
      <w:r>
        <w:t>y</w:t>
      </w:r>
      <w:r w:rsidRPr="000A1801">
        <w:t xml:space="preserve"> ma inne zasady, dokumenty, poziom dofinansowania i własną rekrutację.</w:t>
      </w:r>
      <w:r w:rsidRPr="00F12FFA">
        <w:t xml:space="preserve"> </w:t>
      </w:r>
      <w:r w:rsidRPr="000A1801">
        <w:t>Dla przedsiębiorcy oznacza to konieczność oddzielnego kontaktu z wieloma podmiotami, zapoznania się z odmienną dokumentacją i zasadami – co zniechęca do udziału.</w:t>
      </w:r>
      <w:r>
        <w:t xml:space="preserve"> Dodatkowo b</w:t>
      </w:r>
      <w:r w:rsidRPr="000A1801">
        <w:t>rak koordynacji prowadzi do konkurencji między operatorami (rywalizacja o te same firmy) i dublowania działań (np. organizacja misji gospodarczych na te same targi w tym samym czasie).</w:t>
      </w:r>
      <w:r>
        <w:t xml:space="preserve"> Z deklaracji beneficjentów wynika, że próbują komunikować się między sobą indywidualnie, ale nie jest to wystarczające rozwiązanie. </w:t>
      </w:r>
    </w:p>
    <w:p w14:paraId="31A2E21A" w14:textId="39C391A2" w:rsidR="00006482" w:rsidRDefault="00006482" w:rsidP="00006482">
      <w:r w:rsidRPr="000D230F">
        <w:rPr>
          <w:b/>
          <w:bCs/>
          <w:color w:val="0F14D2" w:themeColor="accent1"/>
        </w:rPr>
        <w:t>Zalecenie:</w:t>
      </w:r>
      <w:r w:rsidRPr="000D230F">
        <w:rPr>
          <w:color w:val="0F14D2" w:themeColor="accent1"/>
        </w:rPr>
        <w:t xml:space="preserve"> </w:t>
      </w:r>
      <w:r>
        <w:t>Wskazane jest</w:t>
      </w:r>
      <w:r w:rsidRPr="00E67847">
        <w:t xml:space="preserve"> utworzenie </w:t>
      </w:r>
      <w:r>
        <w:t>jednego</w:t>
      </w:r>
      <w:r w:rsidRPr="00E67847">
        <w:t xml:space="preserve">, łatwo dostępnego punktu informacji (np. portal lub wyszukiwarka) prezentującego w sposób spójny </w:t>
      </w:r>
      <w:r w:rsidR="00301B89">
        <w:t xml:space="preserve">całą </w:t>
      </w:r>
      <w:r w:rsidRPr="00E67847">
        <w:t xml:space="preserve">ofertę </w:t>
      </w:r>
      <w:r w:rsidR="00301B89">
        <w:t>skierowaną do przedsiębiorców w ramach FEdKP 2021-2027</w:t>
      </w:r>
      <w:r w:rsidRPr="00E67847">
        <w:t xml:space="preserve">, wraz z zasadami, </w:t>
      </w:r>
      <w:r w:rsidRPr="00E67847">
        <w:lastRenderedPageBreak/>
        <w:t>dokumentacją i harmonogramami</w:t>
      </w:r>
      <w:r w:rsidR="0081362F">
        <w:t>.</w:t>
      </w:r>
      <w:r w:rsidR="007269C2">
        <w:t xml:space="preserve"> </w:t>
      </w:r>
      <w:proofErr w:type="spellStart"/>
      <w:r w:rsidR="009D60AA">
        <w:t>Dodatkwo</w:t>
      </w:r>
      <w:proofErr w:type="spellEnd"/>
      <w:r w:rsidR="009D60AA">
        <w:t xml:space="preserve"> w</w:t>
      </w:r>
      <w:r w:rsidR="00301B89">
        <w:t xml:space="preserve"> przy</w:t>
      </w:r>
      <w:r w:rsidR="009D60AA">
        <w:t>p</w:t>
      </w:r>
      <w:r w:rsidR="00301B89">
        <w:t xml:space="preserve">adku </w:t>
      </w:r>
      <w:r w:rsidR="00301B89" w:rsidRPr="00E67847">
        <w:t>projektów</w:t>
      </w:r>
      <w:r w:rsidR="00301B89">
        <w:t xml:space="preserve"> z Działania 1.3 oferujących wsparcie MŚP</w:t>
      </w:r>
      <w:r w:rsidR="009D60AA">
        <w:t>, n</w:t>
      </w:r>
      <w:r w:rsidRPr="00E67847">
        <w:t>iezbędne jest ujednolicenie kluczowych warunków uczestnictwa, wzorów dokumentów oraz poziomu dofinansowania, aby uprościć proces rekrutacji i ograniczyć bariery wejścia dla mniej aktywnych firm. Wskazane jest również wprowadzenie mechanizmu koordynacji działań operatorów, tak aby unikać dublowania wydarzeń i konkurowania o te same przedsiębiorstwa, a jednocześnie zwiększać efektywność promocji.</w:t>
      </w:r>
    </w:p>
    <w:p w14:paraId="50C8DBE8" w14:textId="77777777" w:rsidR="00006482" w:rsidRDefault="00006482" w:rsidP="00006482">
      <w:r w:rsidRPr="00F12FFA">
        <w:rPr>
          <w:b/>
          <w:bCs/>
        </w:rPr>
        <w:t xml:space="preserve">Wyniki badania ilościowego przeprowadzonego wśród wnioskodawców </w:t>
      </w:r>
      <w:r>
        <w:rPr>
          <w:b/>
          <w:bCs/>
        </w:rPr>
        <w:t>FEdKP 2021-2027</w:t>
      </w:r>
      <w:r>
        <w:t xml:space="preserve"> wskazują, że niedostateczna dostępność informacji nie stanowiła dużego problemu. Zdecydowana większość nie miała trudności z odnalezieniem informacji o naborze, a harmonogram i terminy naborów były jasno komunikowane. Ponad 15% badanych oceniło jednak, że informacje o naborze nie były publikowane odpowiednio wcześnie, a 12,5% oceniło, że h</w:t>
      </w:r>
      <w:r w:rsidRPr="00A90BEE">
        <w:t>armonogram naborów zmieniał się zbyt często</w:t>
      </w:r>
      <w:r>
        <w:t>.</w:t>
      </w:r>
    </w:p>
    <w:p w14:paraId="44A932AA" w14:textId="674451A4" w:rsidR="00006482" w:rsidRDefault="00006482" w:rsidP="00006482">
      <w:pPr>
        <w:pStyle w:val="Legenda"/>
      </w:pPr>
      <w:r w:rsidRPr="00141A4C">
        <w:t xml:space="preserve">Wykres </w:t>
      </w:r>
      <w:fldSimple w:instr=" SEQ Wykres \* ARABIC ">
        <w:r w:rsidR="00541DFA">
          <w:rPr>
            <w:noProof/>
          </w:rPr>
          <w:t>15</w:t>
        </w:r>
      </w:fldSimple>
      <w:r w:rsidRPr="00141A4C">
        <w:t xml:space="preserve"> </w:t>
      </w:r>
      <w:r>
        <w:t>Ocen</w:t>
      </w:r>
      <w:r w:rsidR="00EF7A0A">
        <w:t>a</w:t>
      </w:r>
      <w:r>
        <w:t xml:space="preserve"> dostępności informacji o naborach FEdKP 2021-2027</w:t>
      </w:r>
    </w:p>
    <w:p w14:paraId="3165BACD" w14:textId="2F653D5B" w:rsidR="00D7741A" w:rsidRPr="004248FF" w:rsidRDefault="00D7741A" w:rsidP="008C41E8">
      <w:r>
        <w:rPr>
          <w:noProof/>
        </w:rPr>
        <w:drawing>
          <wp:inline distT="0" distB="0" distL="0" distR="0" wp14:anchorId="59EF963D" wp14:editId="281BFD52">
            <wp:extent cx="5760720" cy="2872105"/>
            <wp:effectExtent l="0" t="0" r="11430" b="4445"/>
            <wp:docPr id="217238986" name="Wykres 1" descr="Wykres przedstawia odpowiedzi na pytanie z kwestionariusza „Proszę ocenić, w jakim stopniu zgadzają się...”.&#10;&#10;Dla stwierdzenia „Harmonogram i terminy naboru były wystarczająco jasno zakomunikowane” 50,0% respondentów odpowiedziało „Zdecydowanie się zgadzam”, 43,3% – „Raczej się zgadzam”, 3,8% – „Raczej się nie zgadzam”, 1,9% – „Zdecydowanie się nie zgadzam”, a 1,0% wybrało „Nie wiem/trudno powiedzieć”.&#10;&#10;W przypadku stwierdzenia „Informacje o naborze były dostępne odpowiednio wcześnie” 31,7% wskazało „Zdecydowanie się zgadzam”, 46,2% – „Raczej się zgadzam”, 10,6% – „Raczej się nie zgadzam”, 4,8% – „Zdecydowanie się nie zgadzam” oraz 6,7% – „Nie wiem/trudno powiedzieć”.&#10;&#10;Dla stwierdzenia „Informacje o naborze były łatwe do odnalezienia (np. na stronie internetowej programu)” 44,2% wybrało „Zdecydowanie się zgadzam”, 47,1% – „Raczej się zgadzam”, 7,7% – „Raczej się nie zgadzam”, 1,0% – „Zdecydowanie się nie zgadzam”, a nikt nie zaznaczył odpowiedzi „Nie wiem/trudno powiedzieć”.&#10;&#10;W odniesieniu do stwierdzenia „W przypadku wątpliwości istniała możliwość uzyskania wyjaśnień lub konsultacji” 45,2% badanych zaznaczyło „Zdecydowanie się zgadzam”, 37,5% – „Raczej się zgadzam”, 1,0% – „Raczej się nie zgadzam”, 3,8% – „Zdecydowanie się nie zgadzam” oraz 12,5% – „Nie wiem/trudno powiedzieć”.&#10;&#10;Dla stwierdzenia „Harmonogram naborów zmieniał się zbyt często” 4,8% badanych odpowiedziało „Zdecydowanie się zgadzam”, 7,7% – „Raczej się zgadzam”, 44,2% – „Raczej się nie zgadzam”, 27,9% – „Zdecydowanie się nie zgadzam”, a 15,4% – „Nie wiem/trudno powiedzieć”.">
              <a:extLst xmlns:a="http://schemas.openxmlformats.org/drawingml/2006/main">
                <a:ext uri="{FF2B5EF4-FFF2-40B4-BE49-F238E27FC236}">
                  <a16:creationId xmlns:a16="http://schemas.microsoft.com/office/drawing/2014/main" id="{4B525F4F-EA54-4953-9FE2-1F24640EB2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A74791F" w14:textId="0B64F535" w:rsidR="00006482" w:rsidRDefault="00006482" w:rsidP="00077CA0">
      <w:r>
        <w:t>Źródło: badanie ilościowe wśród wnioskodawców FEdKP 2021-2027, n=104.</w:t>
      </w:r>
      <w:r w:rsidR="005171AF">
        <w:t xml:space="preserve"> Odpowiedź na pytanie </w:t>
      </w:r>
      <w:r w:rsidR="00E861E5">
        <w:t>„</w:t>
      </w:r>
      <w:r w:rsidR="00E861E5" w:rsidRPr="00E861E5">
        <w:t>Proszę ocenić, w jakim stopniu zgadzają się Państwo z poniższymi stwierdzeniami na temat informacji o naborze</w:t>
      </w:r>
      <w:r w:rsidR="00E861E5">
        <w:t>”</w:t>
      </w:r>
      <w:r w:rsidR="001F4A0E">
        <w:t>.</w:t>
      </w:r>
    </w:p>
    <w:p w14:paraId="37B259A1" w14:textId="3143E4ED" w:rsidR="009003E9" w:rsidRDefault="00006482" w:rsidP="00006482">
      <w:r w:rsidRPr="00F35DFC">
        <w:t xml:space="preserve">Uczestnicy </w:t>
      </w:r>
      <w:r>
        <w:t xml:space="preserve">jednego z wywiadów grupowych </w:t>
      </w:r>
      <w:r w:rsidRPr="00F35DFC">
        <w:t>wskazywali, że harmonogramy naborów publikowane są w mało przyjaznej formie plików Excel, które są trudne w odbiorze</w:t>
      </w:r>
      <w:r w:rsidR="009003E9">
        <w:t xml:space="preserve">. </w:t>
      </w:r>
      <w:r w:rsidR="00457E16">
        <w:t xml:space="preserve">Zdaniem uczestników, mimo wpisania w harmonogram wielu informacji, np. o typach wnioskodawców, </w:t>
      </w:r>
      <w:r w:rsidR="00CD4FD7">
        <w:t>przyjęta</w:t>
      </w:r>
      <w:r w:rsidR="00457E16">
        <w:t xml:space="preserve"> forma</w:t>
      </w:r>
      <w:r w:rsidR="00CD4FD7">
        <w:t>, gdzie np. wszystkie typy wnioskodawców wpisane są w jednym polu „po przecinku”,</w:t>
      </w:r>
      <w:r w:rsidR="00457E16">
        <w:t xml:space="preserve"> nie umożliwia jego filtrowania i wyszukiwania</w:t>
      </w:r>
      <w:r w:rsidR="00CD4FD7">
        <w:t>. K</w:t>
      </w:r>
      <w:r w:rsidR="00457E16">
        <w:t xml:space="preserve">ażde pole jest opisane w inny sposób i szukający nie może wyfiltrować wszystkich naborów, które byłyby skierowane do typu jego podmiotu. </w:t>
      </w:r>
      <w:r w:rsidR="009003E9">
        <w:t xml:space="preserve">Warto podkreślić, iż </w:t>
      </w:r>
      <w:r w:rsidR="00C32F26" w:rsidRPr="00C32F26">
        <w:t xml:space="preserve">wzór harmonogramu został </w:t>
      </w:r>
      <w:r w:rsidR="00C32F26">
        <w:t>opracowany</w:t>
      </w:r>
      <w:r w:rsidR="00C32F26" w:rsidRPr="00C32F26">
        <w:t xml:space="preserve"> przez MFiPR. </w:t>
      </w:r>
    </w:p>
    <w:p w14:paraId="2C9B59FC" w14:textId="61DC874D" w:rsidR="00625584" w:rsidRDefault="00006482" w:rsidP="00006482">
      <w:r w:rsidRPr="00F35DFC">
        <w:lastRenderedPageBreak/>
        <w:t xml:space="preserve">Terminy </w:t>
      </w:r>
      <w:r w:rsidR="00F72B67">
        <w:t xml:space="preserve">rozpoczęcia </w:t>
      </w:r>
      <w:r w:rsidRPr="00F35DFC">
        <w:t>naborów są często przesuwane</w:t>
      </w:r>
      <w:r w:rsidR="00625584">
        <w:t xml:space="preserve">. Analiza dla 47 naborów objętych badaniem pokazała, że </w:t>
      </w:r>
      <w:r w:rsidR="00936869">
        <w:t xml:space="preserve">jedynie </w:t>
      </w:r>
      <w:r w:rsidR="002F1662">
        <w:t xml:space="preserve">w </w:t>
      </w:r>
      <w:r w:rsidR="00936869">
        <w:t xml:space="preserve">20 </w:t>
      </w:r>
      <w:r w:rsidR="002F1662">
        <w:t>naborach termin ich ogłoszenia był zgodny z harmonogramem</w:t>
      </w:r>
      <w:r w:rsidR="002F1662">
        <w:rPr>
          <w:rStyle w:val="Odwoanieprzypisudolnego"/>
        </w:rPr>
        <w:footnoteReference w:id="53"/>
      </w:r>
      <w:r w:rsidR="002F1662">
        <w:t xml:space="preserve">. </w:t>
      </w:r>
      <w:r w:rsidR="00936869">
        <w:t>W jednym przypadku ogłoszenie o naborze ukazało się o 91 wcześniej niż wskazano w harmonogramie (</w:t>
      </w:r>
      <w:r w:rsidR="00947CE2">
        <w:t xml:space="preserve">nabór </w:t>
      </w:r>
      <w:r w:rsidR="00947CE2" w:rsidRPr="00947CE2">
        <w:t>FEKP.02.09-IZ.00-017/23</w:t>
      </w:r>
      <w:r w:rsidR="00504B62">
        <w:t xml:space="preserve">. </w:t>
      </w:r>
      <w:r w:rsidR="004D7F39" w:rsidRPr="004D7F39">
        <w:t xml:space="preserve">Najczęściej jednak nabory były ogłaszane później </w:t>
      </w:r>
      <w:r w:rsidR="00FB017C">
        <w:t>–</w:t>
      </w:r>
      <w:r w:rsidR="00504B62">
        <w:t xml:space="preserve"> </w:t>
      </w:r>
      <w:r w:rsidR="00FB017C">
        <w:t xml:space="preserve">średnio o 57 dni, w skrajnych przypadkach o </w:t>
      </w:r>
      <w:r w:rsidR="00132F0F">
        <w:t>prawie rok (</w:t>
      </w:r>
      <w:r w:rsidR="00FB017C" w:rsidRPr="00FB017C">
        <w:t>FEKP.03.02-IZ.00-168/24</w:t>
      </w:r>
      <w:r w:rsidR="00EE6426">
        <w:t xml:space="preserve">, </w:t>
      </w:r>
      <w:r w:rsidR="002C2F4D">
        <w:t>326 dni</w:t>
      </w:r>
      <w:r w:rsidR="00132F0F">
        <w:t xml:space="preserve">). </w:t>
      </w:r>
    </w:p>
    <w:p w14:paraId="4577DF50" w14:textId="5DF23B4E" w:rsidR="00006482" w:rsidRDefault="00006482" w:rsidP="00006482">
      <w:r w:rsidRPr="00EB7E9D">
        <w:t>Poza częstymi zmianami w harmonogramie naborów uczestnicy wywiadów zwracali również uwagę na problem modyfikacji regulaminu naboru już w trakcie jego trwania</w:t>
      </w:r>
      <w:r w:rsidR="00B124E5">
        <w:t xml:space="preserve">. Na 47 naborów będących przedmiotem badania w </w:t>
      </w:r>
      <w:r w:rsidR="000839A1">
        <w:t>31</w:t>
      </w:r>
      <w:r w:rsidR="00B124E5">
        <w:t xml:space="preserve"> przypadkach </w:t>
      </w:r>
      <w:r w:rsidR="00814F91">
        <w:t xml:space="preserve">regulamin był zmieniany. </w:t>
      </w:r>
      <w:r w:rsidR="00AE45D7">
        <w:t xml:space="preserve">Należy podkreślić, iż </w:t>
      </w:r>
      <w:r w:rsidRPr="00EB7E9D">
        <w:t>wprowadzane zmiany nie są w sposób czytelny i jednoznaczny oznaczone w dokumentacji.</w:t>
      </w:r>
      <w:r>
        <w:t xml:space="preserve"> </w:t>
      </w:r>
      <w:r w:rsidR="002D0FB3">
        <w:t>Inf</w:t>
      </w:r>
      <w:r w:rsidR="004917D8">
        <w:t xml:space="preserve">ormacje o tym, które zapisy ulegają zmianie </w:t>
      </w:r>
      <w:r w:rsidR="005F118E">
        <w:t>i jakie zyskują brzmienie są publikowane w formie komunikatu (</w:t>
      </w:r>
      <w:r w:rsidR="00BC7893">
        <w:t xml:space="preserve">oddzielny plik pdf do pobrania), przy czym </w:t>
      </w:r>
      <w:r w:rsidR="0070264C">
        <w:t xml:space="preserve">czasem nie są </w:t>
      </w:r>
      <w:r w:rsidR="005743F7">
        <w:t>wskazywane, które konkretnie treści ulegają zmianie. Na przykład komunikat</w:t>
      </w:r>
      <w:r w:rsidR="00901B9F">
        <w:t xml:space="preserve"> zawiera informację o aktualizacji kryteriów oceny projektów, ale nie precyzuje, które kryteria uległy zmianie. </w:t>
      </w:r>
      <w:r w:rsidR="00AE45D7">
        <w:t xml:space="preserve">Pozytywnie natomiast należy ocenić, iż </w:t>
      </w:r>
      <w:r w:rsidR="000D5835">
        <w:t xml:space="preserve">często już w linku do komunikatu wskazany jest </w:t>
      </w:r>
      <w:r w:rsidR="007C2ABA">
        <w:t xml:space="preserve">zakres zmian, np. </w:t>
      </w:r>
      <w:r w:rsidR="004747F6">
        <w:t xml:space="preserve">„Komunikat </w:t>
      </w:r>
      <w:r w:rsidR="004747F6" w:rsidRPr="004747F6">
        <w:t xml:space="preserve">dotyczący wydłużenia terminu naboru nr </w:t>
      </w:r>
      <w:r w:rsidR="004747F6">
        <w:t xml:space="preserve">xxx </w:t>
      </w:r>
      <w:r w:rsidR="004747F6" w:rsidRPr="004747F6">
        <w:t>oraz zmiany treści załącznika nr 4 do Regulaminu wyboru projektów EFRR pn. „</w:t>
      </w:r>
      <w:r w:rsidR="004747F6">
        <w:t>xxx</w:t>
      </w:r>
      <w:r w:rsidR="009E735B">
        <w:t xml:space="preserve">”. Z drugiej strony są też </w:t>
      </w:r>
      <w:r w:rsidR="006A5A87">
        <w:t>komunikaty, do których linki są ogólnikowe np. „</w:t>
      </w:r>
      <w:r w:rsidR="0056714E" w:rsidRPr="0056714E">
        <w:t xml:space="preserve">Komunikat z dnia </w:t>
      </w:r>
      <w:r w:rsidR="0056714E">
        <w:t>xxx</w:t>
      </w:r>
      <w:r w:rsidR="0056714E" w:rsidRPr="0056714E">
        <w:t xml:space="preserve"> w sprawie zmiany dla naboru</w:t>
      </w:r>
      <w:r w:rsidR="0056714E">
        <w:t xml:space="preserve"> xxx”</w:t>
      </w:r>
      <w:r w:rsidR="00E43CF6">
        <w:t xml:space="preserve">, i dopiero po pobraniu dokumentu można dowiedzieć się, że chodzi o zmianę terminu naboru wniosków. </w:t>
      </w:r>
    </w:p>
    <w:p w14:paraId="22BED5DC" w14:textId="1F26F1AB" w:rsidR="00006482" w:rsidRDefault="00E43CF6" w:rsidP="00006482">
      <w:r>
        <w:rPr>
          <w:b/>
          <w:bCs/>
          <w:color w:val="0F14D2" w:themeColor="accent1"/>
        </w:rPr>
        <w:t>Zalecenie</w:t>
      </w:r>
      <w:r w:rsidR="00006482" w:rsidRPr="000D230F">
        <w:rPr>
          <w:b/>
          <w:bCs/>
          <w:color w:val="0F14D2" w:themeColor="accent1"/>
        </w:rPr>
        <w:t>:</w:t>
      </w:r>
      <w:r w:rsidR="00006482" w:rsidRPr="000D230F">
        <w:rPr>
          <w:color w:val="0F14D2" w:themeColor="accent1"/>
        </w:rPr>
        <w:t xml:space="preserve"> </w:t>
      </w:r>
      <w:r w:rsidR="006C4B17">
        <w:t xml:space="preserve">Zaleca </w:t>
      </w:r>
      <w:r w:rsidR="00006482">
        <w:t>się, aby w</w:t>
      </w:r>
      <w:r w:rsidR="00006482" w:rsidRPr="00A004B5">
        <w:t xml:space="preserve"> przypadku konieczności wprowadzenia zmian </w:t>
      </w:r>
      <w:r w:rsidR="00006482">
        <w:t>w regulaminie</w:t>
      </w:r>
      <w:r>
        <w:t xml:space="preserve"> i/lub załącznikach, publikować, poza archiwalną i aktualną wersją dokumentu, również dokument pokazujący zmiany w trybie rejestracji zmian</w:t>
      </w:r>
      <w:r w:rsidR="00006482">
        <w:t>.</w:t>
      </w:r>
    </w:p>
    <w:p w14:paraId="580BD826"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Późne publikowanie FAQ – najczęściej zadawanych pytań i odpowiedzi</w:t>
      </w:r>
    </w:p>
    <w:p w14:paraId="1E7003FB" w14:textId="77777777" w:rsidR="002979EE" w:rsidRDefault="002979EE" w:rsidP="002979EE">
      <w:r>
        <w:t xml:space="preserve">Zgodnie z Wytycznymi </w:t>
      </w:r>
      <w:r w:rsidRPr="005D24CA">
        <w:t>dotycząc</w:t>
      </w:r>
      <w:r>
        <w:t>ymi</w:t>
      </w:r>
      <w:r w:rsidRPr="005D24CA">
        <w:t xml:space="preserve"> wyboru proje</w:t>
      </w:r>
      <w:r>
        <w:t xml:space="preserve">któw wnioskodawca powinien mieć </w:t>
      </w:r>
      <w:r w:rsidRPr="005D24CA">
        <w:t>możliwości uzyskiwania dodatkowych wyjaśnień</w:t>
      </w:r>
      <w:r>
        <w:t xml:space="preserve"> na etapie naboru, a w</w:t>
      </w:r>
      <w:r w:rsidRPr="006A75BB">
        <w:t>łaściwa instytucja powinna udzielać wyjaśnień nie później niż 7 dni od dnia</w:t>
      </w:r>
      <w:r>
        <w:t xml:space="preserve"> </w:t>
      </w:r>
      <w:r w:rsidRPr="006A75BB">
        <w:t>otrzymania pytania</w:t>
      </w:r>
      <w:r>
        <w:t xml:space="preserve">, zamieszczając </w:t>
      </w:r>
      <w:r w:rsidRPr="006A75BB">
        <w:t>wyjaśnienia na stronie internetowej zawierającej</w:t>
      </w:r>
      <w:r>
        <w:t xml:space="preserve"> </w:t>
      </w:r>
      <w:r w:rsidRPr="006A75BB">
        <w:t>informacje o danym postępowaniu</w:t>
      </w:r>
      <w:r>
        <w:rPr>
          <w:rStyle w:val="Odwoanieprzypisudolnego"/>
        </w:rPr>
        <w:footnoteReference w:id="54"/>
      </w:r>
      <w:r w:rsidRPr="006A75BB">
        <w:t xml:space="preserve">. </w:t>
      </w:r>
    </w:p>
    <w:p w14:paraId="59700A29" w14:textId="50A4C64E" w:rsidR="00006482" w:rsidRPr="00053C26" w:rsidRDefault="00D91B08" w:rsidP="00006482">
      <w:r>
        <w:t>P</w:t>
      </w:r>
      <w:r w:rsidR="002979EE">
        <w:t>ublikowane pytania i odpowiedzi są i</w:t>
      </w:r>
      <w:r w:rsidR="00006482">
        <w:t>stotnym źródłem praktycznych informacji dla wnioskodawców. J</w:t>
      </w:r>
      <w:r w:rsidR="002979EE">
        <w:t>ednakże, j</w:t>
      </w:r>
      <w:r w:rsidR="00006482">
        <w:t xml:space="preserve">ak wynika z wypowiedzi przedstawicieli instytucji organizujących nabory, proces gromadzenia i publikowania pytań i odpowiedzi nie </w:t>
      </w:r>
      <w:r w:rsidR="00006482">
        <w:lastRenderedPageBreak/>
        <w:t xml:space="preserve">jest optymalny. Nie zawsze są one publikowane odpowiednio szybko, a czasem nie są publikowane w ogóle. </w:t>
      </w:r>
    </w:p>
    <w:p w14:paraId="78D5C2F0" w14:textId="39BFEF82" w:rsidR="00A44239" w:rsidRPr="00053C26" w:rsidRDefault="00006482" w:rsidP="007017D2">
      <w:r>
        <w:t>Procedura</w:t>
      </w:r>
      <w:r w:rsidR="00162BB6">
        <w:t xml:space="preserve"> </w:t>
      </w:r>
      <w:r w:rsidR="00C17BAF">
        <w:t>udzieleni</w:t>
      </w:r>
      <w:r w:rsidR="00E0217F">
        <w:t>a</w:t>
      </w:r>
      <w:r w:rsidR="00C17BAF">
        <w:t xml:space="preserve"> odpowiedzi na przesłane pytania</w:t>
      </w:r>
      <w:r>
        <w:t xml:space="preserve"> jest kilkuetapowa. </w:t>
      </w:r>
      <w:r w:rsidR="00C17BAF" w:rsidRPr="00053C26">
        <w:t>Obecnie proces wygląda tak, że pytania</w:t>
      </w:r>
      <w:r w:rsidR="009D439A">
        <w:t xml:space="preserve"> od potencjalnych wnioskodawców</w:t>
      </w:r>
      <w:r w:rsidR="00C17BAF" w:rsidRPr="00053C26">
        <w:t xml:space="preserve"> spływają głównie do </w:t>
      </w:r>
      <w:r w:rsidR="00C17BAF">
        <w:t>PIFE</w:t>
      </w:r>
      <w:r w:rsidR="009D439A">
        <w:t xml:space="preserve">, który odpowiada za ich zebranie </w:t>
      </w:r>
      <w:r w:rsidR="00603A97">
        <w:t>i opracowanie</w:t>
      </w:r>
      <w:r w:rsidR="00952E1A">
        <w:t xml:space="preserve"> na nie</w:t>
      </w:r>
      <w:r w:rsidR="00603A97">
        <w:t xml:space="preserve"> odpowiedzi. </w:t>
      </w:r>
      <w:r w:rsidR="00461F9D">
        <w:t>Przygoto</w:t>
      </w:r>
      <w:r w:rsidR="00461F9D" w:rsidRPr="000471D8">
        <w:t xml:space="preserve">wanie </w:t>
      </w:r>
      <w:r w:rsidR="000471D8" w:rsidRPr="000471D8">
        <w:t>odpowiedzi odbywa się często przy udziale właściwych departamentów odpowiedzialnych za wdrażanie oraz programowanie i zarządzanie. Jak wynika z wywiadów pogłębionych, komunikacja dotycząca sposobu udzielenia odpowiedzi bywa prowadzona</w:t>
      </w:r>
      <w:r w:rsidR="000471D8">
        <w:t xml:space="preserve"> poza PIFE,</w:t>
      </w:r>
      <w:r w:rsidR="000471D8" w:rsidRPr="000471D8">
        <w:t xml:space="preserve"> na linii Departament Wdrażania – Departament Zarządzania, zwłaszcza w sytuacjach, gdy Departament Wdrażania potrzebuje potwierdzenia zgodności z dokumentami nadrzędnymi</w:t>
      </w:r>
      <w:r w:rsidR="00634A82">
        <w:t xml:space="preserve">. </w:t>
      </w:r>
      <w:r w:rsidRPr="00053C26">
        <w:t>Po uzyskaniu</w:t>
      </w:r>
      <w:r w:rsidR="007017D2">
        <w:t xml:space="preserve"> lub opracowaniu</w:t>
      </w:r>
      <w:r w:rsidRPr="00053C26">
        <w:t xml:space="preserve"> odpowiedzi </w:t>
      </w:r>
      <w:r w:rsidR="007017D2">
        <w:t>PIFE przygotowuje</w:t>
      </w:r>
      <w:r w:rsidRPr="00053C26">
        <w:t xml:space="preserve"> wersję do publikacji, </w:t>
      </w:r>
      <w:r w:rsidR="007017D2">
        <w:t xml:space="preserve">m.in. </w:t>
      </w:r>
      <w:r w:rsidRPr="00053C26">
        <w:t>usuwając dane identyfikujące wnioskodawcę.</w:t>
      </w:r>
      <w:r w:rsidRPr="00056D85">
        <w:t xml:space="preserve"> </w:t>
      </w:r>
      <w:r w:rsidR="00463BE4" w:rsidRPr="006A75BB">
        <w:t>Zgodnie z obowiązującą procedurą pytania i odpowiedzi publikuje DW</w:t>
      </w:r>
      <w:r w:rsidR="004A08C7">
        <w:t xml:space="preserve"> </w:t>
      </w:r>
      <w:r w:rsidR="00463BE4" w:rsidRPr="006A75BB">
        <w:t>FEdKP w związku z posiadanymi uprawnieniami do modyfikacji informacji.</w:t>
      </w:r>
      <w:r w:rsidR="00463BE4">
        <w:t xml:space="preserve"> </w:t>
      </w:r>
      <w:r w:rsidRPr="00053C26">
        <w:t>Każdy z tych etapów wydłuża czas od złożenia pytania do jego publicznego udostępnienia. W efekcie zdarza się, że odpowiedzi pojawiają się na stronie dopiero pod koniec naboru, a wtedy jest już mało czasu, by wnioskodawcy mogli z nich skorzystać w przygotowaniu dokumentacji.</w:t>
      </w:r>
      <w:r w:rsidR="00A44239">
        <w:t xml:space="preserve"> </w:t>
      </w:r>
      <w:r w:rsidR="00C84BAC" w:rsidRPr="00C84BAC">
        <w:t>W przypadku naborów EFRR, jak wynika z wywiadów, zdarzają się skomplikowane zagadnienia, które w pytaniach wymagają znacznego nakładu pracy, konsultacji z MFiPR, a niekiedy także z Komisją Europejską. Powoduje to opóźnienia zarówno w udzielaniu odpowiedzi, jak i w ich publikacji na stronie internetowej.</w:t>
      </w:r>
    </w:p>
    <w:p w14:paraId="2C8136EA" w14:textId="77777777" w:rsidR="00006482" w:rsidRPr="00053C26" w:rsidRDefault="00006482" w:rsidP="00006482">
      <w:r w:rsidRPr="00053C26">
        <w:t xml:space="preserve">Respondenci podkreślają, że publikowanie Q&amp;A wcześniej mogłoby znacząco ułatwić pracę nie tylko wnioskodawcom, ale i </w:t>
      </w:r>
      <w:r>
        <w:t>pracownikom instytucji organizującej nabór</w:t>
      </w:r>
      <w:r w:rsidRPr="00053C26">
        <w:t xml:space="preserve"> – bo wiele pytań się powtarza. Gdyby były </w:t>
      </w:r>
      <w:r>
        <w:t>odpowiednio wcześnie</w:t>
      </w:r>
      <w:r w:rsidRPr="00053C26">
        <w:t xml:space="preserve"> dostępne, wnioskodawcy mogliby uniknąć błędów i dublowania pytań, a pracownicy mieliby mniej korespondencji indywidualnej</w:t>
      </w:r>
      <w:r>
        <w:t xml:space="preserve"> na etapie naboru</w:t>
      </w:r>
      <w:r w:rsidRPr="00053C26">
        <w:t>.</w:t>
      </w:r>
    </w:p>
    <w:p w14:paraId="74247776" w14:textId="28B17D8D" w:rsidR="00006482" w:rsidRPr="00944439" w:rsidRDefault="00006482" w:rsidP="00CB5107">
      <w:bookmarkStart w:id="12" w:name="FAQ1"/>
      <w:r w:rsidRPr="000D230F">
        <w:rPr>
          <w:b/>
          <w:bCs/>
          <w:color w:val="0F14D2" w:themeColor="accent1"/>
        </w:rPr>
        <w:t>Rekomendacja:</w:t>
      </w:r>
      <w:r w:rsidRPr="000D230F">
        <w:rPr>
          <w:color w:val="0F14D2" w:themeColor="accent1"/>
        </w:rPr>
        <w:t xml:space="preserve"> </w:t>
      </w:r>
      <w:r>
        <w:t xml:space="preserve">Wskazane jest usprawnienie procesu tworzenia odpowiedzi oraz publikowania pytań i odpowiedzi dotyczących danego naboru. </w:t>
      </w:r>
      <w:r w:rsidR="00CB5107" w:rsidRPr="00CB5107">
        <w:t xml:space="preserve">Należy zweryfikować obowiązującą „ścieżkę” opracowywania odpowiedzi w strukturze Instytucji Zarządzającej i zidentyfikować możliwe usprawnienia, tak aby proces ten był prostszy i bardziej efektywny. Pytania i odpowiedzi powinny być publikowane niezwłocznie po ich zatwierdzeniu, w formie aktualizowanej listy dostępnej online, co zapewni wnioskodawcom szybki dostęp do potrzebnych informacji. </w:t>
      </w:r>
      <w:r>
        <w:t xml:space="preserve">Warto rozważyć też </w:t>
      </w:r>
      <w:r w:rsidRPr="00944439">
        <w:t>wykorzystanie Q&amp;A z jednego naboru w kolejnych naborach poprzez</w:t>
      </w:r>
      <w:r>
        <w:rPr>
          <w:b/>
          <w:bCs/>
        </w:rPr>
        <w:t xml:space="preserve"> </w:t>
      </w:r>
      <w:r>
        <w:t>stworzenie</w:t>
      </w:r>
      <w:r w:rsidRPr="00944439">
        <w:t xml:space="preserve"> repozytorium pytań i odpowiedzi dla każdego </w:t>
      </w:r>
      <w:r>
        <w:t>D</w:t>
      </w:r>
      <w:r w:rsidRPr="00944439">
        <w:t>ziałania</w:t>
      </w:r>
      <w:r>
        <w:t>/ typu projektu</w:t>
      </w:r>
      <w:r w:rsidRPr="00944439">
        <w:t xml:space="preserve">, które będzie bazą wiedzy dla kolejnych edycji </w:t>
      </w:r>
      <w:r>
        <w:t>naborów</w:t>
      </w:r>
      <w:r w:rsidRPr="00944439">
        <w:t>. Dzięki temu wnioskodawcy przygotowujący się do nowych naborów będą mogli korzystać z doświadczeń poprzednich uczestników, a liczba powtarzających się pytań spadnie</w:t>
      </w:r>
      <w:bookmarkEnd w:id="12"/>
      <w:r w:rsidRPr="00944439">
        <w:t>.</w:t>
      </w:r>
    </w:p>
    <w:p w14:paraId="3607DC82" w14:textId="3C14E79F" w:rsidR="00006482" w:rsidRDefault="00006482" w:rsidP="00006482">
      <w:r>
        <w:lastRenderedPageBreak/>
        <w:t xml:space="preserve">Dobrą praktyką, zastosowaną w analizowanych naborach EFS+ jest publikowanie pytań i odpowiedzi oraz </w:t>
      </w:r>
      <w:r w:rsidRPr="0044386F">
        <w:t>wskazan</w:t>
      </w:r>
      <w:r>
        <w:t xml:space="preserve">ie </w:t>
      </w:r>
      <w:r w:rsidRPr="0044386F">
        <w:t>imie</w:t>
      </w:r>
      <w:r>
        <w:t>nia</w:t>
      </w:r>
      <w:r w:rsidRPr="0044386F">
        <w:t xml:space="preserve"> i nazwisk</w:t>
      </w:r>
      <w:r>
        <w:t>a</w:t>
      </w:r>
      <w:r w:rsidRPr="0044386F">
        <w:t xml:space="preserve"> pracownika</w:t>
      </w:r>
      <w:r>
        <w:t xml:space="preserve"> </w:t>
      </w:r>
      <w:r w:rsidR="001F4138">
        <w:t>IZ</w:t>
      </w:r>
      <w:r w:rsidRPr="0044386F">
        <w:t xml:space="preserve">, a nie tylko </w:t>
      </w:r>
      <w:r>
        <w:t xml:space="preserve">odwołanie do możliwości szukania kontaktu z </w:t>
      </w:r>
      <w:r w:rsidRPr="0044386F">
        <w:t>PIFE</w:t>
      </w:r>
      <w:r>
        <w:t>. W przypadku konkurencyjnych naborów EFRR, które są przedmiotem niniejszego badania, sytuacja jest zróżnicowana – na 37 takich naborów aż w 33 przypadkach nie opublikowano pytań i odpowiedzi. W 4 wskazano imię i nazwisko pracownika, do którego można kierować pytania oraz podano kontakt do PIFE, w tym tylko w jednym dodatkowo opublikowano pytania i odpowiedzi.</w:t>
      </w:r>
    </w:p>
    <w:p w14:paraId="66A33DC4" w14:textId="20061129" w:rsidR="00006482" w:rsidRDefault="00006482" w:rsidP="00455D2F">
      <w:r w:rsidRPr="00023E1F">
        <w:t xml:space="preserve">W wywiadach z przedstawicielami </w:t>
      </w:r>
      <w:r w:rsidR="004726C5">
        <w:t xml:space="preserve">Departamentu Wdrażania </w:t>
      </w:r>
      <w:r w:rsidRPr="00023E1F">
        <w:t xml:space="preserve">zwracano uwagę na nieoptymalny podział zadań związanych z udzielaniem odpowiedzi na pytania wnioskodawców. Podkreślano, że odpowiedzialność w tym zakresie, a także za publikację odpowiedzi, powinna spoczywać wyłącznie na tych komórkach, które przygotowują dany nabór, kryteria i dokumentację, a więc posiadają pełną, aktualną wiedzę merytoryczną o zakresie wsparcia, warunkach i interpretacjach oraz mogą zapewnić spójność udzielanych wyjaśnień z treścią dokumentów programowych i przepisów. </w:t>
      </w:r>
      <w:r w:rsidR="00455D2F">
        <w:t xml:space="preserve">Rozmówcy wskazują zatem, że to </w:t>
      </w:r>
      <w:r w:rsidR="00455D2F" w:rsidRPr="00455D2F">
        <w:t xml:space="preserve">Departament Zarządzania powinien zajmować się </w:t>
      </w:r>
      <w:r w:rsidR="00455D2F">
        <w:t xml:space="preserve">opracowaniem i </w:t>
      </w:r>
      <w:r w:rsidR="00455D2F" w:rsidRPr="00455D2F">
        <w:t>publikowaniem pytań i odpowiedzi</w:t>
      </w:r>
      <w:r w:rsidR="00455D2F">
        <w:t>.</w:t>
      </w:r>
      <w:r w:rsidRPr="00023E1F">
        <w:t xml:space="preserve"> Jednostki </w:t>
      </w:r>
      <w:r w:rsidR="00455D2F">
        <w:t>realizujące takie zadania</w:t>
      </w:r>
      <w:r w:rsidRPr="00023E1F">
        <w:t>, jak ogłaszanie naborów, ocena wniosków czy podpisywanie umów, nie powinny samodzielnie udzielać takich odpowiedzi ani ich publikować</w:t>
      </w:r>
      <w:r w:rsidR="00455D2F">
        <w:t>,</w:t>
      </w:r>
      <w:r w:rsidR="00455D2F" w:rsidRPr="00023E1F">
        <w:t xml:space="preserve"> </w:t>
      </w:r>
      <w:r w:rsidRPr="00023E1F">
        <w:t xml:space="preserve">ponieważ </w:t>
      </w:r>
      <w:r w:rsidR="009F0474">
        <w:t xml:space="preserve">są </w:t>
      </w:r>
      <w:r w:rsidR="00D1012A">
        <w:t xml:space="preserve">to </w:t>
      </w:r>
      <w:r w:rsidRPr="00023E1F">
        <w:t>te same komórki, które następnie dokonują oceny wniosków, co może rodzić ryzyko konfliktu interesów oraz podważać bezstronność procesu oceny.</w:t>
      </w:r>
      <w:r w:rsidR="00256F50">
        <w:t xml:space="preserve"> </w:t>
      </w:r>
      <w:r w:rsidR="00256F50" w:rsidRPr="00256F50">
        <w:t>Dodatkowo</w:t>
      </w:r>
      <w:r w:rsidR="00256F50">
        <w:t>, jak wskazują pracownicy,</w:t>
      </w:r>
      <w:r w:rsidR="00256F50" w:rsidRPr="00256F50">
        <w:t xml:space="preserve"> obciążanie tych komórek zadaniem opracowywania i publikowania odpowiedzi dezorganizuje ich bieżącą pracę. Pytania często dotyczą bowiem naborów, którymi jednostki te jeszcze się nie zajmują i które będą przedmiotem oceny dopiero w przyszłości. W efekcie pracownicy zmuszeni są przerywać aktualnie prowadzone działania i zapoznawać się z zagadnieniami, które nie są związane z ich bieżącymi obowiązkami, co obniża efektywność pracy i utrudnia koncentrację na trwających procesach oceny wniosków.</w:t>
      </w:r>
    </w:p>
    <w:p w14:paraId="1F4797FC" w14:textId="17CDDBA4" w:rsidR="00714812" w:rsidRDefault="00357710" w:rsidP="00455D2F">
      <w:bookmarkStart w:id="13" w:name="FAQ2"/>
      <w:r>
        <w:rPr>
          <w:b/>
          <w:bCs/>
          <w:color w:val="0F14D2" w:themeColor="accent1"/>
        </w:rPr>
        <w:t>Rekomendacja</w:t>
      </w:r>
      <w:r w:rsidR="00714812">
        <w:t xml:space="preserve">: </w:t>
      </w:r>
      <w:r>
        <w:t>Rekomenduje</w:t>
      </w:r>
      <w:r w:rsidR="00714812">
        <w:t xml:space="preserve"> się </w:t>
      </w:r>
      <w:r w:rsidR="00714812" w:rsidRPr="00714812">
        <w:t>zweryfikowanie ścieżki udzielania odpowiedzi na pytania wnioskodawców, w szczególności w zakresie tego, do której komórki w pierwszej kolejności powinny być kierowane prośby o przygotowanie wyjaśnień. Należy ustalić, aby w pierwszym etapie trafiały one do jednostek odpowiedzialnych za przygotowanie naboru, kryteriów i dokumentacji, które dysponują pełną wiedzą merytoryczną oraz mogą zapewnić spójność interpretacyjną z dokumentami programowymi i przepisami</w:t>
      </w:r>
      <w:bookmarkEnd w:id="13"/>
      <w:r w:rsidR="00714812" w:rsidRPr="00714812">
        <w:t xml:space="preserve">. </w:t>
      </w:r>
    </w:p>
    <w:p w14:paraId="1F85808A"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Zbyt mało praktycznych szkoleń na etapie naborów</w:t>
      </w:r>
    </w:p>
    <w:p w14:paraId="5FA0FD08" w14:textId="77777777" w:rsidR="00006482" w:rsidRDefault="00006482" w:rsidP="00006482">
      <w:r>
        <w:t xml:space="preserve">Wśród wnioskodawców FEdKP 2021-2027 ocena </w:t>
      </w:r>
      <w:r w:rsidRPr="006D7790">
        <w:t>wsparci</w:t>
      </w:r>
      <w:r>
        <w:t>a</w:t>
      </w:r>
      <w:r w:rsidRPr="006D7790">
        <w:t xml:space="preserve"> merytoryczne</w:t>
      </w:r>
      <w:r>
        <w:t>go</w:t>
      </w:r>
      <w:r w:rsidRPr="006D7790">
        <w:t xml:space="preserve"> i organizacyjne</w:t>
      </w:r>
      <w:r>
        <w:t>go</w:t>
      </w:r>
      <w:r w:rsidRPr="006D7790">
        <w:t xml:space="preserve"> instytucji organizującej nabór na etapie przygotowania wniosku</w:t>
      </w:r>
      <w:r>
        <w:t xml:space="preserve"> jest pozytywna. Warto zwrócić uwagę na niski odsetek tych, którzy nie korzystali z żadnego wsparcia. Oznacza to</w:t>
      </w:r>
      <w:r w:rsidRPr="006F72AC">
        <w:t xml:space="preserve">, że zdecydowana większość wnioskodawców aktywnie </w:t>
      </w:r>
      <w:r w:rsidRPr="006F72AC">
        <w:lastRenderedPageBreak/>
        <w:t xml:space="preserve">poszukuje i wykorzystuje dostępne formy pomocy. Wskazuje to również, że sam proces aplikowania rzadko odbywa się w całkowitej izolacji od instytucji </w:t>
      </w:r>
      <w:r>
        <w:t>organizującej nabór</w:t>
      </w:r>
      <w:r w:rsidRPr="006F72AC">
        <w:t>.</w:t>
      </w:r>
    </w:p>
    <w:p w14:paraId="3E180003" w14:textId="25318D3E" w:rsidR="00006482" w:rsidRPr="00141A4C" w:rsidRDefault="00006482" w:rsidP="00006482">
      <w:pPr>
        <w:pStyle w:val="Legenda"/>
      </w:pPr>
      <w:r w:rsidRPr="00141A4C">
        <w:t xml:space="preserve">Wykres </w:t>
      </w:r>
      <w:fldSimple w:instr=" SEQ Wykres \* ARABIC ">
        <w:r w:rsidR="00541DFA">
          <w:rPr>
            <w:noProof/>
          </w:rPr>
          <w:t>16</w:t>
        </w:r>
      </w:fldSimple>
      <w:r w:rsidRPr="00141A4C">
        <w:t xml:space="preserve"> Ocena </w:t>
      </w:r>
      <w:r>
        <w:t xml:space="preserve">wsparcia </w:t>
      </w:r>
      <w:r w:rsidRPr="006D7790">
        <w:t>instytucji organizującej nabór na etapie przygotowania wniosku</w:t>
      </w:r>
      <w:r w:rsidR="001F4138">
        <w:t xml:space="preserve"> </w:t>
      </w:r>
    </w:p>
    <w:p w14:paraId="39C54057" w14:textId="77777777" w:rsidR="00006482" w:rsidRDefault="00006482" w:rsidP="00006482">
      <w:r>
        <w:rPr>
          <w:noProof/>
        </w:rPr>
        <w:drawing>
          <wp:inline distT="0" distB="0" distL="0" distR="0" wp14:anchorId="5D34A976" wp14:editId="59C24BAA">
            <wp:extent cx="5719445" cy="2235200"/>
            <wp:effectExtent l="0" t="0" r="14605" b="12700"/>
            <wp:docPr id="639714789" name="Wykres 1" descr="Wykres przedstawia odpowiedzi na pytanie z kwestionariusza „Czy – Państwa zdaniem – wsparcie merytoryczne i organizacyjne instytucji organizującej nabór na etapie przygotowania wniosku było wystarczające?”.&#10;&#10;82,7% respondentów odpowiedziało „Tak” lub „Raczej tak”, 3,8% – „Nie” lub „Raczej nie”.&#10;6,7% badanych zadeklarowało, że nie korzystało z żadnego wsparcia, a kolejne 6,7% wybrało odpowiedź „Nie wiem/trudno powiedzieć”.">
              <a:extLst xmlns:a="http://schemas.openxmlformats.org/drawingml/2006/main">
                <a:ext uri="{FF2B5EF4-FFF2-40B4-BE49-F238E27FC236}">
                  <a16:creationId xmlns:a16="http://schemas.microsoft.com/office/drawing/2014/main" id="{188C928E-0D3A-5B0C-5542-E5433126CC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5F422DDC" w14:textId="65FC566B" w:rsidR="00006482" w:rsidRDefault="00006482" w:rsidP="001966A2">
      <w:pPr>
        <w:pStyle w:val="rdo"/>
      </w:pPr>
      <w:r>
        <w:t>Źródło: badanie ilościowe wśród wnioskodawców FEdKP 2021-2027, n=104</w:t>
      </w:r>
      <w:r w:rsidR="00885ABB" w:rsidRPr="0099411C">
        <w:t>.</w:t>
      </w:r>
      <w:r w:rsidR="00885ABB">
        <w:t xml:space="preserve"> </w:t>
      </w:r>
      <w:r w:rsidR="00E861E5">
        <w:t>Odpowiedź na pytanie „</w:t>
      </w:r>
      <w:r w:rsidR="00E861E5" w:rsidRPr="00E861E5">
        <w:t>Czy wsparcie merytoryczne i organizacyjne instytucji organizującej nabór na etapie przygotowania wniosku było wystarczające?</w:t>
      </w:r>
      <w:r w:rsidR="00E861E5">
        <w:t>”</w:t>
      </w:r>
      <w:r w:rsidR="001F4A0E">
        <w:t>.</w:t>
      </w:r>
      <w:r w:rsidR="00B83F95">
        <w:t xml:space="preserve"> Wartości mogą nie sumować się do 100,0% z powodu zaokrągleń</w:t>
      </w:r>
      <w:r w:rsidR="00B83F95" w:rsidRPr="0099411C">
        <w:t>.</w:t>
      </w:r>
    </w:p>
    <w:p w14:paraId="08E62C1D" w14:textId="77777777" w:rsidR="00006482" w:rsidRPr="002C4BE5" w:rsidRDefault="00006482" w:rsidP="00006482">
      <w:pPr>
        <w:tabs>
          <w:tab w:val="num" w:pos="720"/>
        </w:tabs>
      </w:pPr>
      <w:r>
        <w:t xml:space="preserve">Jednocześnie zarówno wśród respondentów, jak też uczestników wywiadów grupowych artykułowany jest </w:t>
      </w:r>
      <w:r w:rsidRPr="002C4BE5">
        <w:rPr>
          <w:b/>
          <w:bCs/>
        </w:rPr>
        <w:t>postulat większej liczby szkoleń i bardziej zindywidualizowanego wsparcia</w:t>
      </w:r>
      <w:r>
        <w:t xml:space="preserve">. </w:t>
      </w:r>
      <w:r w:rsidRPr="002C4BE5">
        <w:t xml:space="preserve">Zwracali uwagę, że szkolenia powinny odbywać się </w:t>
      </w:r>
      <w:r w:rsidRPr="002C4BE5">
        <w:rPr>
          <w:b/>
          <w:bCs/>
        </w:rPr>
        <w:t>przy każdym naborze</w:t>
      </w:r>
      <w:r w:rsidRPr="002C4BE5">
        <w:t>, nawet jeśli dotyczy on obszaru wsparcia, w którym konkurs już wcześniej się odbywał. Argumentowali, że</w:t>
      </w:r>
      <w:r>
        <w:t xml:space="preserve"> </w:t>
      </w:r>
      <w:r w:rsidRPr="002C4BE5">
        <w:t>nie wszystkie gminy biorą udział w pierwszym naborze w danym obszarze, więc mogą nie uczestniczyć w szkoleniu organizowanym tylko na jego początku</w:t>
      </w:r>
      <w:r>
        <w:t xml:space="preserve"> i </w:t>
      </w:r>
      <w:r w:rsidRPr="002C4BE5">
        <w:t>przy kolejnych edycjach naboru pojawiają się nowe jednostki zainteresowane aplikowaniem, które nie miały wcześniej okazji zdobyć wiedzy o wymaganiach, procedurach i dokumentacji</w:t>
      </w:r>
      <w:r>
        <w:t>. P</w:t>
      </w:r>
      <w:r w:rsidRPr="002C4BE5">
        <w:t>odczas szkoleń często można uzyskać dodatkowe informacje, które nie wynikają wprost z dokumentacji konkursowej, np. przykłady projektów, interpretacje kryteriów czy wskazówki dotyczące przygotowania wniosku.</w:t>
      </w:r>
    </w:p>
    <w:p w14:paraId="01370A30" w14:textId="77777777" w:rsidR="00006482" w:rsidRPr="003413D1" w:rsidRDefault="00006482" w:rsidP="00006482">
      <w:r w:rsidRPr="003413D1">
        <w:rPr>
          <w:b/>
          <w:bCs/>
        </w:rPr>
        <w:t>Szkolenia o charakterze ogólnym</w:t>
      </w:r>
      <w:r w:rsidRPr="003413D1">
        <w:t>, zlecane podmiotom zewnętrznym, są przez wnioskodawców oceniane jako mało przydatne. Mają one zazwyczaj uniwersalny charakter, obejmują ogólne informacje o programie i zasadach aplikowania, bez szczegółowego odniesienia do specyfiki danego konkursu czy rodzaju projektów, które mają być w nim realizowane. Brakuje w nich przykładów praktycznych, odniesień do typowych problemów pojawiających się w danym działaniu czy wyjaśnienia niejednoznacznych zapisów w dokumentacji.</w:t>
      </w:r>
    </w:p>
    <w:p w14:paraId="378E8903" w14:textId="7ADED3CD" w:rsidR="00006482" w:rsidRDefault="00006482" w:rsidP="00006482">
      <w:r w:rsidRPr="003413D1">
        <w:lastRenderedPageBreak/>
        <w:t xml:space="preserve">Z kolei </w:t>
      </w:r>
      <w:r w:rsidRPr="003413D1">
        <w:rPr>
          <w:b/>
          <w:bCs/>
        </w:rPr>
        <w:t>szkolenia prowadzone przez pracowników instytucji organizującej</w:t>
      </w:r>
      <w:r>
        <w:t xml:space="preserve"> nabór </w:t>
      </w:r>
      <w:r w:rsidRPr="003413D1">
        <w:t xml:space="preserve">– przygotowywane specjalnie pod kątem konkretnego naboru – są znacznie lepiej oceniane. Wynika to z faktu, że prowadzą je osoby mające bezpośrednie doświadczenie w ocenie wniosków i znajomość bieżących problemów pojawiających się w danym konkursie. Z wypowiedzi </w:t>
      </w:r>
      <w:r>
        <w:t xml:space="preserve">przedstawicieli instytucji organizujących nabory </w:t>
      </w:r>
      <w:r w:rsidRPr="003413D1">
        <w:t xml:space="preserve">wynika, że wnioskodawcy oczekują, aby </w:t>
      </w:r>
      <w:r w:rsidRPr="003413D1">
        <w:rPr>
          <w:b/>
          <w:bCs/>
        </w:rPr>
        <w:t>szkolenia były nie tylko źródłem informacji, ale również praktycznym narzędziem</w:t>
      </w:r>
      <w:r w:rsidRPr="003413D1">
        <w:t xml:space="preserve"> do przygotowania wysokiej jakości wniosków.</w:t>
      </w:r>
      <w:r>
        <w:t xml:space="preserve"> Wychodząc naprzeciw takim oczekiwaniom </w:t>
      </w:r>
      <w:r w:rsidR="004A76F0">
        <w:t>Wydział</w:t>
      </w:r>
      <w:r w:rsidR="004A76F0" w:rsidRPr="005360A6">
        <w:t xml:space="preserve"> </w:t>
      </w:r>
      <w:r w:rsidRPr="005360A6">
        <w:t>W</w:t>
      </w:r>
      <w:r w:rsidR="003D7D5F">
        <w:t>yboru</w:t>
      </w:r>
      <w:r w:rsidRPr="005360A6">
        <w:t xml:space="preserve"> </w:t>
      </w:r>
      <w:r w:rsidR="004A76F0">
        <w:t xml:space="preserve">Projektów </w:t>
      </w:r>
      <w:r w:rsidRPr="005360A6">
        <w:t>EFS+</w:t>
      </w:r>
      <w:r>
        <w:t xml:space="preserve"> zorganizował w trakcie trwania naborów na projekty w zakresie edukacji warsztaty o charakterze praktycznym mających formę około 6 godzinnych spotkań w niewielkich grupach, co pozwala na bezpośrednią interakcję pomiędzy prowadzącymi a uczestnikami. Podczas takich spotkań omawiane są nie tylko ogólne zasady naboru, ale przede wszystkim konkretne zapisy dokumentacji konkursowej, interpretacja kryteriów, a także typowe błędy popełniane przez wnioskodawców. Uczestnicy mają możliwość przedstawienia własnych pomysłów projektowych i uzyskania indywidualnych wskazówek co do ich dopasowania do wymogów naboru. Tego rodzaju szkolenia sprzyjają bieżącemu wyjaśnianiu wątpliwości, ponieważ uczestnicy mogą na bieżąco zadawać szczegółowe pytania dotyczące np. kwalifikowalności wydatków, sposobu wyliczania wskaźników czy łączenia różnych typów działań w jednym projekcie. Uczestnikom szkolenia udostępniany jest </w:t>
      </w:r>
      <w:r w:rsidRPr="00E113FD">
        <w:rPr>
          <w:b/>
          <w:bCs/>
        </w:rPr>
        <w:t>wzor</w:t>
      </w:r>
      <w:r>
        <w:rPr>
          <w:b/>
          <w:bCs/>
        </w:rPr>
        <w:t>c</w:t>
      </w:r>
      <w:r w:rsidRPr="00E113FD">
        <w:rPr>
          <w:b/>
          <w:bCs/>
        </w:rPr>
        <w:t>owo wypełniony wniosek o dofinansowanie</w:t>
      </w:r>
      <w:r w:rsidRPr="00E113FD">
        <w:t>, który stanowi materiał poglądowy pokazujący, jak prawidłowo opisać poszczególne elementy projektu, spełniając jednocześnie wymagania formalne i merytoryczne oraz unikając najczęściej popełnianych błędów.</w:t>
      </w:r>
      <w:r>
        <w:t xml:space="preserve"> Takie działania niewątpliwie można wskazać jako </w:t>
      </w:r>
      <w:r w:rsidRPr="00E113FD">
        <w:rPr>
          <w:b/>
          <w:bCs/>
        </w:rPr>
        <w:t>dobrą praktykę</w:t>
      </w:r>
      <w:r>
        <w:t xml:space="preserve">. </w:t>
      </w:r>
    </w:p>
    <w:p w14:paraId="722B0D0F" w14:textId="77777777" w:rsidR="00006482" w:rsidRPr="003E351F" w:rsidRDefault="00006482" w:rsidP="00006482">
      <w:r>
        <w:t>Z drugiej strony, jak wynika z wywiadów z przedstawicielami instytucji organizujących nabory, j</w:t>
      </w:r>
      <w:r w:rsidRPr="003E351F">
        <w:t xml:space="preserve">ednym z problemów jest </w:t>
      </w:r>
      <w:r w:rsidRPr="003E351F">
        <w:rPr>
          <w:b/>
          <w:bCs/>
        </w:rPr>
        <w:t>niska frekwencja na szkoleniach</w:t>
      </w:r>
      <w:r w:rsidRPr="003E351F">
        <w:t xml:space="preserve"> organizowanych przez instytucj</w:t>
      </w:r>
      <w:r>
        <w:t>e organizujące nabór</w:t>
      </w:r>
      <w:r w:rsidRPr="003E351F">
        <w:t>, nawet w sytuacjach, gdy potencjalni wnioskodawcy otrzymują indywidualne zaproszenia – zarówno drogą mailową, jak i telefoniczną. Część JST rezygnuje z udziału w takich spotkaniach, tłumacząc to brakiem czasu lub przekonaniem, że informacje uzyskają w inny sposób. Skutkuje to mniejszą świadomością wymagań konkursowych i częstszymi błędami we wnioskach.</w:t>
      </w:r>
    </w:p>
    <w:p w14:paraId="78A0DD00" w14:textId="1284BA8F" w:rsidR="00006482" w:rsidRDefault="00006482" w:rsidP="00006482">
      <w:r w:rsidRPr="003E351F">
        <w:t xml:space="preserve">Dodatkowo </w:t>
      </w:r>
      <w:r w:rsidR="00B70714" w:rsidRPr="003E351F">
        <w:t>wiel</w:t>
      </w:r>
      <w:r w:rsidR="00B70714">
        <w:t>u</w:t>
      </w:r>
      <w:r w:rsidR="00B70714" w:rsidRPr="003E351F">
        <w:t xml:space="preserve"> </w:t>
      </w:r>
      <w:r>
        <w:t>wnioskodawców</w:t>
      </w:r>
      <w:r w:rsidRPr="003E351F">
        <w:t xml:space="preserve"> powierza </w:t>
      </w:r>
      <w:r w:rsidRPr="003E351F">
        <w:rPr>
          <w:b/>
          <w:bCs/>
        </w:rPr>
        <w:t>przygotowanie dokumentacji aplikacyjnej firmom zewnętrznym</w:t>
      </w:r>
      <w:r w:rsidRPr="003E351F">
        <w:t xml:space="preserve">. Choć takie podmioty często mają doświadczenie w pisaniu wniosków, to nie zawsze dysponują szczegółową wiedzą merytoryczną na temat specyfiki lokalnych projektów czy wymagań </w:t>
      </w:r>
      <w:r>
        <w:t>naboru</w:t>
      </w:r>
      <w:r w:rsidRPr="003E351F">
        <w:t xml:space="preserve">. </w:t>
      </w:r>
      <w:r>
        <w:t>O</w:t>
      </w:r>
      <w:r w:rsidRPr="003E351F">
        <w:t>graniczone zaangażowani</w:t>
      </w:r>
      <w:r>
        <w:t>e</w:t>
      </w:r>
      <w:r w:rsidRPr="003E351F">
        <w:t xml:space="preserve"> w proces tworzenia wniosku</w:t>
      </w:r>
      <w:r>
        <w:t xml:space="preserve"> przez </w:t>
      </w:r>
      <w:r w:rsidR="006C7B11">
        <w:t>wnioskodawcę</w:t>
      </w:r>
      <w:r w:rsidR="006C7B11" w:rsidRPr="003E351F">
        <w:t xml:space="preserve"> </w:t>
      </w:r>
      <w:r w:rsidRPr="003E351F">
        <w:t xml:space="preserve">powoduje, że w trakcie oceny lub realizacji projektu pojawiają się problemy z uzasadnieniem poszczególnych działań czy wskaźników. W efekcie nawet dobrze przygotowany pod względem formalnym wniosek może okazać się niedostosowany </w:t>
      </w:r>
      <w:r w:rsidRPr="003E351F">
        <w:lastRenderedPageBreak/>
        <w:t>do realnych potrzeb i kryteriów oceny, co zwiększa ryzyko negatywnej oceny lub konieczności wprowadzania licznych poprawek.</w:t>
      </w:r>
    </w:p>
    <w:p w14:paraId="4E4B4036" w14:textId="77777777" w:rsidR="00006482" w:rsidRPr="003E351F" w:rsidRDefault="00006482" w:rsidP="00006482">
      <w:r>
        <w:t xml:space="preserve">Jak wynika z poniższego wykresu, większa liczba szkoleń, indywidualne konsultacje, wzory i praktyczne wytyczne to jest to czego wnioskodawcy potrzebują najbardziej. </w:t>
      </w:r>
    </w:p>
    <w:p w14:paraId="37EB3128" w14:textId="4A98ADAE" w:rsidR="00006482" w:rsidRPr="00141A4C" w:rsidRDefault="00006482" w:rsidP="00006482">
      <w:pPr>
        <w:pStyle w:val="Legenda"/>
      </w:pPr>
      <w:r w:rsidRPr="00141A4C">
        <w:t xml:space="preserve">Wykres </w:t>
      </w:r>
      <w:fldSimple w:instr=" SEQ Wykres \* ARABIC ">
        <w:r w:rsidR="00541DFA">
          <w:rPr>
            <w:noProof/>
          </w:rPr>
          <w:t>17</w:t>
        </w:r>
      </w:fldSimple>
      <w:r w:rsidRPr="00141A4C">
        <w:t xml:space="preserve"> </w:t>
      </w:r>
      <w:r>
        <w:t>Rodzaje wsparcia, których zabrakło wnioskodawcom na etapie naboru</w:t>
      </w:r>
    </w:p>
    <w:p w14:paraId="54C9A7B1" w14:textId="77777777" w:rsidR="00006482" w:rsidRDefault="00006482" w:rsidP="00006482">
      <w:r>
        <w:rPr>
          <w:noProof/>
        </w:rPr>
        <w:drawing>
          <wp:inline distT="0" distB="0" distL="0" distR="0" wp14:anchorId="256FF4B3" wp14:editId="214C065C">
            <wp:extent cx="5715000" cy="3048000"/>
            <wp:effectExtent l="0" t="0" r="0" b="0"/>
            <wp:docPr id="1533279306" name="Wykres 1" descr="Wykres przedstawia odpowiedzi na pytanie z kwestionariusza „Jakiego rodzaju wsparcia zabrakło Państwa zdaniem na etapie przygotowania projektu?”.&#10;&#10;27,9% respondentów wskazało brak szkoleń lub warsztatów tematycznych, 18,3% – brak doradztwa indywidualnego, takiego jak konsultacje koncepcji projektowej, a 14,4% – brak narzędzi ułatwiających przygotowanie danych lub analiz.&#10;9,6% badanych odczuło brak jasnych interpretacji wymagań programowych i kryteriów, a 8,7% – brak praktycznych wytycznych do przygotowania dokumentów aplikacyjnych.&#10;33,7% respondentów stwierdziło, że nie zabrakło żadnego wsparcia, natomiast 22,1% wybrało odpowiedź „Nie wiem/trudno powiedzieć”.">
              <a:extLst xmlns:a="http://schemas.openxmlformats.org/drawingml/2006/main">
                <a:ext uri="{FF2B5EF4-FFF2-40B4-BE49-F238E27FC236}">
                  <a16:creationId xmlns:a16="http://schemas.microsoft.com/office/drawing/2014/main" id="{9B6BF731-E431-89C1-C13D-722A0DF1406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57331B2C" w14:textId="1C8C3851" w:rsidR="00006482" w:rsidRDefault="00006482" w:rsidP="001966A2">
      <w:pPr>
        <w:pStyle w:val="rdo"/>
      </w:pPr>
      <w:r>
        <w:t>Źródło: badanie ilościowe wśród wnioskodawców FEdKP 2021-2027, n=104.</w:t>
      </w:r>
      <w:r w:rsidR="00E861E5">
        <w:t xml:space="preserve"> Odpowiedź na pytanie „</w:t>
      </w:r>
      <w:r w:rsidR="00E861E5" w:rsidRPr="00E861E5">
        <w:t>Jakiego rodzaju wsparcia zabrakło na etapie przygotowania projektu?</w:t>
      </w:r>
      <w:r w:rsidR="00E861E5">
        <w:t>”</w:t>
      </w:r>
      <w:r w:rsidR="001F4A0E">
        <w:t>.</w:t>
      </w:r>
      <w:r w:rsidR="004444E4">
        <w:t xml:space="preserve"> Wartości nie sumują się do 100,0%, ponieważ każdy respondent mógł wybrać więcej niż 1 odpowiedź.</w:t>
      </w:r>
    </w:p>
    <w:p w14:paraId="5EA65A13" w14:textId="77777777" w:rsidR="00006482" w:rsidRDefault="00006482" w:rsidP="00006482">
      <w:pPr>
        <w:spacing w:before="0" w:after="0"/>
      </w:pPr>
      <w:r w:rsidRPr="004B0170">
        <w:rPr>
          <w:b/>
          <w:bCs/>
          <w:color w:val="0F14D2" w:themeColor="accent1"/>
        </w:rPr>
        <w:t>Zalecenie:</w:t>
      </w:r>
      <w:r w:rsidRPr="004B0170">
        <w:rPr>
          <w:color w:val="0F14D2" w:themeColor="accent1"/>
        </w:rPr>
        <w:t xml:space="preserve"> </w:t>
      </w:r>
      <w:r>
        <w:t>Należy rozważyć na poziomie poszczególnych instytucji organizujących nabory, na ile ich potencjał i możliwości organizacyjne pozwalają na:</w:t>
      </w:r>
    </w:p>
    <w:p w14:paraId="2EDA64BE" w14:textId="77777777" w:rsidR="00006482" w:rsidRPr="00F77C54" w:rsidRDefault="00006482" w:rsidP="00103D76">
      <w:pPr>
        <w:numPr>
          <w:ilvl w:val="0"/>
          <w:numId w:val="35"/>
        </w:numPr>
      </w:pPr>
      <w:r w:rsidRPr="00F77C54">
        <w:rPr>
          <w:b/>
          <w:bCs/>
        </w:rPr>
        <w:t>Zapewnienie cykliczności szkoleń</w:t>
      </w:r>
      <w:r w:rsidRPr="00F77C54">
        <w:t xml:space="preserve"> – organizowanie szkoleń przy każdej edycji naboru, nawet jeśli dotyczy on obszaru wsparcia już wcześniej realizowanego, tak aby umożliwić udział nowym wnioskodawcom, którzy nie uczestniczyli w pierwszych szkoleniach.</w:t>
      </w:r>
    </w:p>
    <w:p w14:paraId="0B579EB3" w14:textId="77777777" w:rsidR="00006482" w:rsidRPr="00F77C54" w:rsidRDefault="00006482" w:rsidP="00103D76">
      <w:pPr>
        <w:numPr>
          <w:ilvl w:val="0"/>
          <w:numId w:val="35"/>
        </w:numPr>
      </w:pPr>
      <w:r w:rsidRPr="00F77C54">
        <w:rPr>
          <w:b/>
          <w:bCs/>
        </w:rPr>
        <w:t>Rozszerzenie formy warsztatowej</w:t>
      </w:r>
      <w:r w:rsidRPr="00F77C54">
        <w:t xml:space="preserve"> – utrzymanie lub zwiększenie liczby szkoleń w niewielkich grupach, z możliwością omawiania indywidualnych koncepcji projektowych i bieżącego wyjaśniania wątpliwości.</w:t>
      </w:r>
    </w:p>
    <w:p w14:paraId="3B6FEC0E" w14:textId="77777777" w:rsidR="00006482" w:rsidRPr="00F77C54" w:rsidRDefault="00006482" w:rsidP="00103D76">
      <w:pPr>
        <w:numPr>
          <w:ilvl w:val="0"/>
          <w:numId w:val="35"/>
        </w:numPr>
      </w:pPr>
      <w:r w:rsidRPr="00F77C54">
        <w:rPr>
          <w:b/>
          <w:bCs/>
        </w:rPr>
        <w:t>Udostępnianie materiałów poglądowych</w:t>
      </w:r>
      <w:r w:rsidRPr="00F77C54">
        <w:t xml:space="preserve"> – </w:t>
      </w:r>
      <w:r>
        <w:t>udostępnianie</w:t>
      </w:r>
      <w:r w:rsidRPr="00F77C54">
        <w:t xml:space="preserve"> wzorcowo wypełnionych wniosków o dofinansowanie i przykładów prawidłowych zapisów w dokumentach, w celu ułatwienia przygotowania projektów zgodnych z wymaganiami.</w:t>
      </w:r>
    </w:p>
    <w:p w14:paraId="4FBFA34F" w14:textId="1421B5CD" w:rsidR="00006482" w:rsidRDefault="00006482" w:rsidP="00103D76">
      <w:pPr>
        <w:numPr>
          <w:ilvl w:val="0"/>
          <w:numId w:val="35"/>
        </w:numPr>
      </w:pPr>
      <w:r w:rsidRPr="00F77C54">
        <w:rPr>
          <w:b/>
          <w:bCs/>
        </w:rPr>
        <w:lastRenderedPageBreak/>
        <w:t>Wsparcie dla mniejszych JST i nowych wnioskodawców</w:t>
      </w:r>
      <w:r w:rsidRPr="00F77C54">
        <w:t xml:space="preserve"> – zapewnienie dodatkowych, spersonalizowanych konsultacji przed złożeniem wniosku, szczególnie dla jednostek o mniejszym doświadczeniu w aplikowaniu</w:t>
      </w:r>
      <w:r w:rsidR="002F1D5D">
        <w:t>.</w:t>
      </w:r>
    </w:p>
    <w:p w14:paraId="0E10919A" w14:textId="6C483CFC" w:rsidR="00B64AD6" w:rsidRDefault="00B64AD6" w:rsidP="00B64AD6">
      <w:pPr>
        <w:numPr>
          <w:ilvl w:val="0"/>
          <w:numId w:val="35"/>
        </w:numPr>
      </w:pPr>
      <w:r w:rsidRPr="00077CA0">
        <w:rPr>
          <w:b/>
          <w:bCs/>
        </w:rPr>
        <w:t xml:space="preserve">Publikowanie materiałów ze szkoleń </w:t>
      </w:r>
      <w:r>
        <w:t>– udostępnianie prezentacji, nagrań wideo oraz opracowanie poszkoleniowych zestawów pytań i odpowiedzi, aby umożliwić zapoznanie się z nimi osobom, które nie mogły uczestniczyć w spotkaniach</w:t>
      </w:r>
      <w:r w:rsidR="002F1D5D">
        <w:t>.</w:t>
      </w:r>
    </w:p>
    <w:p w14:paraId="162DD617" w14:textId="3A39B5FA" w:rsidR="00B64AD6" w:rsidRPr="00F77C54" w:rsidRDefault="00B64AD6" w:rsidP="00B64AD6">
      <w:pPr>
        <w:numPr>
          <w:ilvl w:val="0"/>
          <w:numId w:val="35"/>
        </w:numPr>
      </w:pPr>
      <w:r w:rsidRPr="00077CA0">
        <w:rPr>
          <w:b/>
          <w:bCs/>
        </w:rPr>
        <w:t>Organizowanie szkoleń ad</w:t>
      </w:r>
      <w:r>
        <w:t xml:space="preserve"> </w:t>
      </w:r>
      <w:r w:rsidRPr="008C41E8">
        <w:rPr>
          <w:b/>
          <w:bCs/>
        </w:rPr>
        <w:t>hoc</w:t>
      </w:r>
      <w:r>
        <w:t xml:space="preserve"> – wprowadzanie dodatkowych, krótkich szkoleń lub </w:t>
      </w:r>
      <w:proofErr w:type="spellStart"/>
      <w:r>
        <w:t>webinarów</w:t>
      </w:r>
      <w:proofErr w:type="spellEnd"/>
      <w:r>
        <w:t xml:space="preserve"> w sytuacjach pojawienia się szczególnie trudnych kwestii lub powtarzających się problemów zgłaszanych przez wnioskodawców.</w:t>
      </w:r>
    </w:p>
    <w:p w14:paraId="56AAC0E7" w14:textId="77777777" w:rsidR="00006482" w:rsidRPr="009055FC" w:rsidRDefault="00006482" w:rsidP="00006482">
      <w:r>
        <w:t xml:space="preserve">Jednym z obszarów, w których zabrakło szkoleń, zdaniem uczestników wywiadu grupowego w obszarze przestrzeni i infrastruktury publicznej, było </w:t>
      </w:r>
      <w:r w:rsidRPr="009055FC">
        <w:t>przygotowani</w:t>
      </w:r>
      <w:r>
        <w:t>e</w:t>
      </w:r>
      <w:r w:rsidRPr="009055FC">
        <w:t xml:space="preserve"> wnioskodawców do spełnienia nowych wymogów, takich jak </w:t>
      </w:r>
      <w:r w:rsidRPr="009055FC">
        <w:rPr>
          <w:b/>
          <w:bCs/>
        </w:rPr>
        <w:t xml:space="preserve">zasada „nie czyń poważnych szkód” (DNSH) czy kryterium </w:t>
      </w:r>
      <w:proofErr w:type="spellStart"/>
      <w:r w:rsidRPr="009055FC">
        <w:rPr>
          <w:b/>
          <w:bCs/>
        </w:rPr>
        <w:t>Bauhausu</w:t>
      </w:r>
      <w:proofErr w:type="spellEnd"/>
      <w:r w:rsidRPr="009055FC">
        <w:t>.</w:t>
      </w:r>
      <w:r>
        <w:t xml:space="preserve"> </w:t>
      </w:r>
      <w:r w:rsidRPr="009055FC">
        <w:t xml:space="preserve">Uczestnicy podkreślali, że wprowadzenie tych zasad nastąpiło bez wcześniejszego kompleksowego przeszkolenia </w:t>
      </w:r>
      <w:r>
        <w:t>wnioskodawców</w:t>
      </w:r>
      <w:r w:rsidRPr="009055FC">
        <w:t>. W praktyce oznaczało to, że osoby przygotowujące wnioski musiały samodzielnie poszukiwać informacji, interpretacji i przykładów, często opierając się na ogólnodostępnych źródłach lub wymieniając doświadczenia między gminami. Brakowało im szczegółowych wytycznych, materiałów szkoleniowych oraz przykładów dobrych praktyk, które ułatwiłyby prawidłowe uzasadnianie zgodności projektów z tymi wymogami.</w:t>
      </w:r>
    </w:p>
    <w:p w14:paraId="6FB73ECC" w14:textId="77777777" w:rsidR="00006482" w:rsidRPr="009055FC" w:rsidRDefault="00006482" w:rsidP="00006482">
      <w:r w:rsidRPr="009055FC">
        <w:t>Jak wskazywano, problem dotyczył nie tylko etapu aplikowania, lecz także późniejszego rozliczania projektów – konieczne było ponowne wykazanie zgodności z zasadami w dokumentacji powykonawczej. Uczestnicy sugerowali, że szkolenia powinny obejmować zarówno część teoretyczną (omówienie zasad i interpretacji), jak i praktyczną (przykłady zapisów w dokumentacji projektowej czy w studiach wykonalności), aby już na etapie planowania inwestycji można było wprowadzać rozwiązania ułatwiające spełnienie wymagań.</w:t>
      </w:r>
    </w:p>
    <w:p w14:paraId="63F112FD" w14:textId="77777777" w:rsidR="00006482" w:rsidRPr="009055FC" w:rsidRDefault="00006482" w:rsidP="00006482">
      <w:r w:rsidRPr="009055FC">
        <w:t>Wskazywano też, że brak edukacji w tym zakresie prowadzi do sytuacji, w której projekty spełniają wymogi formalnie, ale nie zawsze w sposób rzeczywisty i świadomy, co może rodzić ryzyko problemów przy kontroli lub weryfikacji trwałości.</w:t>
      </w:r>
    </w:p>
    <w:p w14:paraId="32726FEB"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Kumulacja naborów </w:t>
      </w:r>
    </w:p>
    <w:p w14:paraId="34227EFB" w14:textId="2A587347" w:rsidR="008C43E2" w:rsidRDefault="00006482" w:rsidP="00006482">
      <w:r>
        <w:t>W</w:t>
      </w:r>
      <w:r w:rsidRPr="00B65BF9">
        <w:t xml:space="preserve"> części naborów – zwłaszcza w ramach polityki terytorialnej – terminy składania wniosków były nieoptymalne z punktu widzenia wnioskodawców. </w:t>
      </w:r>
      <w:r>
        <w:t>J</w:t>
      </w:r>
      <w:r w:rsidRPr="00B604EC">
        <w:t xml:space="preserve">ednym z poważniejszych problemów organizacyjnych dla jednostek samorządu terytorialnego jest </w:t>
      </w:r>
      <w:r w:rsidRPr="00B604EC">
        <w:rPr>
          <w:b/>
          <w:bCs/>
        </w:rPr>
        <w:t>kumulacja wielu naborów</w:t>
      </w:r>
      <w:r w:rsidRPr="00B604EC">
        <w:t xml:space="preserve"> w tym samym czasie.</w:t>
      </w:r>
      <w:r>
        <w:t xml:space="preserve"> </w:t>
      </w:r>
    </w:p>
    <w:p w14:paraId="5FE1D80D" w14:textId="5A3F9C8B" w:rsidR="004D2ED1" w:rsidRPr="00141A4C" w:rsidRDefault="004D2ED1" w:rsidP="00A5431E">
      <w:pPr>
        <w:pStyle w:val="Legenda"/>
      </w:pPr>
      <w:r w:rsidRPr="00141A4C">
        <w:lastRenderedPageBreak/>
        <w:t xml:space="preserve">Wykres </w:t>
      </w:r>
      <w:fldSimple w:instr=" SEQ Wykres \* ARABIC ">
        <w:r w:rsidR="00541DFA">
          <w:rPr>
            <w:noProof/>
          </w:rPr>
          <w:t>18</w:t>
        </w:r>
      </w:fldSimple>
      <w:r w:rsidRPr="00141A4C">
        <w:t xml:space="preserve"> </w:t>
      </w:r>
      <w:r>
        <w:t>Terminy naborów</w:t>
      </w:r>
      <w:r w:rsidR="009D4398">
        <w:t xml:space="preserve"> w ramach polityki terytorialnej</w:t>
      </w:r>
    </w:p>
    <w:p w14:paraId="2C94F61F" w14:textId="77777777" w:rsidR="003C479A" w:rsidRPr="00517794" w:rsidRDefault="003C479A" w:rsidP="00077CA0">
      <w:pPr>
        <w:keepNext/>
        <w:spacing w:after="0"/>
        <w:rPr>
          <w:b/>
          <w:bCs/>
          <w:color w:val="0B0E9D" w:themeColor="accent1" w:themeShade="BF"/>
        </w:rPr>
      </w:pPr>
      <w:r w:rsidRPr="00517794">
        <w:rPr>
          <w:b/>
          <w:bCs/>
          <w:color w:val="0B0E9D" w:themeColor="accent1" w:themeShade="BF"/>
        </w:rPr>
        <w:t>OPPT</w:t>
      </w:r>
    </w:p>
    <w:p w14:paraId="69B2BC21" w14:textId="77777777" w:rsidR="003C479A" w:rsidRPr="003C479A" w:rsidRDefault="003C479A" w:rsidP="00077CA0">
      <w:pPr>
        <w:keepNext/>
        <w:spacing w:before="0" w:after="0"/>
      </w:pPr>
      <w:r w:rsidRPr="003C479A">
        <w:rPr>
          <w:noProof/>
        </w:rPr>
        <w:drawing>
          <wp:inline distT="0" distB="0" distL="0" distR="0" wp14:anchorId="08E83906" wp14:editId="6E3A0494">
            <wp:extent cx="5719445" cy="4145176"/>
            <wp:effectExtent l="0" t="0" r="0" b="8255"/>
            <wp:docPr id="167472817" name="Obraz 6" descr="Wykres słupkowy przedstawiający terminy naborów w ramach polityki terytorialnej (OPPT) w programie FEdKP.&#10;&#10;Oś pionowa: numery działań (np. 02.17, 02.18, 08.26, 06.13, 08.27, 05.16 itd.).&#10;&#10;Oś pozioma: czas – od kwietnia 2023 r. do lipca 2025 r.&#10;&#10;Słupki: oznaczają okres trwania naborów:&#10;&#10;niebieskie (EFRR) – Europejski Fundusz Rozwoju Regionalnego,&#10;&#10;zielone (EFS+) – Europejski Fundusz Społeczny Plus.&#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2817" name="Obraz 6" descr="Wykres słupkowy przedstawiający terminy naborów w ramach polityki terytorialnej (OPPT) w programie FEdKP.&#10;&#10;Oś pionowa: numery działań (np. 02.17, 02.18, 08.26, 06.13, 08.27, 05.16 itd.).&#10;&#10;Oś pozioma: czas – od kwietnia 2023 r. do lipca 2025 r.&#10;&#10;Słupki: oznaczają okres trwania naborów:&#10;&#10;niebieskie (EFRR) – Europejski Fundusz Rozwoju Regionalnego,&#10;&#10;zielone (EFS+) – Europejski Fundusz Społeczny Plus.&#10;Każdy wiersz odpowiada jednemu działaniu FEdKP, a długość słupka obrazuje czas trwania naboru (od startu do zakończenia)."/>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29825" cy="4152699"/>
                    </a:xfrm>
                    <a:prstGeom prst="rect">
                      <a:avLst/>
                    </a:prstGeom>
                    <a:noFill/>
                    <a:ln>
                      <a:noFill/>
                    </a:ln>
                  </pic:spPr>
                </pic:pic>
              </a:graphicData>
            </a:graphic>
          </wp:inline>
        </w:drawing>
      </w:r>
    </w:p>
    <w:p w14:paraId="02C9CF33" w14:textId="7A0EB0BA" w:rsidR="004D2ED1" w:rsidRPr="00077CA0" w:rsidRDefault="009F6A40" w:rsidP="00006482">
      <w:pPr>
        <w:rPr>
          <w:b/>
          <w:bCs/>
          <w:color w:val="0B0E9D" w:themeColor="accent1" w:themeShade="BF"/>
        </w:rPr>
      </w:pPr>
      <w:r w:rsidRPr="00077CA0">
        <w:rPr>
          <w:b/>
          <w:bCs/>
          <w:color w:val="0B0E9D" w:themeColor="accent1" w:themeShade="BF"/>
        </w:rPr>
        <w:t>ZIT BydOF</w:t>
      </w:r>
    </w:p>
    <w:p w14:paraId="75623735" w14:textId="2A546056" w:rsidR="004D2ED1" w:rsidRDefault="004D2ED1" w:rsidP="004D2ED1">
      <w:r w:rsidRPr="004D2ED1">
        <w:rPr>
          <w:noProof/>
        </w:rPr>
        <w:drawing>
          <wp:inline distT="0" distB="0" distL="0" distR="0" wp14:anchorId="0895C98F" wp14:editId="72DC6B5D">
            <wp:extent cx="5719445" cy="3577590"/>
            <wp:effectExtent l="0" t="0" r="0" b="3810"/>
            <wp:docPr id="97886398" name="Obraz 2" descr="Wykres słupkowy przedstawiający terminy naborów w ramach polityki terytorialnej (ZIT BydOF)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86398" name="Obraz 2" descr="Wykres słupkowy przedstawiający terminy naborów w ramach polityki terytorialnej (ZIT BydOF)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3956" cy="3580412"/>
                    </a:xfrm>
                    <a:prstGeom prst="rect">
                      <a:avLst/>
                    </a:prstGeom>
                    <a:noFill/>
                    <a:ln>
                      <a:noFill/>
                    </a:ln>
                  </pic:spPr>
                </pic:pic>
              </a:graphicData>
            </a:graphic>
          </wp:inline>
        </w:drawing>
      </w:r>
    </w:p>
    <w:p w14:paraId="0990CE7D" w14:textId="33C8DAA0" w:rsidR="00414845" w:rsidRPr="00077CA0" w:rsidRDefault="00414845" w:rsidP="004D2ED1">
      <w:pPr>
        <w:rPr>
          <w:b/>
          <w:bCs/>
          <w:color w:val="0B0E9D" w:themeColor="accent1" w:themeShade="BF"/>
        </w:rPr>
      </w:pPr>
      <w:proofErr w:type="spellStart"/>
      <w:r w:rsidRPr="00077CA0">
        <w:rPr>
          <w:b/>
          <w:bCs/>
          <w:color w:val="0B0E9D" w:themeColor="accent1" w:themeShade="BF"/>
        </w:rPr>
        <w:lastRenderedPageBreak/>
        <w:t>ZITy</w:t>
      </w:r>
      <w:proofErr w:type="spellEnd"/>
      <w:r w:rsidRPr="00077CA0">
        <w:rPr>
          <w:b/>
          <w:bCs/>
          <w:color w:val="0B0E9D" w:themeColor="accent1" w:themeShade="BF"/>
        </w:rPr>
        <w:t xml:space="preserve"> regionalne</w:t>
      </w:r>
    </w:p>
    <w:p w14:paraId="061531BD" w14:textId="5B17183D" w:rsidR="00414845" w:rsidRDefault="00414845" w:rsidP="00414845">
      <w:r w:rsidRPr="00414845">
        <w:rPr>
          <w:noProof/>
        </w:rPr>
        <w:drawing>
          <wp:inline distT="0" distB="0" distL="0" distR="0" wp14:anchorId="38A3FC5C" wp14:editId="2992019A">
            <wp:extent cx="5719445" cy="4503420"/>
            <wp:effectExtent l="0" t="0" r="0" b="0"/>
            <wp:docPr id="105531352" name="Obraz 4" descr="Wykres słupkowy przedstawiający terminy naborów w ramach polityki terytorialnej (ZITy regionalne)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31352" name="Obraz 4" descr="Wykres słupkowy przedstawiający terminy naborów w ramach polityki terytorialnej (ZITy regionalne) w programie FEdKP.&#10;&#10;Oś pionowa: numery działań.&#10;&#10;Oś pozioma: czas – od kwietnia 2023 r. do lipca 2025 r.&#10;&#10;Słupki: oznaczają okres trwania naborów:&#10;&#10;niebieskie (EFRR) – Europejski Fundusz Rozwoju Regionalnego,&#10;&#10;zielone (EFS+) – Europejski Fundusz Społeczny Plus.&#10;&#10;Każdy wiersz odpowiada jednemu działaniu FEdKP, a długość słupka obrazuje czas trwania naboru (od startu do zakończenia)."/>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19445" cy="4503420"/>
                    </a:xfrm>
                    <a:prstGeom prst="rect">
                      <a:avLst/>
                    </a:prstGeom>
                    <a:noFill/>
                    <a:ln>
                      <a:noFill/>
                    </a:ln>
                  </pic:spPr>
                </pic:pic>
              </a:graphicData>
            </a:graphic>
          </wp:inline>
        </w:drawing>
      </w:r>
    </w:p>
    <w:p w14:paraId="1BF64089" w14:textId="5A6EE554" w:rsidR="008C43E2" w:rsidRDefault="0046011A" w:rsidP="00077CA0">
      <w:pPr>
        <w:pStyle w:val="rdo"/>
      </w:pPr>
      <w:r>
        <w:t xml:space="preserve">Źródło: </w:t>
      </w:r>
      <w:r w:rsidR="00041A6C">
        <w:t xml:space="preserve">opracowanie własne na podstawie informacji o naborach, </w:t>
      </w:r>
      <w:r w:rsidR="00041A6C" w:rsidRPr="00041A6C">
        <w:t>stan na</w:t>
      </w:r>
      <w:r w:rsidR="00CD1A15">
        <w:t xml:space="preserve"> </w:t>
      </w:r>
      <w:r w:rsidR="00041A6C" w:rsidRPr="00041A6C">
        <w:t>31.03.2025</w:t>
      </w:r>
      <w:r w:rsidR="008F15D1">
        <w:t> </w:t>
      </w:r>
      <w:r w:rsidR="00041A6C" w:rsidRPr="00041A6C">
        <w:t>r.</w:t>
      </w:r>
    </w:p>
    <w:p w14:paraId="684C2733" w14:textId="2B382D17" w:rsidR="00F80E40" w:rsidRDefault="00F80E40" w:rsidP="00006482">
      <w:r>
        <w:t xml:space="preserve">Największa kumulacja naborów miała miejsce w </w:t>
      </w:r>
      <w:r w:rsidR="002F33BB">
        <w:t>przypadku ZIT regionalnych i OPPT</w:t>
      </w:r>
      <w:r w:rsidR="000A573F">
        <w:t xml:space="preserve">, choć należy mieć jednocześnie na uwadze, że czas trwania większości naborów był długi </w:t>
      </w:r>
      <w:r w:rsidR="00B256AD">
        <w:t>(średnio około 150 dni),</w:t>
      </w:r>
      <w:r w:rsidR="00051CB6">
        <w:t xml:space="preserve"> a znaczna ich część miała charakter ciągły. </w:t>
      </w:r>
    </w:p>
    <w:p w14:paraId="6B3C5572" w14:textId="40110727" w:rsidR="00006482" w:rsidRPr="00B604EC" w:rsidRDefault="00006482" w:rsidP="00006482">
      <w:r>
        <w:t>W</w:t>
      </w:r>
      <w:r w:rsidRPr="00B604EC">
        <w:t xml:space="preserve"> mniejszych JST, gdzie obsługą wszystkich projektów zajmuje się często zaledwie 2</w:t>
      </w:r>
      <w:r>
        <w:t>-</w:t>
      </w:r>
      <w:r w:rsidRPr="00B604EC">
        <w:t>3 pracowników, prowadzi to do nadmiernego obciążenia kadry, przeciążenia pracą i ryzyka spadku jakości przygotowywanych wniosków. Konieczność równoczesnego opracowywania kilku aplikacji, często w krótkim terminie, powoduje też rezygnację z udziału w niektórych konkursach – priorytetowo wybiera się te, które są najlepiej dopasowane do potrzeb lub mają największe szanse na uzyskanie dofinansowania.</w:t>
      </w:r>
      <w:r>
        <w:t xml:space="preserve"> Dotyczy to zarówno naborów w różnych obszarach – np. transportu, </w:t>
      </w:r>
      <w:proofErr w:type="spellStart"/>
      <w:r>
        <w:t>oze</w:t>
      </w:r>
      <w:proofErr w:type="spellEnd"/>
      <w:r>
        <w:t xml:space="preserve">, czy </w:t>
      </w:r>
      <w:r w:rsidRPr="006A2871">
        <w:t>gospodarki wodno-kanalizacyjnej</w:t>
      </w:r>
      <w:r>
        <w:t xml:space="preserve"> (np. gmina ze względu na ograniczone zasoby wybiera tylko jeden nabór), jak też </w:t>
      </w:r>
      <w:r w:rsidRPr="00B65BF9">
        <w:t>w tych samych lub pokrewnych obszarach (np. kształcenie ogólne i przedszkolne</w:t>
      </w:r>
      <w:r>
        <w:t xml:space="preserve"> – samorząd wybierał nabór w obszarze bardziej priorytetowym</w:t>
      </w:r>
      <w:r w:rsidRPr="00B65BF9">
        <w:t xml:space="preserve">). </w:t>
      </w:r>
      <w:r w:rsidRPr="00B604EC">
        <w:t xml:space="preserve">Problem nasila się w sytuacji, gdy terminy naborów w różnych obszarach nakładają się na siebie i pokrywają z innymi obowiązkami urzędu, takimi jak przygotowanie budżetu czy sprawozdawczości. W efekcie, nawet posiadając </w:t>
      </w:r>
      <w:r w:rsidRPr="00B604EC">
        <w:lastRenderedPageBreak/>
        <w:t>dobre pomysły projektowe, JST często nie są w stanie ich złożyć w danym konkursie z powodu braku czasu i zasobów na przygotowanie kompletnej dokumentacji.</w:t>
      </w:r>
    </w:p>
    <w:p w14:paraId="04A6F6C5" w14:textId="77777777" w:rsidR="00006482" w:rsidRDefault="00006482" w:rsidP="00006482">
      <w:r w:rsidRPr="00B65BF9">
        <w:t xml:space="preserve">Pomimo sygnałów od JST i </w:t>
      </w:r>
      <w:r>
        <w:t>instytucji organizujących nabory</w:t>
      </w:r>
      <w:r w:rsidRPr="00B65BF9">
        <w:t xml:space="preserve"> o potrzebie </w:t>
      </w:r>
      <w:r>
        <w:t xml:space="preserve">lepszego </w:t>
      </w:r>
      <w:r w:rsidRPr="00B65BF9">
        <w:t xml:space="preserve">rozłożenia naborów w czasie, postulaty te nie były </w:t>
      </w:r>
      <w:r>
        <w:t xml:space="preserve">dostatecznie </w:t>
      </w:r>
      <w:r w:rsidRPr="00B65BF9">
        <w:t xml:space="preserve">uwzględniane przez </w:t>
      </w:r>
      <w:r>
        <w:t>I</w:t>
      </w:r>
      <w:r w:rsidRPr="00B65BF9">
        <w:t xml:space="preserve">nstytucję </w:t>
      </w:r>
      <w:r>
        <w:t>Z</w:t>
      </w:r>
      <w:r w:rsidRPr="00B65BF9">
        <w:t>arządzającą.</w:t>
      </w:r>
    </w:p>
    <w:p w14:paraId="14559CE4" w14:textId="77777777" w:rsidR="00006482" w:rsidRDefault="00006482" w:rsidP="00006482">
      <w:pPr>
        <w:spacing w:before="0" w:after="0"/>
      </w:pPr>
      <w:r w:rsidRPr="004B0170">
        <w:rPr>
          <w:b/>
          <w:bCs/>
          <w:color w:val="0F14D2" w:themeColor="accent1"/>
        </w:rPr>
        <w:t>Zalecenie:</w:t>
      </w:r>
      <w:r w:rsidRPr="004B0170">
        <w:rPr>
          <w:color w:val="0F14D2" w:themeColor="accent1"/>
        </w:rPr>
        <w:t xml:space="preserve"> </w:t>
      </w:r>
      <w:r>
        <w:t xml:space="preserve">Wskazana jest weryfikacja harmonogramu naborów pod kątem </w:t>
      </w:r>
      <w:r w:rsidRPr="00CC1EB1">
        <w:t>unikani</w:t>
      </w:r>
      <w:r>
        <w:t>a</w:t>
      </w:r>
      <w:r w:rsidRPr="00CC1EB1">
        <w:t xml:space="preserve"> nakładania się terminów składania wniosków w ramach różnych </w:t>
      </w:r>
      <w:r>
        <w:t>D</w:t>
      </w:r>
      <w:r w:rsidRPr="00CC1EB1">
        <w:t>ziałań, szczególnie w polityce terytorialnej.</w:t>
      </w:r>
      <w:r>
        <w:t xml:space="preserve"> </w:t>
      </w:r>
    </w:p>
    <w:p w14:paraId="33708895"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Zbyt krótki czas trwania niektórych naborów</w:t>
      </w:r>
    </w:p>
    <w:p w14:paraId="7F3486FB" w14:textId="714DD5BD" w:rsidR="00006482" w:rsidRDefault="00006482" w:rsidP="00006482">
      <w:r>
        <w:t xml:space="preserve">Czas trwania naborów, z perspektywy większości tych, którzy złożyli do nich wnioski, jest wystarczający. Z drugiej jednak strony ponad 19% badanych wnioskodawców FEdKP 2021-2027 jest przeciwnego zdania, a dodatkowo 29% potencjalnych wnioskodawców, tj. tych co rozważali </w:t>
      </w:r>
      <w:r w:rsidRPr="0009773C">
        <w:t>złożenie wniosku o dofinansowanie, ale ostatecznie tego nie zrobi</w:t>
      </w:r>
      <w:r>
        <w:t>li, jako powód wskazała, że b</w:t>
      </w:r>
      <w:r w:rsidRPr="00481931">
        <w:t>yło za mało czasu na przygotowanie wniosku</w:t>
      </w:r>
      <w:r>
        <w:t xml:space="preserve">. Problem ten </w:t>
      </w:r>
      <w:r w:rsidR="00B074B3">
        <w:t xml:space="preserve">pogłębiała </w:t>
      </w:r>
      <w:r>
        <w:t xml:space="preserve">kumulacja </w:t>
      </w:r>
      <w:r w:rsidR="00B074B3">
        <w:t xml:space="preserve">naborów </w:t>
      </w:r>
      <w:r>
        <w:t xml:space="preserve">w </w:t>
      </w:r>
      <w:r w:rsidR="008B6B8A">
        <w:t>tych sa</w:t>
      </w:r>
      <w:r w:rsidR="00800514">
        <w:t>m</w:t>
      </w:r>
      <w:r w:rsidR="008B6B8A">
        <w:t xml:space="preserve">ych </w:t>
      </w:r>
      <w:r>
        <w:t xml:space="preserve">okresach. </w:t>
      </w:r>
    </w:p>
    <w:p w14:paraId="1D2B36A2" w14:textId="208125A0" w:rsidR="00006482" w:rsidRPr="00141A4C" w:rsidRDefault="00006482" w:rsidP="00006482">
      <w:pPr>
        <w:pStyle w:val="Legenda"/>
      </w:pPr>
      <w:r w:rsidRPr="00141A4C">
        <w:t xml:space="preserve">Wykres </w:t>
      </w:r>
      <w:fldSimple w:instr=" SEQ Wykres \* ARABIC ">
        <w:r w:rsidR="00541DFA">
          <w:rPr>
            <w:noProof/>
          </w:rPr>
          <w:t>19</w:t>
        </w:r>
      </w:fldSimple>
      <w:r w:rsidRPr="00141A4C">
        <w:t xml:space="preserve"> Ocena </w:t>
      </w:r>
      <w:r>
        <w:t>c</w:t>
      </w:r>
      <w:r w:rsidRPr="00104914">
        <w:t>zas</w:t>
      </w:r>
      <w:r>
        <w:t>u</w:t>
      </w:r>
      <w:r w:rsidRPr="00104914">
        <w:t xml:space="preserve"> na przygotowanie i złożenie wniosku </w:t>
      </w:r>
      <w:r w:rsidRPr="00141A4C">
        <w:t xml:space="preserve">przez wnioskodawców </w:t>
      </w:r>
      <w:r>
        <w:t>FEdKP 2021-2027</w:t>
      </w:r>
      <w:r w:rsidR="009A5C5E">
        <w:t xml:space="preserve"> (</w:t>
      </w:r>
      <w:r w:rsidR="00A51C6B">
        <w:t>c</w:t>
      </w:r>
      <w:r w:rsidR="009A5C5E" w:rsidRPr="009A5C5E">
        <w:t>zas na przygotowanie i złożenie wniosku był wystarczający, aby przygotować kompletny wniosek</w:t>
      </w:r>
      <w:r w:rsidR="009A5C5E">
        <w:t>)</w:t>
      </w:r>
    </w:p>
    <w:p w14:paraId="1DDBAA9D" w14:textId="77777777" w:rsidR="00006482" w:rsidRDefault="00006482" w:rsidP="00006482">
      <w:r>
        <w:rPr>
          <w:noProof/>
        </w:rPr>
        <w:drawing>
          <wp:inline distT="0" distB="0" distL="0" distR="0" wp14:anchorId="73D3EA32" wp14:editId="232F86F2">
            <wp:extent cx="5683250" cy="1861820"/>
            <wp:effectExtent l="0" t="0" r="12700" b="5080"/>
            <wp:docPr id="1193299091" name="Wykres 1" descr="Wykres przedstawia odpowiedzi na pytanie z kwestionariusza „Proszę ocenić, w jakim stopniu zgadzają się: Czas na przygotowanie i złożenie wniosku był wystarczający, aby przygotować kompletny wniosek”.&#10;&#10;23,1% respondentów wskazało „Zdecydowanie się zgadzam”, 51,9% – „Raczej się zgadzam”, 14,4% – „Raczej się nie zgadzam”, 4,8% – „Zdecydowanie się nie zgadzam” oraz 5,8% – „Nie wiem/trudno powiedzieć”.">
              <a:extLst xmlns:a="http://schemas.openxmlformats.org/drawingml/2006/main">
                <a:ext uri="{FF2B5EF4-FFF2-40B4-BE49-F238E27FC236}">
                  <a16:creationId xmlns:a16="http://schemas.microsoft.com/office/drawing/2014/main" id="{95A452AD-98F2-306B-9FEF-406EB085208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F2D00A3" w14:textId="1CFE91B1" w:rsidR="00006482" w:rsidRDefault="00006482" w:rsidP="001966A2">
      <w:pPr>
        <w:pStyle w:val="rdo"/>
      </w:pPr>
      <w:r>
        <w:t>Źródło: badanie ilościowe wśród wnioskodawców FEdKP 2021-2027, n=104</w:t>
      </w:r>
      <w:r w:rsidR="00E861E5">
        <w:t>. Odpowiedź na pytanie „</w:t>
      </w:r>
      <w:r w:rsidR="00C8397D" w:rsidRPr="00C8397D">
        <w:t>Proszę ocenić, w jakim stopniu zgadzają się Państwo z poniższymi stwierdzeniami na temat naboru oraz jego dokumentacji (regulamin, załączniki: kryteria, wskaźniki, instrukcja wypełniania wniosku etc.):</w:t>
      </w:r>
      <w:r w:rsidR="00C8397D">
        <w:t xml:space="preserve"> </w:t>
      </w:r>
      <w:r w:rsidR="00E861E5" w:rsidRPr="00E861E5">
        <w:t>Czas na przygotowanie i złożenie wniosku był wystarczający, aby przygotować kompletny wniosek</w:t>
      </w:r>
      <w:r w:rsidR="00922B9A">
        <w:t>”.</w:t>
      </w:r>
    </w:p>
    <w:p w14:paraId="01A13719" w14:textId="1EE71C4F" w:rsidR="00993A93" w:rsidRDefault="008C69C8" w:rsidP="00842502">
      <w:r>
        <w:t xml:space="preserve">Czas trwania naborów </w:t>
      </w:r>
      <w:r w:rsidR="00DB36F0">
        <w:t>będących przedmiotem badania wyniósł średnio 153 dni</w:t>
      </w:r>
      <w:r w:rsidR="008E3BE1">
        <w:t>, od 20 do 5</w:t>
      </w:r>
      <w:r w:rsidR="001A2866">
        <w:t xml:space="preserve">64. </w:t>
      </w:r>
      <w:r w:rsidR="00D94FA4">
        <w:t xml:space="preserve">Warto podkreślić, iż </w:t>
      </w:r>
      <w:r w:rsidR="001B7554">
        <w:t xml:space="preserve">czas trwania naborów w momencie ogłoszenia był często dłuższy niż pierwotnie planowano w harmonogramie naborów. </w:t>
      </w:r>
      <w:r w:rsidR="00122757">
        <w:t xml:space="preserve">Zgodnie z </w:t>
      </w:r>
      <w:r w:rsidR="0070029A">
        <w:lastRenderedPageBreak/>
        <w:t xml:space="preserve">danymi zawartymi w </w:t>
      </w:r>
      <w:r w:rsidR="00122757">
        <w:t>harmonogram</w:t>
      </w:r>
      <w:r w:rsidR="0070029A">
        <w:t xml:space="preserve">ach </w:t>
      </w:r>
      <w:r w:rsidR="00122757">
        <w:t>naborów</w:t>
      </w:r>
      <w:r w:rsidR="00122757">
        <w:rPr>
          <w:rStyle w:val="Odwoanieprzypisudolnego"/>
        </w:rPr>
        <w:footnoteReference w:id="55"/>
      </w:r>
      <w:r w:rsidR="00122757">
        <w:t xml:space="preserve">, </w:t>
      </w:r>
      <w:r w:rsidR="0070029A">
        <w:t>średni czas trwania naboru to 70 dni</w:t>
      </w:r>
      <w:r w:rsidR="000557AE">
        <w:t xml:space="preserve">, a w dniu ogłoszenia było to </w:t>
      </w:r>
      <w:r w:rsidR="00BF6A24">
        <w:t xml:space="preserve">średnio </w:t>
      </w:r>
      <w:r w:rsidR="0049685D">
        <w:t>1</w:t>
      </w:r>
      <w:r w:rsidR="00BF6A24">
        <w:t>31</w:t>
      </w:r>
      <w:r w:rsidR="0049685D">
        <w:t xml:space="preserve"> dni. </w:t>
      </w:r>
      <w:r w:rsidR="00BE4455">
        <w:t xml:space="preserve">Można zatem ocenić, że </w:t>
      </w:r>
      <w:r w:rsidR="00EF3588">
        <w:t xml:space="preserve">Instytucja Zarządzająca </w:t>
      </w:r>
      <w:r w:rsidR="000C3679">
        <w:t xml:space="preserve">wydłużała czas </w:t>
      </w:r>
      <w:r w:rsidR="00993A93">
        <w:t>naborów w stosunku do pierwotnych założeń.</w:t>
      </w:r>
      <w:r w:rsidR="00365EEA">
        <w:t xml:space="preserve"> Zdarzały się też sytuacje, kiedy terminy naboru okazywały się krótsze, np. w przypadku naboru </w:t>
      </w:r>
      <w:r w:rsidR="00907FA4" w:rsidRPr="00907FA4">
        <w:t>FEKP.03.02-IZ.00-168/24</w:t>
      </w:r>
      <w:r w:rsidR="00E062AC">
        <w:t xml:space="preserve"> pierwotnie (w harmonogramie) </w:t>
      </w:r>
      <w:r w:rsidR="00544FFB">
        <w:t xml:space="preserve">czas trwania określono na 182 dni, ale ostatecznie </w:t>
      </w:r>
      <w:r w:rsidR="00581D8F">
        <w:t xml:space="preserve">nabór trwał 40 dni. </w:t>
      </w:r>
      <w:r w:rsidR="0056430B">
        <w:t>Jak wynika z deklaracji przedstawicieli IZ, tak</w:t>
      </w:r>
      <w:r w:rsidR="00665533">
        <w:t xml:space="preserve">ie </w:t>
      </w:r>
      <w:r w:rsidR="00D20A56">
        <w:t xml:space="preserve">rozwiązania stosowano, jeśli wiadomo było, że projekty potencjalnych wnioskodawców są </w:t>
      </w:r>
      <w:r w:rsidR="00FC14C7">
        <w:t xml:space="preserve">gotowe i nie chciano wstrzymywać ich realizacji. </w:t>
      </w:r>
    </w:p>
    <w:p w14:paraId="0F8E7EAB" w14:textId="13B41BF8" w:rsidR="00842502" w:rsidRDefault="00876F0A" w:rsidP="00842502">
      <w:r>
        <w:t>Zazwyczaj</w:t>
      </w:r>
      <w:r w:rsidR="0041454F">
        <w:t xml:space="preserve"> </w:t>
      </w:r>
      <w:r w:rsidR="00D569BF">
        <w:t xml:space="preserve">Instytucja Zarządzająca wychodziła naprzeciw </w:t>
      </w:r>
      <w:r w:rsidR="00624122">
        <w:t>postulatom wnioskodawców, wydłużając terminy naborów. Wśród 47 naborów</w:t>
      </w:r>
      <w:r>
        <w:t xml:space="preserve"> będących przedmiotem badania</w:t>
      </w:r>
      <w:r w:rsidR="00624122">
        <w:t xml:space="preserve">, </w:t>
      </w:r>
      <w:r w:rsidR="00223FD8">
        <w:t xml:space="preserve">w 24 termin zakończenia </w:t>
      </w:r>
      <w:r w:rsidR="00171250">
        <w:t xml:space="preserve">był wydłużany </w:t>
      </w:r>
      <w:r w:rsidR="00BB6E34">
        <w:t>–</w:t>
      </w:r>
      <w:r w:rsidR="00171250">
        <w:t xml:space="preserve"> </w:t>
      </w:r>
      <w:r w:rsidR="00BB6E34">
        <w:t xml:space="preserve">od 4 dni w przypadku naboru FEKP.02.19-IZ.00-092/24 (który i tak był naborem ciągłym mającym planowo trwać </w:t>
      </w:r>
      <w:r w:rsidR="00643550">
        <w:t xml:space="preserve">182 dni), aż do </w:t>
      </w:r>
      <w:r w:rsidR="00842502">
        <w:t xml:space="preserve">168 dni w przypadku naboru FEKP.05.03-IP.02-008/23 (którego pierwotny czas trwania przewidziano na 40 dni, ale zmieniono nabór na ciągły). </w:t>
      </w:r>
      <w:r w:rsidR="00471B89">
        <w:t xml:space="preserve">Średnio </w:t>
      </w:r>
      <w:r w:rsidR="008A7AD3">
        <w:t>nabory wydłużano o 41 dni.</w:t>
      </w:r>
    </w:p>
    <w:p w14:paraId="0920FF29" w14:textId="710ACA6E" w:rsidR="004920A1" w:rsidRPr="004920A1" w:rsidRDefault="004920A1" w:rsidP="004920A1">
      <w:r w:rsidRPr="004920A1">
        <w:t>Z wywiadów pogłębionych z przedstawicielami instytucji zaangażowanych we wdrażanie FEdKP 2021</w:t>
      </w:r>
      <w:r>
        <w:t>-</w:t>
      </w:r>
      <w:r w:rsidRPr="004920A1">
        <w:t xml:space="preserve">2027 wynika, że zdarzały się sytuacje, w których podejmowano działania odwrotne do standardowych – </w:t>
      </w:r>
      <w:r w:rsidRPr="005E1EB8">
        <w:t>skracano czas trwania naborów</w:t>
      </w:r>
      <w:r>
        <w:t xml:space="preserve">. </w:t>
      </w:r>
      <w:r w:rsidRPr="004920A1">
        <w:t>Celem takiego rozwiązania, zgodnie z założeniami Instytucji Zarządzającej, było przyspieszenie procesu oceny oraz zakończenie wszystkich naborów w ramach polityki terytorialnej do sierpnia 2025 r.</w:t>
      </w:r>
    </w:p>
    <w:p w14:paraId="51E97680" w14:textId="6CF973F9" w:rsidR="004920A1" w:rsidRPr="004920A1" w:rsidRDefault="004920A1" w:rsidP="004920A1">
      <w:r w:rsidRPr="004920A1">
        <w:t>Decyzje o skróceniu naborów podejmowano jednak wyłącznie w przypadkach, gdy uznawano, że dłuższy okres naboru nie przełoży się na lepsze przygotowanie projektów, a wnioskodawcy i tak złożą aplikacje w ostatnim możliwym terminie. Takie doświadczenia odnotowano m.in. w odniesieniu do naborów ciągłych w polityce terytorialnej. Wprowadzony w trakcie realizacji FEdKP 2021</w:t>
      </w:r>
      <w:r>
        <w:t>-</w:t>
      </w:r>
      <w:r w:rsidRPr="004920A1">
        <w:t>2027 model naborów ciągłych nie sprawdził się – niezależnie od długości trwania naboru, projekty składano dopiero pod koniec, a dodatkowo wnioskodawcy często zwracali się do Instytucji Zarządzającej z prośbą o jego wydłużenie, mimo że okres naboru był już stosunkowo długi.</w:t>
      </w:r>
    </w:p>
    <w:p w14:paraId="1C7146B8" w14:textId="3406D074" w:rsidR="00006482" w:rsidRDefault="00006482" w:rsidP="00006482">
      <w:r>
        <w:t>Warto podkreślić, że większość projektów składanych do naborów objętych niniejszym badaniem, była, zgodnie z deklaracjami respondentów, na wysokim stopniu przygotowania – ponad 44% wnioskodawców wskazało, że p</w:t>
      </w:r>
      <w:r w:rsidRPr="00D54231">
        <w:t>rojekt był częściowo gotowy – część dokumentów była przygotowana, reszta w trakcie</w:t>
      </w:r>
      <w:r>
        <w:t xml:space="preserve">, a 19% </w:t>
      </w:r>
      <w:r w:rsidR="00227207" w:rsidRPr="00D54231">
        <w:t>–</w:t>
      </w:r>
      <w:r>
        <w:t xml:space="preserve"> że p</w:t>
      </w:r>
      <w:r w:rsidRPr="00B450F9">
        <w:t>rojekt był w pełni gotowy</w:t>
      </w:r>
      <w:r w:rsidR="00227207">
        <w:t>, tj.</w:t>
      </w:r>
      <w:r w:rsidRPr="00B450F9">
        <w:t xml:space="preserve"> posiada</w:t>
      </w:r>
      <w:r>
        <w:t>ł</w:t>
      </w:r>
      <w:r w:rsidRPr="00B450F9">
        <w:t xml:space="preserve"> pełną dokumentację (np. biznesplan, kosztorys, studium wykonalności, analizy)</w:t>
      </w:r>
      <w:r>
        <w:t xml:space="preserve">. Pomimo tego, odpowiedni czas trwania naboru jest kluczowy. Wśród pożądanych działań, które, zdaniem wnioskodawców mogłyby ułatwić staranie się o dofinansowanie, potrzeba wydłużenia czasu na </w:t>
      </w:r>
      <w:r>
        <w:lastRenderedPageBreak/>
        <w:t xml:space="preserve">złożenie wniosku jest jednym z najczęściej wskazywanym. Jak wyjaśnia jeden z respondentów, dopiero w momencie ukazania się ogłoszenia o naborze </w:t>
      </w:r>
      <w:r w:rsidR="003D0057">
        <w:t xml:space="preserve">wnioskodawca zyskuje dostęp do wszystkich </w:t>
      </w:r>
      <w:r w:rsidR="00FB7028">
        <w:t xml:space="preserve">informacji niezbędnych do przygotowania dokumentacji. </w:t>
      </w:r>
      <w:r>
        <w:t xml:space="preserve">Nawet w sytuacji, kiedy przygotowanie projektu jest zaawansowane, potrzebny jest czas, aby dostosować jego dokumentację do kryteriów i wymagań w naborze. </w:t>
      </w:r>
      <w:r w:rsidR="001B619A" w:rsidRPr="001B619A">
        <w:t>Co prawda kryteria oceny projektów są publikowane wcześniej niż ogłoszenie o naborze (projekty kryteriów przyjmowane są przez Zarząd WK</w:t>
      </w:r>
      <w:r w:rsidR="00227207">
        <w:t>-</w:t>
      </w:r>
      <w:r w:rsidR="001B619A" w:rsidRPr="001B619A">
        <w:t>P, a następnie w ostatecznym brzmieniu zatwierdzane przez KM i publikowane na stronie z uchwałami), jednak wnioskodawcy nie korzystają z tych źródeł. Wynika to z faktu, że strona z uchwałami jest mało intuicyjna i nieprzyjazna w użytkowaniu, a ponadto kryteria mogą ulec zmianie w toku prac – dopiero ogłoszenie o naborze daje pewność, że obowiązują w ostatecznej, wiążącej formie.</w:t>
      </w:r>
    </w:p>
    <w:p w14:paraId="40B2BD50" w14:textId="231EF328" w:rsidR="00006482" w:rsidRDefault="00006482" w:rsidP="00006482">
      <w:r w:rsidRPr="005F0AEB">
        <w:t xml:space="preserve">Respondenci wskazują, że w przypadku </w:t>
      </w:r>
      <w:r w:rsidR="00BB61A7">
        <w:t>niektórych</w:t>
      </w:r>
      <w:r w:rsidR="00BB61A7" w:rsidRPr="005F0AEB">
        <w:t xml:space="preserve"> </w:t>
      </w:r>
      <w:r w:rsidRPr="005F0AEB">
        <w:t xml:space="preserve">projektów – zwłaszcza infrastrukturalnych – czas od ogłoszenia naboru do jego zakończenia jest zbyt krótki, aby przygotować kompletną dokumentację wymaganą do złożenia wniosku o dofinansowanie. </w:t>
      </w:r>
      <w:r w:rsidR="00C22001">
        <w:t>W pytaniu otwartym wskazywali, że p</w:t>
      </w:r>
      <w:r w:rsidRPr="005F0AEB">
        <w:t xml:space="preserve">rojekty te wymagają szeregu uzgodnień, opinii i pozwoleń, w tym m.in. decyzji o pozwoleniu na budowę, opinii regionalnych dyrekcji ochrony środowiska (RDOŚ), </w:t>
      </w:r>
      <w:proofErr w:type="spellStart"/>
      <w:r w:rsidRPr="005F0AEB">
        <w:t>KPBPP</w:t>
      </w:r>
      <w:r w:rsidR="00440490">
        <w:t>iR</w:t>
      </w:r>
      <w:proofErr w:type="spellEnd"/>
      <w:r>
        <w:t xml:space="preserve"> (</w:t>
      </w:r>
      <w:r w:rsidRPr="00DD693E">
        <w:t>Kujawsko-Pomorskie Biuro Planowania Przestrzennego</w:t>
      </w:r>
      <w:r w:rsidR="00440490">
        <w:t xml:space="preserve"> i Regionalnego</w:t>
      </w:r>
      <w:r>
        <w:t>)</w:t>
      </w:r>
      <w:r w:rsidRPr="005F0AEB">
        <w:t>, czy uzgodnień z zarządcami dróg wojewódzkich. Procedury te są często wieloetapowe, wymagają licznych poprawek, a ich czas trwania jest niezależny od wnioskodawców. Dodatkowym utrudnieniem jest konieczność angażowania pracowników urzędów posiadających specjalistyczną wiedzę, którzy mają również inne obowiązki, co utrudnia skoordynowanie prac nad wnioskiem.</w:t>
      </w:r>
    </w:p>
    <w:p w14:paraId="5578D704" w14:textId="1936F4B5" w:rsidR="00747CA7" w:rsidRDefault="00B672EB" w:rsidP="00747CA7">
      <w:r w:rsidRPr="00B672EB">
        <w:t>Wnioskodawcy, którzy ocenili czas trwania naboru jako nieodpowiedni, składali wnioski w 12 z 47 naborów objętych badaniem</w:t>
      </w:r>
      <w:r>
        <w:t xml:space="preserve"> (11 konkurencyjnych, 1 niekonkurencyjny)</w:t>
      </w:r>
      <w:r w:rsidRPr="00B672EB">
        <w:t>. Wszystkie dotyczyły EFRR, w tym 8 realizowanych w ramach polityki terytorialnej, obejmujących takie obszary jak adaptacja do zmian klimatu, gospodarka wodno-ściekowa, odpady i GOZ, efektywność energetyczna, mobilność miejska, infrastruktura drogowa, turystyka oraz kultura.</w:t>
      </w:r>
    </w:p>
    <w:p w14:paraId="767C0B55" w14:textId="50A76141" w:rsidR="00647135" w:rsidRDefault="00747CA7" w:rsidP="00006482">
      <w:r>
        <w:t>S</w:t>
      </w:r>
      <w:r w:rsidR="002C2AD8" w:rsidRPr="002C2AD8">
        <w:t>zczegółowa analiza wyników badania ilościowego wskazuje</w:t>
      </w:r>
      <w:r>
        <w:t xml:space="preserve"> jednocześnie</w:t>
      </w:r>
      <w:r w:rsidR="002C2AD8" w:rsidRPr="002C2AD8">
        <w:t>, że nie występuje zależność pomiędzy długością trwania naboru a negatywnymi opiniami respondentów. Osoby, które uważały, że czas trwania naboru był zbyt krótki, składały wnioski zarówno w naborach trwających około 40 dni, jak i w naborach ciągłych, których średni czas trwania wynosił 192 dni. Może to wynikać z organizacji prac po stronie wnioskodawców – w wielu przypadkach proces przygotowania dokumentacji był rozciągnięty w czasie, a działania koncentrowały się dopiero w końcowej fazie naboru, niezależnie od jego długości.</w:t>
      </w:r>
      <w:r w:rsidR="002C2AD8">
        <w:t xml:space="preserve"> Rozwiązaniem nie jest zatem </w:t>
      </w:r>
      <w:r w:rsidR="00BD55B6">
        <w:t xml:space="preserve">nadmierne wydłużanie czasu trwania naborów. </w:t>
      </w:r>
    </w:p>
    <w:p w14:paraId="63C368EA" w14:textId="3D1CF102" w:rsidR="003357A3" w:rsidRDefault="00B672EB" w:rsidP="003357A3">
      <w:r>
        <w:lastRenderedPageBreak/>
        <w:t>Jak wskazywała część respondentów, w</w:t>
      </w:r>
      <w:r w:rsidR="00006482" w:rsidRPr="005F0AEB">
        <w:t xml:space="preserve"> przypadku </w:t>
      </w:r>
      <w:r>
        <w:t>ich</w:t>
      </w:r>
      <w:r w:rsidRPr="005F0AEB">
        <w:t xml:space="preserve"> </w:t>
      </w:r>
      <w:r w:rsidR="00006482" w:rsidRPr="005F0AEB">
        <w:t>inwestycji przygotowanie dokumentacji projektowej wraz z uzyskaniem wszystkich wymaganych uzgodnień i opinii zajmuje średnio około 12 miesięcy. Dopiero po jej skompletowaniu możliwe jest opracowanie wniosku o dofinansowanie, co dodatkowo wydłuża proces. W poprzedniej perspektywie finansowej wymogi dotyczące gotowości technicznej były mniej restrykcyjne; obecnie wymaga się znacznie bardziej zaawansowanego przygotowania projektów już na etapie aplikowania, co wymaga więcej czasu.</w:t>
      </w:r>
      <w:r w:rsidR="005C4A12">
        <w:t xml:space="preserve"> </w:t>
      </w:r>
      <w:r w:rsidR="002B572C" w:rsidRPr="002B572C">
        <w:t xml:space="preserve">Z uwagi na niekorzystne doświadczenia z wdrażania projektów w ramach ubiegłej perspektywy finansowej, </w:t>
      </w:r>
      <w:r w:rsidR="003A072C">
        <w:t>wymaganie w</w:t>
      </w:r>
      <w:r w:rsidR="003A072C" w:rsidRPr="00E413DD">
        <w:t>ysoki</w:t>
      </w:r>
      <w:r w:rsidR="003A072C">
        <w:t>ego</w:t>
      </w:r>
      <w:r w:rsidR="003A072C" w:rsidRPr="00E413DD">
        <w:t xml:space="preserve"> poziom</w:t>
      </w:r>
      <w:r w:rsidR="003A072C">
        <w:t>u</w:t>
      </w:r>
      <w:r w:rsidR="003A072C" w:rsidRPr="00E413DD">
        <w:t xml:space="preserve"> gotowości projektowej </w:t>
      </w:r>
      <w:r w:rsidR="003A072C">
        <w:t>jest uzasadnione</w:t>
      </w:r>
      <w:r w:rsidR="002B572C" w:rsidRPr="002B572C">
        <w:t xml:space="preserve">. Takie podejście pozwala ograniczyć ryzyko opóźnień, przyspiesza rozpoczęcie i zakończenie inwestycji oraz zapewnia większą pewność osiągnięcia zakładanych rezultatów w zakładanym czasie. Wysoki poziom gotowości staje się zatem gwarancją sprawniejszego i bardziej efektywnego wykorzystania środków </w:t>
      </w:r>
      <w:r w:rsidR="004A08C7">
        <w:t>P</w:t>
      </w:r>
      <w:r w:rsidR="002B572C" w:rsidRPr="002B572C">
        <w:t>rogramu.</w:t>
      </w:r>
      <w:r w:rsidR="000920CE">
        <w:t xml:space="preserve"> </w:t>
      </w:r>
      <w:r w:rsidR="0064245B">
        <w:t xml:space="preserve">Podobne podejście przyjęły także inne regiony </w:t>
      </w:r>
      <w:r w:rsidR="00423CF4">
        <w:t>– w części kryterium gotowości technicznej jest, podobnie jak w FEdKP 2021-2027, kryterium for</w:t>
      </w:r>
      <w:r w:rsidR="00C97DD1">
        <w:t xml:space="preserve">malnym, a np. w województwie mazowieckim </w:t>
      </w:r>
      <w:r w:rsidR="003357A3">
        <w:t>ma charakter rankingujący (premiowane są projekty z jak najwyższym stopniem przygotowania dokumentacji)</w:t>
      </w:r>
      <w:r w:rsidR="005C4A12">
        <w:rPr>
          <w:rStyle w:val="Odwoanieprzypisudolnego"/>
        </w:rPr>
        <w:footnoteReference w:id="56"/>
      </w:r>
      <w:r w:rsidR="003357A3">
        <w:t>.</w:t>
      </w:r>
    </w:p>
    <w:p w14:paraId="5FBB52EA" w14:textId="77777777" w:rsidR="00E941F1" w:rsidRDefault="00E941F1" w:rsidP="00E941F1">
      <w:r w:rsidRPr="0031342C">
        <w:t xml:space="preserve">Na podstawie przeprowadzonych </w:t>
      </w:r>
      <w:r>
        <w:t>analiz</w:t>
      </w:r>
      <w:r w:rsidRPr="0031342C">
        <w:t xml:space="preserve"> nie ma podstaw do sformułowania rekomendacji dotyczącej ogólnego wydłużania czasu trwania naborów – tym bardziej, że w praktyce terminy naborów były często wydłużane w stosunku do pierwotnie planowanych w harmonogramach. </w:t>
      </w:r>
      <w:r>
        <w:t>W 32 naborach EFRR na 42 pierwotnie (w harmonogramie naborów) planowano czas jego trwania na 45 dni lub mniej. Ostatecznie w rzeczywistości naborów EFRR które trwały krócej niż 45 dni było 9.</w:t>
      </w:r>
    </w:p>
    <w:p w14:paraId="042F531B" w14:textId="085E2025" w:rsidR="00E941F1" w:rsidRDefault="00E941F1" w:rsidP="00E941F1">
      <w:r w:rsidRPr="0031342C">
        <w:t>Jednocześnie należy zwrócić uwagę, że projekty współfinansowane z EFRR, zwłaszcza o charakterze infrastrukturalnym, wymagają dłuższego okresu przygotowawczego, a tym samym dłuższego czasu na złożenie wniosku. W przyszłości warto zatem zadbać, aby nabory tego rodzaju nie trwały krócej niż 90 dni, co pozwoli wnioskodawcom na realne dostosowanie dokumentacji projektowej do wymogów formalnych i merytorycznych.</w:t>
      </w:r>
    </w:p>
    <w:p w14:paraId="50E479B1" w14:textId="33549CFE"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Niedopasowanie typów projektów do realnych potrzeb w obszarze edukacji</w:t>
      </w:r>
    </w:p>
    <w:p w14:paraId="24AC726C" w14:textId="296080C4" w:rsidR="004B080C" w:rsidRDefault="004B080C" w:rsidP="00006482">
      <w:r w:rsidRPr="004B080C">
        <w:t>Zwiększenie szans edukacyjnych dzieci i wyrównywanie dostępu do wysokiej jakości wychowania przedszkolnego m.in. poprzez tworzenie miejsc przedszkolnych na obszarach o najniższym stopniu upowszechnienia wychowania przedszkolnego oraz poprawę jakości edukacji przedszkolnej to działania zgodne z zapisami Programu tj. zmierzające do osiągnięcia celu na poziomie 96% upowszechnienia wychowania przedszkolnego</w:t>
      </w:r>
      <w:r w:rsidR="00011ECC">
        <w:t xml:space="preserve"> </w:t>
      </w:r>
      <w:r w:rsidR="00011ECC" w:rsidRPr="002E3ECB">
        <w:t xml:space="preserve">(przy faktycznym współczynniku 1,2 dziecka na jedno miejsce </w:t>
      </w:r>
      <w:r w:rsidR="00011ECC" w:rsidRPr="002E3ECB">
        <w:lastRenderedPageBreak/>
        <w:t>przedszkolne</w:t>
      </w:r>
      <w:r w:rsidR="00011ECC">
        <w:t>)</w:t>
      </w:r>
      <w:r w:rsidRPr="004B080C">
        <w:t xml:space="preserve">. </w:t>
      </w:r>
      <w:r w:rsidR="00011ECC" w:rsidRPr="002E3ECB">
        <w:t xml:space="preserve">Tworzenie nowych miejsc przedszkolnych </w:t>
      </w:r>
      <w:r w:rsidR="00011ECC">
        <w:t>wynika ze zdiagnozowanych potrzeb w tym zakresie:</w:t>
      </w:r>
      <w:r w:rsidR="00011ECC" w:rsidRPr="002E3ECB">
        <w:t xml:space="preserve"> odsetek dzieci w wieku 3-5 lat objętych wychowaniem przedszkolnym w 2019 r. wynosił 82% (jedynie 60,7% na obszarach wiejskich)</w:t>
      </w:r>
      <w:r w:rsidR="00011ECC">
        <w:t xml:space="preserve">. Dla KE wzrost miejsc miał ogromne znaczenie. Analizując ten obszar zwrócono uwagę, </w:t>
      </w:r>
      <w:r w:rsidR="00E55F21">
        <w:t>ż</w:t>
      </w:r>
      <w:r w:rsidR="00011ECC">
        <w:t>e w</w:t>
      </w:r>
      <w:r w:rsidR="00011ECC" w:rsidRPr="002E3ECB">
        <w:t>g GUS liczba dzieci w wieku przedszkolnym spadnie o ponad 10 tys. do roku 2030</w:t>
      </w:r>
      <w:r w:rsidR="00011ECC">
        <w:t xml:space="preserve">, jednak był to jeden z priorytetów KE i założenie wsparcia w tym obszarze było niezbędne. </w:t>
      </w:r>
      <w:r w:rsidRPr="004B080C">
        <w:t>W FEdKP 2021-2027 przewidziano zatem wsparcie na tworzenie nowych miejsc wychowania przedszkolnego i ich bieżące funkcjonowanie, przy czym preferencyjnie traktowane były projekty zakładające tworzenie nowych miejsc przedszkolnych na obszarach, na których poziom upowszechniania wychowania przedszkolnego kształtuje się poniżej średniej wojewódzkiej oraz projekty realizowane na obszarze zmarginalizowanym, identyfikowanym na podstawie specjalnej listy stanowiącej załącznik do regulaminu.</w:t>
      </w:r>
    </w:p>
    <w:p w14:paraId="681D56C9" w14:textId="335DB392" w:rsidR="00006482" w:rsidRPr="00D118E4" w:rsidRDefault="004B080C" w:rsidP="00006482">
      <w:r>
        <w:t xml:space="preserve">Pomimo </w:t>
      </w:r>
      <w:r w:rsidR="008D7E83">
        <w:t>zdiagnozowanych potrzeb, j</w:t>
      </w:r>
      <w:r w:rsidR="00006482" w:rsidRPr="00D118E4">
        <w:t xml:space="preserve">ak pokazały realia wdrożeniowe, </w:t>
      </w:r>
      <w:r w:rsidR="008D7E83">
        <w:t xml:space="preserve">popyt na wsparcie </w:t>
      </w:r>
      <w:r w:rsidR="00EF5F52">
        <w:t xml:space="preserve">na tworzenie nowych miejsc wychowania przedszkolnego </w:t>
      </w:r>
      <w:r w:rsidR="00CD2FCF">
        <w:t xml:space="preserve">okazał się niski. </w:t>
      </w:r>
      <w:r w:rsidR="001836E3">
        <w:t>W dwóch naborach w tym obszarze, objętych badaniem</w:t>
      </w:r>
      <w:r w:rsidR="00D640A5">
        <w:t xml:space="preserve">, </w:t>
      </w:r>
      <w:r w:rsidR="009D7737">
        <w:t>n</w:t>
      </w:r>
      <w:r w:rsidR="00D640A5">
        <w:t xml:space="preserve"> wniosków o dofinansowanie </w:t>
      </w:r>
      <w:r w:rsidR="00B51769">
        <w:t xml:space="preserve">(8 w naborze </w:t>
      </w:r>
      <w:r w:rsidR="001020B7" w:rsidRPr="001020B7">
        <w:t>FEKP.08.10-IZ.00-025/23</w:t>
      </w:r>
      <w:r w:rsidR="001020B7">
        <w:t xml:space="preserve"> i 4 w naborze </w:t>
      </w:r>
      <w:r w:rsidR="00203B98" w:rsidRPr="00203B98">
        <w:t>FEKP.08.11-IZ.00-149/24</w:t>
      </w:r>
      <w:r w:rsidR="00203B98">
        <w:t xml:space="preserve">) była </w:t>
      </w:r>
      <w:r w:rsidR="006914E8">
        <w:t xml:space="preserve">tak niska, że </w:t>
      </w:r>
      <w:r w:rsidR="00C953C0">
        <w:t xml:space="preserve">ich wartość pokryła jedynie odpowiednio 39% i 26% alokacji naboru. </w:t>
      </w:r>
      <w:r w:rsidR="006F444D">
        <w:t>W</w:t>
      </w:r>
      <w:r w:rsidR="00006482" w:rsidRPr="00D118E4">
        <w:t xml:space="preserve"> obszarze wychowania przedszkolnego obecnie w regionie występuje ograniczone zapotrzebowanie na tworzenie nowych miejsc przedszkolnych, zarówno w gminach, jak i w sektorze prywatnym. Wynika to z faktu, że dostępność miejsc osiągnęła już poziom zaspokajający potrzeby lokalnych społeczności</w:t>
      </w:r>
      <w:r w:rsidR="008B3AE0">
        <w:rPr>
          <w:rStyle w:val="Odwoanieprzypisudolnego"/>
        </w:rPr>
        <w:footnoteReference w:id="57"/>
      </w:r>
      <w:r w:rsidR="002F08E6">
        <w:t xml:space="preserve"> </w:t>
      </w:r>
      <w:r w:rsidR="00006482">
        <w:t>oraz akceptowalny z punktu widzenia potencjału finansowego organów prowadzących</w:t>
      </w:r>
      <w:r w:rsidR="00006482" w:rsidRPr="00D118E4">
        <w:t xml:space="preserve">. W praktyce gminy i podmioty prowadzące placówki przedszkolne znacznie częściej zgłaszają potrzeby w zakresie modernizacji i doposażenia istniejących placówek (np. wymiana sprzętu, zakup nowego wyposażenia), jednak tego typu wydatki mogą być finansowane jedynie jako element projektów związanych z rozwojem oferty edukacyjnej lub tworzeniem nowych miejsc, a nie jako samodzielny typ projektu. Powoduje to rozbieżność między rzeczywistymi potrzebami a zakresem wsparcia możliwego do uzyskania w ramach </w:t>
      </w:r>
      <w:r w:rsidR="00FB7B63">
        <w:t>P</w:t>
      </w:r>
      <w:r w:rsidR="00006482" w:rsidRPr="00D118E4">
        <w:t>rogramu.</w:t>
      </w:r>
    </w:p>
    <w:p w14:paraId="489754E8" w14:textId="77777777" w:rsidR="00006482" w:rsidRDefault="00006482" w:rsidP="00006482">
      <w:r w:rsidRPr="00D118E4">
        <w:t xml:space="preserve">Odwrotna sytuacja występuje w przypadku kształcenia ogólnego i zawodowego. W tych obszarach zapotrzebowanie jest znacznie większe – w szczególności na doposażenie pracowni, modernizację warunków kształcenia i poprawę jakości infrastruktury. Program przewiduje tutaj możliwość finansowania takich działań, dlatego środki w tych naborach są szybko wykorzystywane i popyt przewyższa dostępną alokację. W efekcie obserwuje się dysproporcję: w naborach dla kształcenia ogólnego i zawodowego środki są niewystarczające w stosunku do zainteresowania, </w:t>
      </w:r>
      <w:r w:rsidRPr="00D118E4">
        <w:lastRenderedPageBreak/>
        <w:t>natomiast w obszarze wychowania przedszkolnego pozostają niewykorzystane z powodu niedopasowania typów projektów do realnych potrzeb.</w:t>
      </w:r>
    </w:p>
    <w:p w14:paraId="70A113BB" w14:textId="6ABCE608" w:rsidR="00006482" w:rsidRPr="00D118E4" w:rsidRDefault="00144428" w:rsidP="00FB7B63">
      <w:r>
        <w:rPr>
          <w:b/>
          <w:bCs/>
          <w:color w:val="0F14D2" w:themeColor="accent1"/>
        </w:rPr>
        <w:t>Zalecenie</w:t>
      </w:r>
      <w:r w:rsidR="00006482" w:rsidRPr="004B0170">
        <w:rPr>
          <w:b/>
          <w:bCs/>
          <w:color w:val="0F14D2" w:themeColor="accent1"/>
        </w:rPr>
        <w:t>:</w:t>
      </w:r>
      <w:r w:rsidR="00006482" w:rsidRPr="004B0170">
        <w:rPr>
          <w:color w:val="0F14D2" w:themeColor="accent1"/>
        </w:rPr>
        <w:t xml:space="preserve"> </w:t>
      </w:r>
      <w:r>
        <w:t>Wskazane jest</w:t>
      </w:r>
      <w:r w:rsidR="00006482">
        <w:t xml:space="preserve"> przeznaczenie niewykorzystanej alokacji na nabory w zakresie tworzenia nowych miejsc wychowania przedszkolnego na działania ukierunkowane na wsparcie edukacji ogólnej i zawodowej. </w:t>
      </w:r>
    </w:p>
    <w:p w14:paraId="0FAC7DDF" w14:textId="567F2378" w:rsidR="00FB7B63" w:rsidRDefault="001C57E6" w:rsidP="00006482">
      <w:pPr>
        <w:tabs>
          <w:tab w:val="num" w:pos="720"/>
        </w:tabs>
      </w:pPr>
      <w:r>
        <w:t>Dodatkowym czynnikiem zniechęcającym</w:t>
      </w:r>
      <w:r w:rsidR="00006482">
        <w:t xml:space="preserve"> wnioskodawców było </w:t>
      </w:r>
      <w:r w:rsidR="00006482" w:rsidRPr="00AA6E46">
        <w:t>p</w:t>
      </w:r>
      <w:r w:rsidR="00006482" w:rsidRPr="00B32B94">
        <w:t>owiązanie maksymalnej wartości projektu z liczbą nowych miejsc</w:t>
      </w:r>
      <w:r w:rsidRPr="001C57E6">
        <w:t xml:space="preserve"> </w:t>
      </w:r>
      <w:r>
        <w:t>wychowania przedszkolnego</w:t>
      </w:r>
      <w:r w:rsidR="00006482" w:rsidRPr="00AA6E46">
        <w:t xml:space="preserve">. </w:t>
      </w:r>
      <w:r w:rsidR="00006482" w:rsidRPr="00B32B94">
        <w:t>Wartość projektu była wyliczana jako iloczyn liczby nowo tworzonych miejsc i stałej kwoty 20 900 zł. Oznaczało to, że nawet jeśli projekt obejmował także inne działania (np. szkolenia, doposażenie, zajęcia dodatkowe), to wysokość dofinansowania zależała bezpośrednio od liczby nowych miejsc.</w:t>
      </w:r>
      <w:r w:rsidR="00006482">
        <w:t xml:space="preserve"> </w:t>
      </w:r>
      <w:r w:rsidR="00006482" w:rsidRPr="00B32B94">
        <w:t>W praktyce</w:t>
      </w:r>
      <w:r w:rsidR="003A7F28">
        <w:t>, z perspektywy wnioskodawców,</w:t>
      </w:r>
      <w:r w:rsidR="00006482" w:rsidRPr="00B32B94">
        <w:t xml:space="preserve"> ograniczało to środki możliwe do przeznaczenia na pozostałe elementy projektu</w:t>
      </w:r>
      <w:r w:rsidR="00FE0C22">
        <w:t>, np. dostosowanie istniejących miejsc wychowania przedszkolnego</w:t>
      </w:r>
      <w:r w:rsidR="00006482" w:rsidRPr="00B32B94">
        <w:t xml:space="preserve">. </w:t>
      </w:r>
    </w:p>
    <w:p w14:paraId="6E7EE9C3" w14:textId="0653E7FF" w:rsidR="00006482" w:rsidRDefault="00006482" w:rsidP="00006482">
      <w:pPr>
        <w:tabs>
          <w:tab w:val="num" w:pos="720"/>
        </w:tabs>
      </w:pPr>
      <w:r>
        <w:t>Dodatkowo samo kryterium sprawiało trudności interpretacyjne.</w:t>
      </w:r>
      <w:r w:rsidRPr="009B77D5">
        <w:t xml:space="preserve"> W części przypadków błędnie interpretowano, czy do iloczynu należy wliczać wyłącznie koszty związane z tworzeniem miejsc, czy całość wydatków kwalifikowalnych w projekcie. Niektórzy wnioskodawcy rozumieli kryterium w ten sposób, że kwota 20 900 zł odnosi się tylko do kosztów bezpośrednio związanych z utworzeniem miejsca, a pozostałe działania (np. zajęcia dodatkowe, szkolenia, doposażenie) można finansować niezależnie. W efekcie we wnioskach pojawiały się budżety przekraczające dopuszczalną maksymalną wartość, co skutkowało oceną negatywną.</w:t>
      </w:r>
      <w:r w:rsidR="00A57FEB">
        <w:t xml:space="preserve"> </w:t>
      </w:r>
      <w:r w:rsidR="00726683" w:rsidRPr="00726683">
        <w:t>IZ, wychodząc naprzeciw tym problemom, opublikowała w ramach pytań i odpowiedzi do naboru FEKP.08.11-IZ.00-149/24 stosowne wyjaśnienia wraz z przykładem ilustrującym sposób prawidłowego obliczania kosztów</w:t>
      </w:r>
      <w:r w:rsidR="0072291B">
        <w:t xml:space="preserve">. </w:t>
      </w:r>
    </w:p>
    <w:p w14:paraId="0651B718"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Skomplikowana, mało praktyczna dokumentacja naborów</w:t>
      </w:r>
    </w:p>
    <w:p w14:paraId="07E9CFD1" w14:textId="76A012D4" w:rsidR="00006482" w:rsidRDefault="00006482" w:rsidP="00006482">
      <w:r>
        <w:t xml:space="preserve">Dla niewielkiej grupy podmiotów, które rozważały, ale nie złożyły projektu do FEdKP 2021-2027, barierą była trudna, mało przystępna dokumentacja (14,5%). </w:t>
      </w:r>
      <w:r w:rsidR="00494DFB">
        <w:t>W</w:t>
      </w:r>
      <w:r>
        <w:t>śród wnioskodawców FEdKP 2021-2027 ocena dokumentacji naboru jest pozytywna – zdecydowana większość uważa, że l</w:t>
      </w:r>
      <w:r w:rsidRPr="00276B1F">
        <w:t>iczba i zakres wymaganych dokumentów na etapie składania wniosku były adekwatne</w:t>
      </w:r>
      <w:r>
        <w:t xml:space="preserve">, a dokumentacja </w:t>
      </w:r>
      <w:r w:rsidRPr="00276B1F">
        <w:t>naboru była zrozumiała i czytelna</w:t>
      </w:r>
      <w:r>
        <w:t xml:space="preserve"> i </w:t>
      </w:r>
      <w:r w:rsidRPr="00276B1F">
        <w:t>zawierała wszystkie potrzebne informacje</w:t>
      </w:r>
      <w:r>
        <w:t>.</w:t>
      </w:r>
    </w:p>
    <w:p w14:paraId="2FD62BF7" w14:textId="278A27DB" w:rsidR="00006482" w:rsidRDefault="00006482" w:rsidP="00006482">
      <w:pPr>
        <w:pStyle w:val="Legenda"/>
      </w:pPr>
      <w:r w:rsidRPr="00141A4C">
        <w:lastRenderedPageBreak/>
        <w:t xml:space="preserve">Wykres </w:t>
      </w:r>
      <w:fldSimple w:instr=" SEQ Wykres \* ARABIC ">
        <w:r w:rsidR="00541DFA">
          <w:rPr>
            <w:noProof/>
          </w:rPr>
          <w:t>20</w:t>
        </w:r>
      </w:fldSimple>
      <w:r w:rsidRPr="00141A4C">
        <w:t xml:space="preserve"> </w:t>
      </w:r>
      <w:r>
        <w:t>Ocena dokumentacji naboru</w:t>
      </w:r>
    </w:p>
    <w:p w14:paraId="2A506644" w14:textId="4FE67B36" w:rsidR="00832952" w:rsidRPr="004248FF" w:rsidRDefault="00832952" w:rsidP="008C41E8">
      <w:r>
        <w:rPr>
          <w:noProof/>
        </w:rPr>
        <w:drawing>
          <wp:inline distT="0" distB="0" distL="0" distR="0" wp14:anchorId="58119A3C" wp14:editId="78AACE41">
            <wp:extent cx="5719445" cy="2838450"/>
            <wp:effectExtent l="0" t="0" r="14605" b="0"/>
            <wp:docPr id="645857142" name="Wykres 1" descr="Wykres przedstawia odpowiedzi na pytanie z kwestionariusza „Proszę ocenić, w jakim stopniu zgadzają się...”.&#10;&#10;Dla stwierdzenia „Dokumentacja naboru była zrozumiała i czytelna” 33,7% respondentów wskazało „Zdecydowanie się zgadzam”, 64,4% – „Raczej się zgadzam”, 1,9% – „Raczej się nie zgadzam”, a nikt nie wybrał odpowiedzi „Zdecydowanie się nie zgadzam” ani „Nie wiem/trudno powiedzieć”.&#10;&#10;W przypadku stwierdzenia „Dokumentacja naboru zawierała wszystkie potrzebne informacje” 36,5% badanych wybrało „Zdecydowanie się zgadzam”, 60,6% – „Raczej się zgadzam”, 2,9% – „Raczej się nie zgadzam”, a brak było odpowiedzi „Zdecydowanie się nie zgadzam” oraz „Nie wiem/trudno powiedzieć”.&#10;&#10;Dla stwierdzenia „Liczba i zakres wymaganych dokumentów na etapie składania wniosku były adekwatne” 34,6% respondentów wskazało „Zdecydowanie się zgadzam”, 56,7% – „Raczej się zgadzam”, 4,8% – „Raczej się nie zgadzam”, 1,0% – „Zdecydowanie się nie zgadzam” oraz 2,9% – „Nie wiem/trudno powiedzieć”.">
              <a:extLst xmlns:a="http://schemas.openxmlformats.org/drawingml/2006/main">
                <a:ext uri="{FF2B5EF4-FFF2-40B4-BE49-F238E27FC236}">
                  <a16:creationId xmlns:a16="http://schemas.microsoft.com/office/drawing/2014/main" id="{6F85F6FD-67E3-4A9D-AABD-BB2E43974D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22DB36E6" w14:textId="535958D1" w:rsidR="00006482" w:rsidRDefault="00006482" w:rsidP="008C41E8">
      <w:r>
        <w:t>Źródło: badanie ilościowe wśród wnioskodawców FEdKP 2021-2027, n=104.</w:t>
      </w:r>
      <w:r w:rsidR="00922B9A">
        <w:t xml:space="preserve"> Odpowiedź na pytanie „</w:t>
      </w:r>
      <w:r w:rsidR="00922B9A" w:rsidRPr="00077CA0">
        <w:rPr>
          <w:szCs w:val="20"/>
        </w:rPr>
        <w:t>Proszę ocenić, w jakim stopniu zgadzają się Państwo z poniższymi stwierdzeniami na temat naboru oraz jego dokumentacji (regulamin, załączniki: kryteria, wskaźniki, instrukcja wypełniania wniosku etc.)”</w:t>
      </w:r>
      <w:r w:rsidR="00DA1B97">
        <w:rPr>
          <w:szCs w:val="20"/>
        </w:rPr>
        <w:t>.</w:t>
      </w:r>
    </w:p>
    <w:p w14:paraId="4ED5CBF4" w14:textId="77777777" w:rsidR="00006482" w:rsidRDefault="00006482" w:rsidP="00006482">
      <w:r>
        <w:t xml:space="preserve">Jednocześnie potrzeba uproszczenia dokumentacji naborów była najczęściej wskazywanym postulatem, który mógłby zachęcić niezdecydowane podmioty do aplikowania. </w:t>
      </w:r>
    </w:p>
    <w:p w14:paraId="7AFE2488" w14:textId="52F5C48C" w:rsidR="00006482" w:rsidRPr="00141A4C" w:rsidRDefault="00006482" w:rsidP="00006482">
      <w:pPr>
        <w:pStyle w:val="Legenda"/>
      </w:pPr>
      <w:r w:rsidRPr="00141A4C">
        <w:t xml:space="preserve">Wykres </w:t>
      </w:r>
      <w:fldSimple w:instr=" SEQ Wykres \* ARABIC ">
        <w:r w:rsidR="00541DFA">
          <w:rPr>
            <w:noProof/>
          </w:rPr>
          <w:t>21</w:t>
        </w:r>
      </w:fldSimple>
      <w:r w:rsidRPr="00141A4C">
        <w:t xml:space="preserve"> </w:t>
      </w:r>
      <w:r w:rsidRPr="003142E9">
        <w:t>Co instytucja ogłaszająca nabory mogłaby zmienić, aby bardziej zachęcić do starania się o wsparcie w przyszłości</w:t>
      </w:r>
    </w:p>
    <w:p w14:paraId="02CC6DE5" w14:textId="77777777" w:rsidR="00006482" w:rsidRDefault="00006482" w:rsidP="00077CA0">
      <w:pPr>
        <w:keepNext/>
      </w:pPr>
      <w:r>
        <w:rPr>
          <w:noProof/>
        </w:rPr>
        <w:drawing>
          <wp:inline distT="0" distB="0" distL="0" distR="0" wp14:anchorId="55676D60" wp14:editId="223E92B3">
            <wp:extent cx="5719445" cy="2957195"/>
            <wp:effectExtent l="0" t="0" r="14605" b="14605"/>
            <wp:docPr id="1031995105" name="Wykres 1" descr="Wykres przedstawia odpowiedzi na pytanie z kwestionariusza „Co instytucja ogłaszająca nabory mogłaby zmienić, aby bardziej zachęcić Państwa do starania się o wsparcie w przyszłości?”.&#10;&#10;48,1% respondentów wskazało na potrzebę prostszej, bardziej zrozumiałej dokumentacji.&#10;39,0% uważa, że warunki i kryteria wyboru projektów powinny być łatwiejsze do spełnienia.&#10;24,7% wskazało na konieczność lepszej promocji naborów i skuteczniejszego dotarcia z informacją do potencjalnych beneficjentów.&#10;23,4% wskazało zarówno na bardziej elastyczne warunki finansowe, jak i na szybsze oraz bardziej przejrzyste procedury oceny projektów.&#10;20,8% respondentów chciałoby większego wsparcia przy przygotowaniu wniosku.&#10;18,2% podkreśliło potrzebę lepszej komunikacji i dostępności instytucji do zadawania pytań.">
              <a:extLst xmlns:a="http://schemas.openxmlformats.org/drawingml/2006/main">
                <a:ext uri="{FF2B5EF4-FFF2-40B4-BE49-F238E27FC236}">
                  <a16:creationId xmlns:a16="http://schemas.microsoft.com/office/drawing/2014/main" id="{27BC0B17-DEA9-4A0E-BC55-60DF2D623F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77A0A0A9" w14:textId="242BA124" w:rsidR="00006482" w:rsidRDefault="00006482" w:rsidP="001966A2">
      <w:pPr>
        <w:pStyle w:val="rdo"/>
      </w:pPr>
      <w:r>
        <w:t>Źródło: badanie ilościowe wśród beneficjentów RPO WK-P 2014-2020, n=77</w:t>
      </w:r>
      <w:r w:rsidR="00C35A10">
        <w:t xml:space="preserve">. </w:t>
      </w:r>
      <w:r w:rsidR="00922B9A">
        <w:t>Odpowiedź na pytanie „</w:t>
      </w:r>
      <w:r w:rsidR="008E7B63" w:rsidRPr="008E7B63">
        <w:t xml:space="preserve">Co instytucja ogłaszająca nabory mogłaby zmienić, aby </w:t>
      </w:r>
      <w:r w:rsidR="008E7B63" w:rsidRPr="008E7B63">
        <w:lastRenderedPageBreak/>
        <w:t>bardziej zachęcić Państwa do starania się o wsparcie w przyszłości?</w:t>
      </w:r>
      <w:r w:rsidR="008E7B63">
        <w:t>”</w:t>
      </w:r>
      <w:r w:rsidR="00DA1B97">
        <w:t>.</w:t>
      </w:r>
      <w:r w:rsidR="00C35A10">
        <w:t xml:space="preserve"> Wartości nie sumują się do 100,0%, ponieważ każdy respondent mógł wybrać więcej niż 1 odpowiedź.</w:t>
      </w:r>
    </w:p>
    <w:p w14:paraId="6840759F" w14:textId="519E8D0C" w:rsidR="00006482" w:rsidRDefault="00006482" w:rsidP="004E611E">
      <w:r>
        <w:t xml:space="preserve">Przedstawiciele komórek odpowiedzialnych za wdrażanie Priorytetów finansowanych z EFS+ wskazują na problem </w:t>
      </w:r>
      <w:r w:rsidRPr="0099311A">
        <w:rPr>
          <w:b/>
          <w:bCs/>
        </w:rPr>
        <w:t>zbyt mało precyzyjnych zapisów SZOP</w:t>
      </w:r>
      <w:r>
        <w:t xml:space="preserve"> – </w:t>
      </w:r>
      <w:r w:rsidRPr="0089397E">
        <w:t>stosowane są ogólne sformułowania oraz otwarte katalogi działań</w:t>
      </w:r>
      <w:r>
        <w:t>, zawierające przykładowe typy projektów ze wskazaniem np. jakiś typ przedsięwzięć powinien być realizowany „w szczególności”</w:t>
      </w:r>
      <w:r w:rsidRPr="0089397E">
        <w:t xml:space="preserve">. Takie zapisy pozostawiają szerokie pole do interpretacji, co utrudnia jednoznaczne ustalenie zakresu kwalifikowalnych przedsięwzięć zarówno przez wnioskodawców, jak i instytucje oceniające. </w:t>
      </w:r>
      <w:r>
        <w:t xml:space="preserve">Przedstawiciele komórek programujących wsparcie EFS+ deklarują, że na podstawie przeprowadzanej przez nich diagnozy tworzą spójną wizję działań jakie powinny być realizowane, natomiast w zapisach SZOP jest ona zbyt elastyczna. </w:t>
      </w:r>
      <w:r w:rsidRPr="0089397E">
        <w:t xml:space="preserve">Zdarza się, że podmioty przygotowujące wnioski, nieznające kontekstu i założeń przyjętych na etapie programowania, interpretują zapisy </w:t>
      </w:r>
      <w:r>
        <w:t>zbyt szeroko</w:t>
      </w:r>
      <w:r w:rsidRPr="0089397E">
        <w:t xml:space="preserve">, co prowadzi do niezamierzonych rozbieżności względem intencji twórców dokumentu. </w:t>
      </w:r>
      <w:r w:rsidR="00435C08">
        <w:t xml:space="preserve">Doprecyzowywanie, a </w:t>
      </w:r>
      <w:r w:rsidR="002848F4">
        <w:t xml:space="preserve">jednoczesne zawężanie katalogów działań w SZOP nie jest </w:t>
      </w:r>
      <w:r w:rsidR="007C6293">
        <w:t>jednak właściwym rozwiązaniem</w:t>
      </w:r>
      <w:r w:rsidR="004A2EC6">
        <w:t xml:space="preserve">, gdyż </w:t>
      </w:r>
      <w:r w:rsidR="00205E78" w:rsidRPr="00205E78">
        <w:t xml:space="preserve">ograniczyłoby elastyczność </w:t>
      </w:r>
      <w:r w:rsidR="004A2EC6">
        <w:t>P</w:t>
      </w:r>
      <w:r w:rsidR="00205E78" w:rsidRPr="00205E78">
        <w:t xml:space="preserve">rogramu i mogłoby zniechęcać podmioty dysponujące wartościowymi projektami, które nie wpisywałyby się w zbyt wąskie ramy. SZOP celowo ma charakter dokumentu ogólnego, a stosowane w nim sformułowania </w:t>
      </w:r>
      <w:r w:rsidR="008B25AB">
        <w:t>celowo</w:t>
      </w:r>
      <w:r w:rsidR="00205E78" w:rsidRPr="00205E78">
        <w:t xml:space="preserve"> pozwalają </w:t>
      </w:r>
      <w:r w:rsidR="008B25AB">
        <w:t>IZ</w:t>
      </w:r>
      <w:r w:rsidR="00205E78" w:rsidRPr="00205E78">
        <w:t xml:space="preserve"> na dostosowywanie katalogów działań i ich rozszerzanie w miarę potrzeb w trakcie trwania perspektywy finansowej. </w:t>
      </w:r>
      <w:r w:rsidR="008B25AB">
        <w:t>E</w:t>
      </w:r>
      <w:r w:rsidR="00205E78" w:rsidRPr="00205E78">
        <w:t>wentualne doprecyzowania powinny następować na poziomie dokumentacji poszczególnych naborów, a nie w dokumencie strategicznym, jakim jest SZOP</w:t>
      </w:r>
      <w:r w:rsidR="00D42FBA">
        <w:t xml:space="preserve">, który </w:t>
      </w:r>
      <w:r w:rsidR="00205E78" w:rsidRPr="00205E78">
        <w:t>powinien zachować swój ogólny i elastyczny charakter.</w:t>
      </w:r>
      <w:r w:rsidR="00225581">
        <w:t xml:space="preserve"> </w:t>
      </w:r>
      <w:r w:rsidR="00225581" w:rsidRPr="00077CA0">
        <w:rPr>
          <w:b/>
          <w:bCs/>
          <w:color w:val="0F14D2" w:themeColor="accent1"/>
        </w:rPr>
        <w:t>Zalecenie</w:t>
      </w:r>
      <w:r w:rsidR="00225581">
        <w:t>: Z</w:t>
      </w:r>
      <w:r w:rsidR="00225581" w:rsidRPr="00225581">
        <w:t>aleca się</w:t>
      </w:r>
      <w:r w:rsidR="00181FF0">
        <w:t xml:space="preserve"> natomiast</w:t>
      </w:r>
      <w:r w:rsidR="00225581" w:rsidRPr="00225581">
        <w:t xml:space="preserve">, aby w przyszłości większy nacisk kłaść na precyzyjne formułowanie zapisów regulaminów naborów oraz kryteriów oceny projektów. </w:t>
      </w:r>
      <w:r w:rsidRPr="0089397E">
        <w:t>Pozwoli to zwiększyć przewidywalność i przejrzystość zapisów, ograniczyć liczbę wątpliwości interpretacyjnych oraz ułatwić proces oceny wniosków.</w:t>
      </w:r>
      <w:r w:rsidR="00D42FBA">
        <w:t xml:space="preserve"> Na kształt tych zapisów powinni mieć wpływ pracownicy wydziałów </w:t>
      </w:r>
      <w:r w:rsidR="00637A86" w:rsidRPr="00637A86">
        <w:t xml:space="preserve">uczestniczących w procesie oceny projektów, gdyż to oni najlepiej znają praktyczne trudności i najczęściej spotykane wątpliwości, a ich doświadczenie może przyczynić się do stworzenia bardziej jednoznacznych, spójnych i użytecznych </w:t>
      </w:r>
      <w:r w:rsidR="00637A86">
        <w:t>zapisów</w:t>
      </w:r>
      <w:r w:rsidR="00637A86" w:rsidRPr="00637A86">
        <w:t>.</w:t>
      </w:r>
    </w:p>
    <w:p w14:paraId="31834590" w14:textId="6F8BF08C" w:rsidR="00A61FE1" w:rsidRDefault="00006482" w:rsidP="00006482">
      <w:r>
        <w:t>W wywiadach pogłębionych opisano</w:t>
      </w:r>
      <w:r w:rsidR="00637A86">
        <w:t xml:space="preserve"> również</w:t>
      </w:r>
      <w:r>
        <w:t xml:space="preserve"> trudności związane z </w:t>
      </w:r>
      <w:r w:rsidRPr="0099311A">
        <w:rPr>
          <w:b/>
          <w:bCs/>
        </w:rPr>
        <w:t>niską użytecznością instrukcji wypełniania wniosku o dofinansowanie</w:t>
      </w:r>
      <w:r>
        <w:t>. Rozmówcy w</w:t>
      </w:r>
      <w:r w:rsidRPr="002747A9">
        <w:t>skazują, że dokument ten w obecnej perspektywie 2021</w:t>
      </w:r>
      <w:r>
        <w:t>-</w:t>
      </w:r>
      <w:r w:rsidRPr="002747A9">
        <w:t xml:space="preserve">2027 ma głównie charakter technicznego „manuala” obsługi systemu elektronicznego </w:t>
      </w:r>
      <w:r>
        <w:t xml:space="preserve">CST2021 </w:t>
      </w:r>
      <w:r w:rsidRPr="002747A9">
        <w:t>– koncentruje się na tym, jak rozwinąć listę czy kliknąć odpowiedni przycisk, a nie na merytorycznym wyjaśnianiu, co powinno znaleźć się w poszczególnych polach wniosku.</w:t>
      </w:r>
      <w:r w:rsidR="00A31F5F" w:rsidRPr="00A31F5F">
        <w:t xml:space="preserve"> </w:t>
      </w:r>
      <w:r w:rsidR="00A31F5F" w:rsidRPr="00D31FF4">
        <w:t xml:space="preserve">Wnioskodawcy zgłaszali uwagi, że instrukcja nie wyjaśnia w wystarczającym stopniu, jak rozumieć nomenklaturę używaną we wnioskach i jak prawidłowo </w:t>
      </w:r>
      <w:r w:rsidR="00A31F5F" w:rsidRPr="00D31FF4">
        <w:lastRenderedPageBreak/>
        <w:t xml:space="preserve">wypełniać poszczególne pola pod kątem merytorycznym. </w:t>
      </w:r>
      <w:r>
        <w:t xml:space="preserve">Jako dobrą praktykę przywoływano rozwiązania w </w:t>
      </w:r>
      <w:r w:rsidRPr="002747A9">
        <w:t>poprzedniej perspektywie (2014</w:t>
      </w:r>
      <w:r>
        <w:t>-</w:t>
      </w:r>
      <w:r w:rsidRPr="002747A9">
        <w:t>2020)</w:t>
      </w:r>
      <w:r>
        <w:t>, gdzie</w:t>
      </w:r>
      <w:r w:rsidRPr="002747A9">
        <w:t xml:space="preserve"> instrukcja zawierała bogatsze opisy dotyczące wymogów formalnych i </w:t>
      </w:r>
      <w:r>
        <w:t>merytorycznych</w:t>
      </w:r>
      <w:r w:rsidRPr="002747A9">
        <w:t xml:space="preserve">. Brak takich objaśnień powoduje, że </w:t>
      </w:r>
      <w:r w:rsidR="00015ED5">
        <w:t>wnioskodawcy</w:t>
      </w:r>
      <w:r w:rsidRPr="002747A9">
        <w:t xml:space="preserve"> mają trudności z prawidłowym przygotowaniem wniosku, a pracownicy urzędu muszą poświęcać czas na wyjaśnianie kwestii, które wcześniej były jasno opisane.</w:t>
      </w:r>
      <w:r w:rsidR="00B572FB">
        <w:t xml:space="preserve"> </w:t>
      </w:r>
      <w:r w:rsidR="00B572FB" w:rsidRPr="00B572FB">
        <w:t>Warto podkreślić iż obie instrukcje – użytkownika aplikacji WOD2021, jak i SOWA, bazują na wzorze ministerialnym. Rozbudowanie instrukcji o kwestie merytoryczne na potrzeby poszczególnych naborów byłoby zbyt obciążające dla Instytucji Zarządzającej</w:t>
      </w:r>
      <w:r w:rsidR="00D254D4">
        <w:t xml:space="preserve">, natomiast wskazane byłoby opracowanie wspólnej merytorycznej </w:t>
      </w:r>
      <w:r w:rsidR="00E33CA8">
        <w:t>instrukcji oddzielnie dla projektów EFRR i EFS+. Takie rozwiązanie przyjęto m.in. w województwie warmińsko-mazurskim</w:t>
      </w:r>
      <w:r w:rsidR="000711EF">
        <w:t xml:space="preserve">, gdzie </w:t>
      </w:r>
      <w:r w:rsidR="00EB32BB">
        <w:t xml:space="preserve">opracowano, nie korzystając ze wzoru MFiPR, </w:t>
      </w:r>
      <w:r w:rsidR="00A61FE1">
        <w:t>zarówno dla projektów EFRR (</w:t>
      </w:r>
      <w:r w:rsidR="008358CE">
        <w:t>składanych w systemie WOD2021)</w:t>
      </w:r>
      <w:r w:rsidR="00A61FE1">
        <w:t>, jak i EFS+</w:t>
      </w:r>
      <w:r w:rsidR="008358CE">
        <w:t xml:space="preserve"> (składanych w systemie SOWA), dodatkowe instrukcje merytoryczne</w:t>
      </w:r>
      <w:r w:rsidR="00A005CA">
        <w:rPr>
          <w:rStyle w:val="Odwoanieprzypisudolnego"/>
        </w:rPr>
        <w:footnoteReference w:id="58"/>
      </w:r>
      <w:r w:rsidR="008358CE">
        <w:t xml:space="preserve">. Jednocześnie udostępniono </w:t>
      </w:r>
      <w:r w:rsidR="00A005CA">
        <w:t>przekierowania do instrukcji MFiPR na stronach</w:t>
      </w:r>
      <w:r w:rsidR="00790223">
        <w:t xml:space="preserve"> obu systemów. </w:t>
      </w:r>
    </w:p>
    <w:p w14:paraId="01E3538E" w14:textId="65A114F4" w:rsidR="00B572FB" w:rsidRDefault="00B572FB" w:rsidP="00006482">
      <w:r w:rsidRPr="00077CA0">
        <w:rPr>
          <w:b/>
          <w:bCs/>
          <w:color w:val="0F14D2" w:themeColor="accent1"/>
        </w:rPr>
        <w:t>Zalecenie</w:t>
      </w:r>
      <w:r>
        <w:t>: Z</w:t>
      </w:r>
      <w:r w:rsidRPr="00B572FB">
        <w:t xml:space="preserve">aleca się </w:t>
      </w:r>
      <w:r w:rsidR="00790223">
        <w:t>opracowanie</w:t>
      </w:r>
      <w:r w:rsidRPr="00B572FB">
        <w:t xml:space="preserve"> bardziej rozbudowan</w:t>
      </w:r>
      <w:r w:rsidR="00790223">
        <w:t>ych</w:t>
      </w:r>
      <w:r w:rsidRPr="00B572FB">
        <w:t xml:space="preserve"> merytorycznie, horyzontaln</w:t>
      </w:r>
      <w:r w:rsidR="00790223">
        <w:t>ych</w:t>
      </w:r>
      <w:r w:rsidRPr="00B572FB">
        <w:t xml:space="preserve"> instrukcji</w:t>
      </w:r>
      <w:r>
        <w:t>,</w:t>
      </w:r>
      <w:r w:rsidRPr="00B572FB">
        <w:t xml:space="preserve"> </w:t>
      </w:r>
      <w:r>
        <w:t>aczkolwiek,</w:t>
      </w:r>
      <w:r w:rsidRPr="00B572FB">
        <w:t xml:space="preserve"> biorąc pod uwagę zaawansowanie wdrażania perspektywy finansowej 2021-2027</w:t>
      </w:r>
      <w:r>
        <w:t xml:space="preserve">, jest to rozwiązanie do wdrożenia </w:t>
      </w:r>
      <w:r w:rsidRPr="00B572FB">
        <w:t xml:space="preserve">w </w:t>
      </w:r>
      <w:r>
        <w:t>kolejnej</w:t>
      </w:r>
      <w:r w:rsidRPr="00B572FB">
        <w:t xml:space="preserve"> perspektywie</w:t>
      </w:r>
      <w:r>
        <w:t xml:space="preserve"> 2027+. </w:t>
      </w:r>
      <w:r w:rsidRPr="00B572FB">
        <w:t>Dodatkowo w celu wsparcia wnioskodawców wskazane jest rozwijanie sekcji "pytań i odpowiedzi" (FAQ), które mogą być inicjowane również przez same instytucje w celu proaktywnego wyjaśniania wątpliwości, a także organizowanie spotkań informacyjnych dla konkretnych naborów, podczas których wnioskodawcy mogą zadawać szczegółowe pytania merytoryczne.</w:t>
      </w:r>
    </w:p>
    <w:p w14:paraId="26D0C838" w14:textId="77777777" w:rsidR="00006482" w:rsidRDefault="00006482" w:rsidP="00006482">
      <w:r w:rsidRPr="002747A9">
        <w:t xml:space="preserve">Dodatkowo, </w:t>
      </w:r>
      <w:r>
        <w:t>w</w:t>
      </w:r>
      <w:r w:rsidRPr="002747A9">
        <w:t xml:space="preserve"> instrukcji </w:t>
      </w:r>
      <w:r>
        <w:t>lub regulaminie brakuje</w:t>
      </w:r>
      <w:r w:rsidRPr="002747A9">
        <w:t xml:space="preserve"> list</w:t>
      </w:r>
      <w:r>
        <w:t xml:space="preserve">y </w:t>
      </w:r>
      <w:r w:rsidRPr="002747A9">
        <w:t xml:space="preserve">wymaganych załączników – w poprzedniej perspektywie była ona jasno wskazana w dokumencie, natomiast teraz można ją znaleźć dopiero w samym wzorze wniosku, który </w:t>
      </w:r>
      <w:r>
        <w:t>jest mało czytelny i</w:t>
      </w:r>
      <w:r w:rsidRPr="002747A9">
        <w:t xml:space="preserve"> bardzo obszerny. </w:t>
      </w:r>
      <w:r>
        <w:t xml:space="preserve">We wzorze wniosku EFRR sekcja K Załączniki znajduje się na 19 stronie w 56 stronicowym dokumencie. </w:t>
      </w:r>
      <w:r w:rsidRPr="002747A9">
        <w:t>To powoduje pytania od wnioskodawców, którzy mają problem z odnalezieniem tych informacji.</w:t>
      </w:r>
      <w:r>
        <w:t xml:space="preserve"> </w:t>
      </w:r>
      <w:r w:rsidRPr="004B0170">
        <w:rPr>
          <w:b/>
          <w:bCs/>
          <w:color w:val="0F14D2" w:themeColor="accent1"/>
        </w:rPr>
        <w:t xml:space="preserve">Zalecenie: </w:t>
      </w:r>
      <w:r>
        <w:t>Zaleca</w:t>
      </w:r>
      <w:r w:rsidRPr="004B1AA1">
        <w:t xml:space="preserve"> się</w:t>
      </w:r>
      <w:r>
        <w:t xml:space="preserve"> umieszczenie </w:t>
      </w:r>
      <w:r w:rsidRPr="00C42D84">
        <w:t xml:space="preserve">listy wymaganych załączników </w:t>
      </w:r>
      <w:r>
        <w:t xml:space="preserve">bezpośrednio </w:t>
      </w:r>
      <w:r w:rsidRPr="00C42D84">
        <w:t>w instrukcji</w:t>
      </w:r>
      <w:r>
        <w:t xml:space="preserve"> wypełniania wniosku lub w regulaminie. </w:t>
      </w:r>
    </w:p>
    <w:p w14:paraId="329DE163" w14:textId="4C5E9ABA" w:rsidR="00006482" w:rsidRDefault="00006482" w:rsidP="006D220B">
      <w:r>
        <w:t>U</w:t>
      </w:r>
      <w:r w:rsidRPr="002747A9">
        <w:t xml:space="preserve">trudnieniem jest także brak wykazów zmian między kolejnymi wersjami instrukcji. Dokumenty publikowane są wyłącznie w formacie PDF, co uniemożliwia szybkie porównanie treści. Ponieważ każdy nabór ma własną instrukcję, </w:t>
      </w:r>
      <w:r>
        <w:t xml:space="preserve">w przypadku wnioskodawców aplikujących do kilku naborów, </w:t>
      </w:r>
      <w:r w:rsidRPr="002747A9">
        <w:t xml:space="preserve">oznacza to konieczność </w:t>
      </w:r>
      <w:r>
        <w:t>ponownego</w:t>
      </w:r>
      <w:r w:rsidRPr="002747A9">
        <w:t xml:space="preserve"> </w:t>
      </w:r>
      <w:r w:rsidRPr="002747A9">
        <w:lastRenderedPageBreak/>
        <w:t xml:space="preserve">zapoznawania się z dużymi objętościowo dokumentami, nawet jeśli zmiany byłyby kosmetyczne. </w:t>
      </w:r>
      <w:r w:rsidR="006D220B" w:rsidRPr="00B9362C">
        <w:t xml:space="preserve">Wnioskodawcy, zwłaszcza ci z mniejszych samorządów, często przygotowują wnioski do różnych naborów i na różnego typu projekty. Te same osoby wielokrotnie korzystają z instrukcji wypełniania wniosku, przez co z czasem dobrze ją znają. Mimo że dla każdego naboru publikowana jest formalnie nowa instrukcja, wnioskodawcy nie wiedzą, czy i jakie zmiany zostały w niej wprowadzone w stosunku do wersji, z której korzystali wcześniej. Aby mieć pewność, że postępują zgodnie z aktualnymi wytycznymi, wnioskodawcy </w:t>
      </w:r>
      <w:r w:rsidR="006D220B">
        <w:t>powinni</w:t>
      </w:r>
      <w:r w:rsidR="006D220B" w:rsidRPr="00B9362C">
        <w:t xml:space="preserve"> za każdym razem zapoznawać się z całością rozbudowanego dokumentu. Taka sytuacja generuje dodatkową pracę i jest nieefektywna.</w:t>
      </w:r>
      <w:r w:rsidR="006D220B">
        <w:t xml:space="preserve"> </w:t>
      </w:r>
      <w:r w:rsidR="009E3869" w:rsidRPr="00077CA0">
        <w:t xml:space="preserve">Rozwiązaniem </w:t>
      </w:r>
      <w:r w:rsidR="00ED6D25">
        <w:t xml:space="preserve">wspomagającym </w:t>
      </w:r>
      <w:r w:rsidR="009E3869" w:rsidRPr="00077CA0">
        <w:t>byłoby</w:t>
      </w:r>
      <w:r>
        <w:t xml:space="preserve"> publikowanie instrukcji wypełniania wniosku w formacie </w:t>
      </w:r>
      <w:proofErr w:type="spellStart"/>
      <w:r>
        <w:t>word</w:t>
      </w:r>
      <w:proofErr w:type="spellEnd"/>
      <w:r>
        <w:t xml:space="preserve"> a nie pdf. U</w:t>
      </w:r>
      <w:r w:rsidRPr="002747A9">
        <w:t>możliwi</w:t>
      </w:r>
      <w:r w:rsidR="009E3869">
        <w:t>łoby</w:t>
      </w:r>
      <w:r w:rsidRPr="002747A9">
        <w:t xml:space="preserve"> to łatwe porównanie dokumentów przy użyciu funkcji „porównaj”</w:t>
      </w:r>
      <w:r w:rsidR="009004ED">
        <w:t>.</w:t>
      </w:r>
      <w:r w:rsidR="00A57FEB">
        <w:t xml:space="preserve"> </w:t>
      </w:r>
      <w:r w:rsidR="009004ED">
        <w:t>T</w:t>
      </w:r>
      <w:r>
        <w:t xml:space="preserve">aki dokument byłby </w:t>
      </w:r>
      <w:r w:rsidR="009E3869">
        <w:t xml:space="preserve">też </w:t>
      </w:r>
      <w:r>
        <w:t>łatwiejszy w nawigacji dla użytkowników</w:t>
      </w:r>
      <w:r w:rsidR="009E3869">
        <w:t xml:space="preserve">, co ma znaczenie gdyż instrukcja </w:t>
      </w:r>
      <w:r w:rsidR="00D309FB">
        <w:t xml:space="preserve">użytkownika systemu SOWA ma 205 stron a WOD2021 98 stron. </w:t>
      </w:r>
      <w:r w:rsidR="00952DDB">
        <w:t xml:space="preserve">Takie rozwiązanie przyjęto np. w województwie podkarpackim, gdzie </w:t>
      </w:r>
      <w:r w:rsidR="00FD1FAE">
        <w:t xml:space="preserve">również </w:t>
      </w:r>
      <w:r w:rsidR="0095078D">
        <w:t>wykorzystywany jest system WOD2021</w:t>
      </w:r>
      <w:r w:rsidR="00FD1FAE">
        <w:t xml:space="preserve">, ale IZ opracowała własną 20-stronicową instrukcję i udostępnia ją w wersji edytowalnej (jak również pozostałe dokumenty </w:t>
      </w:r>
      <w:proofErr w:type="spellStart"/>
      <w:r w:rsidR="00FD1FAE">
        <w:t>naborowe</w:t>
      </w:r>
      <w:proofErr w:type="spellEnd"/>
      <w:r w:rsidR="00FD1FAE">
        <w:t xml:space="preserve">). </w:t>
      </w:r>
    </w:p>
    <w:p w14:paraId="6DDC7305"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Trudne do spełnienia kryteria i rozbudowany system kryteriów oceny</w:t>
      </w:r>
    </w:p>
    <w:p w14:paraId="3D3581C6" w14:textId="77777777" w:rsidR="00006482" w:rsidRDefault="00006482" w:rsidP="00006482">
      <w:r>
        <w:rPr>
          <w:b/>
          <w:bCs/>
        </w:rPr>
        <w:t>R</w:t>
      </w:r>
      <w:r w:rsidRPr="00211894">
        <w:rPr>
          <w:b/>
          <w:bCs/>
        </w:rPr>
        <w:t>ozbudowane systemy kryteriów oceny</w:t>
      </w:r>
      <w:r>
        <w:t xml:space="preserve"> </w:t>
      </w:r>
    </w:p>
    <w:p w14:paraId="48C0659E" w14:textId="25395C6E" w:rsidR="00006482" w:rsidRDefault="00006482" w:rsidP="00006482">
      <w:r>
        <w:t xml:space="preserve">Czynnikiem utrudniającym zarówno opracowanie wniosków o dofinansowanie, jak i stanowiącym wyzwanie dla ekspertów oceniających projekty, są </w:t>
      </w:r>
      <w:r w:rsidRPr="00211894">
        <w:rPr>
          <w:b/>
          <w:bCs/>
        </w:rPr>
        <w:t>rozbudowane systemy kryteriów oceny</w:t>
      </w:r>
      <w:r>
        <w:t xml:space="preserve">. Prawie </w:t>
      </w:r>
      <w:r w:rsidR="00DD607B">
        <w:t>27</w:t>
      </w:r>
      <w:r>
        <w:t>% respondentów ocenia, że podczas aplikowania napotkali na kryteria trudne do spełnienia, a 18,3% dostrzega kryteria niepasujące do specyfiki projektu.</w:t>
      </w:r>
    </w:p>
    <w:p w14:paraId="18072C54" w14:textId="45F5A87F" w:rsidR="00006482" w:rsidRPr="00141A4C" w:rsidRDefault="00006482" w:rsidP="00006482">
      <w:pPr>
        <w:pStyle w:val="Legenda"/>
      </w:pPr>
      <w:r w:rsidRPr="00141A4C">
        <w:t xml:space="preserve">Wykres </w:t>
      </w:r>
      <w:fldSimple w:instr=" SEQ Wykres \* ARABIC ">
        <w:r w:rsidR="00541DFA">
          <w:rPr>
            <w:noProof/>
          </w:rPr>
          <w:t>22</w:t>
        </w:r>
      </w:fldSimple>
      <w:r w:rsidRPr="00141A4C">
        <w:t xml:space="preserve"> Ocena systemu kryteriów oceny projektów przez wnioskodawców </w:t>
      </w:r>
      <w:r>
        <w:t>FEdKP 2021-2027</w:t>
      </w:r>
    </w:p>
    <w:p w14:paraId="663C4265" w14:textId="77777777" w:rsidR="00006482" w:rsidRDefault="00006482" w:rsidP="00006482">
      <w:r>
        <w:rPr>
          <w:noProof/>
        </w:rPr>
        <w:drawing>
          <wp:inline distT="0" distB="0" distL="0" distR="0" wp14:anchorId="3C29B913" wp14:editId="26C55ACF">
            <wp:extent cx="5719445" cy="2377440"/>
            <wp:effectExtent l="0" t="0" r="14605" b="3810"/>
            <wp:docPr id="1791176878" name="Wykres 1" descr="Wykres przedstawia odpowiedzi na pytanie z kwestionariusza „Proszę ocenić, w jakim stopniu zgadzają się...”.&#10;&#10;Dla stwierdzenia „Wśród kryteriów były kryteria trudne do spełnienia” 7,7% respondentów wskazało „Zdecydowanie się zgadzam”, 19,2% – „Raczej się zgadzam”, 43,3% – „Raczej się nie zgadzam”, 12,5% – „Zdecydowanie się nie zgadzam” oraz 17,3% – „Nie wiem/trudno powiedzieć”.&#10;&#10;W przypadku stwierdzenia „Wśród kryteriów były kryteria niepasujące do specyfiki naszego projektu” 5,8% badanych wybrało „Zdecydowanie się zgadzam”, 12,5% – „Raczej się zgadzam”, 40,4% – „Raczej się nie zgadzam”, 21,2% – „Zdecydowanie się nie zgadzam” oraz 20,2% – „Nie wiem/trudno powiedzieć”.">
              <a:extLst xmlns:a="http://schemas.openxmlformats.org/drawingml/2006/main">
                <a:ext uri="{FF2B5EF4-FFF2-40B4-BE49-F238E27FC236}">
                  <a16:creationId xmlns:a16="http://schemas.microsoft.com/office/drawing/2014/main" id="{FD8E0A16-34AB-4FFD-AA9F-8CDA08F5F2E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30CBF927" w14:textId="38D19914" w:rsidR="00006482" w:rsidRDefault="00006482" w:rsidP="001966A2">
      <w:pPr>
        <w:pStyle w:val="rdo"/>
      </w:pPr>
      <w:r>
        <w:t>Źródło: badanie ilościowe wśród wnioskodawców FEdKP 2021-2027, n=104</w:t>
      </w:r>
      <w:r w:rsidR="008E7B63">
        <w:t>. Odpowiedź na pytanie „</w:t>
      </w:r>
      <w:r w:rsidR="009157DC" w:rsidRPr="009157DC">
        <w:t xml:space="preserve">Proszę ocenić, w jakim stopniu zgadzają się Państwo z </w:t>
      </w:r>
      <w:r w:rsidR="009157DC" w:rsidRPr="009157DC">
        <w:lastRenderedPageBreak/>
        <w:t>poniższymi stwierdzeniami na temat naboru oraz jego dokumentacji</w:t>
      </w:r>
      <w:r w:rsidR="00377C1B">
        <w:t>.”</w:t>
      </w:r>
      <w:r w:rsidR="00443437">
        <w:t>. Wartości mogą nie sumować się do 100,0% z powodu zaokrągleń</w:t>
      </w:r>
      <w:r w:rsidR="00443437" w:rsidRPr="0099411C">
        <w:t>.</w:t>
      </w:r>
    </w:p>
    <w:p w14:paraId="1C222C8E" w14:textId="77777777" w:rsidR="00006482" w:rsidRDefault="00006482" w:rsidP="00006482">
      <w:r>
        <w:t xml:space="preserve">Z kolei przedstawiciele instytucji zaangażowanych we wdrażanie FEdKP 2021-2027 oceniają, że zestawy kryteriów są bardzo rozbudowane, co w dużej mierze wynika z wymogów stawianych projektom wynikających z dokumentów nadrzędnych. Dotyczy to w równym stopniu naborów konkurencyjnych, jak i niekonkurencyjnych. </w:t>
      </w:r>
    </w:p>
    <w:p w14:paraId="6613FFD4" w14:textId="77777777" w:rsidR="00006482" w:rsidRPr="00D31BD7" w:rsidRDefault="00006482" w:rsidP="00006482">
      <w:pPr>
        <w:rPr>
          <w:b/>
          <w:bCs/>
        </w:rPr>
      </w:pPr>
      <w:r w:rsidRPr="00D31BD7">
        <w:rPr>
          <w:b/>
          <w:bCs/>
        </w:rPr>
        <w:t>Kryteria trudne w interpretacji</w:t>
      </w:r>
    </w:p>
    <w:p w14:paraId="284A435B" w14:textId="7C5C9DDC" w:rsidR="00006482" w:rsidRDefault="00006482" w:rsidP="00006482">
      <w:r>
        <w:t xml:space="preserve">Przedstawiciele </w:t>
      </w:r>
      <w:r w:rsidR="00737F57">
        <w:t xml:space="preserve">wnioskodawców (w tym potencjalnych) </w:t>
      </w:r>
      <w:r>
        <w:t xml:space="preserve">w ramach FGI oraz przedstawiciele instytucji zaangażowanych w realizację FEdKP 2021-2027 zwracają uwagę, że </w:t>
      </w:r>
      <w:r w:rsidRPr="00EA7A90">
        <w:t xml:space="preserve">kryteria są często zawiłe, niejednoznaczne i w </w:t>
      </w:r>
      <w:r>
        <w:t>niektórych</w:t>
      </w:r>
      <w:r w:rsidRPr="00EA7A90">
        <w:t xml:space="preserve"> przypadkach nie do końca spójne z innymi dokumentami. Niejednokrotnie nawet oceniający mają problem z ich właściwą interpretacją i muszą uzgadniać stanowisko z Instytucją Zarządzającą, zanim rozpoczną ocenę.</w:t>
      </w:r>
    </w:p>
    <w:p w14:paraId="4406BDA5" w14:textId="77777777" w:rsidR="00006482" w:rsidRPr="00EA7A90" w:rsidRDefault="00006482" w:rsidP="00006482">
      <w:r>
        <w:t xml:space="preserve">Przykładem stosowania definicji kryterium odmiennej od pojęć przyjętych w innych dokumentach może być </w:t>
      </w:r>
      <w:r w:rsidRPr="00EA7A90">
        <w:rPr>
          <w:b/>
          <w:bCs/>
        </w:rPr>
        <w:t>rozbieżność między definicją powierzchni użytkowej a powierzchni wewnętrznej budynku</w:t>
      </w:r>
      <w:r w:rsidRPr="00EA7A90">
        <w:t xml:space="preserve"> w naborach dotyczących termomodernizacji obiektów zabytkowych</w:t>
      </w:r>
      <w:r>
        <w:t xml:space="preserve"> (nabór </w:t>
      </w:r>
      <w:r w:rsidRPr="00770049">
        <w:t>FEKP.02.04-IZ.00-117/24</w:t>
      </w:r>
      <w:r>
        <w:t>)</w:t>
      </w:r>
      <w:r w:rsidRPr="00EA7A90">
        <w:t xml:space="preserve">. Kryterium </w:t>
      </w:r>
      <w:r>
        <w:t xml:space="preserve">B.3 </w:t>
      </w:r>
      <w:r w:rsidRPr="00EA7A90">
        <w:t>mówi, że co najmniej 50% powierzchni wewnętrznej musi być przeznaczone na cele publiczne, tymczasem audyty energetyczne – kluczowe dla wniosków – operują powierzchnią użytkową. Obie definicje różnią się sposobem liczenia, co wprowadza zamieszanie. Dodatkowo pouczenie wyjaśniające, jak rozumieć to kryterium, ukryte jest w ostatnim zdaniu przypisu</w:t>
      </w:r>
      <w:r>
        <w:t xml:space="preserve"> w dokumencie z kryteriami</w:t>
      </w:r>
      <w:r w:rsidRPr="00EA7A90">
        <w:t>, przez co</w:t>
      </w:r>
      <w:r>
        <w:t>, zdaniem rozmówców,</w:t>
      </w:r>
      <w:r w:rsidRPr="00EA7A90">
        <w:t xml:space="preserve"> łatwo je przeoczyć.</w:t>
      </w:r>
    </w:p>
    <w:p w14:paraId="51A636A3" w14:textId="6E77B3BF" w:rsidR="00006482" w:rsidRDefault="00B579EB" w:rsidP="009658A1">
      <w:r>
        <w:t xml:space="preserve">Przyczyną braku zainteresowania aplikowaniem do Działania </w:t>
      </w:r>
      <w:r w:rsidRPr="00CA153B">
        <w:t xml:space="preserve">6.8 </w:t>
      </w:r>
      <w:r w:rsidR="0005299C">
        <w:t>I</w:t>
      </w:r>
      <w:r w:rsidR="0005299C" w:rsidRPr="0005299C">
        <w:t xml:space="preserve">nwestycje w infrastrukturę społeczną </w:t>
      </w:r>
      <w:r w:rsidRPr="00CA153B">
        <w:t>Schemat: Modernizacja świetlic lub innych budynków przy infrastrukturze lokalowej OSP na potrzeby usług społecznych świadczonych w środowisku (nabory nr FEKP.06.08-IZ.00-186/25 oraz nr FEKP.06.08-IZ.00-229/25)</w:t>
      </w:r>
      <w:r>
        <w:t xml:space="preserve">, było powiązanie tych naborów z wynikami naboru w ramach Działania 2.8 </w:t>
      </w:r>
      <w:r w:rsidRPr="00CA153B">
        <w:t>Wsparcie służb ratowniczych, schemat: Infrastruktura lokalowa OSP</w:t>
      </w:r>
      <w:r>
        <w:t xml:space="preserve"> (nabór </w:t>
      </w:r>
      <w:r w:rsidRPr="008A79D8">
        <w:t>FEKP.02.08-IZ.00-150/24</w:t>
      </w:r>
      <w:r>
        <w:t xml:space="preserve">). W Działaniu 6.8 zastosowano kryterium C.1 Powiązanie z infrastrukturą lokalową OSP, weryfikujące czy projekt dotyczy świetlicy lub innego budynku przy infrastrukturze lokalowej OSP, dofinansowanej w ramach Działania 2.8. Kryterium jest weryfikowane w oparciu o wniosek o dofinansowanie projektu i załączniki oraz uchwałę Zarządu Województwa Kujawsko-Pomorskiego o wyborze projektu do dofinansowania w ramach Działania 2.8. Nabór w Działaniu 2.8 został rozstrzygnięty później niż planowano – pierwotnie, zgodnie z harmonogramem, jego zakończenie planowano na 22.08.2024 (czas trwania naboru przewidziano na 45 dni), a ostatecznie nabór zakończył się 31.01.2025 roku, przy czym wydłużono go w trakcie trwania z 42 do 88 dni. Uniemożliwiło to rozstrzygnięcie naboru przed terminem </w:t>
      </w:r>
      <w:r>
        <w:lastRenderedPageBreak/>
        <w:t xml:space="preserve">rozpoczęcia naboru w Działaniu 6.8. </w:t>
      </w:r>
      <w:r w:rsidR="009658A1">
        <w:t xml:space="preserve">W efekcie </w:t>
      </w:r>
      <w:r w:rsidR="00006482" w:rsidRPr="00EA7A90">
        <w:t xml:space="preserve">w </w:t>
      </w:r>
      <w:r w:rsidR="00006482">
        <w:t>D</w:t>
      </w:r>
      <w:r w:rsidR="00006482" w:rsidRPr="00EA7A90">
        <w:t xml:space="preserve">ziałaniu </w:t>
      </w:r>
      <w:r>
        <w:t>6</w:t>
      </w:r>
      <w:r w:rsidR="00006482" w:rsidRPr="00EA7A90">
        <w:t>.8 nie złożono żadnego wniosku, a konkurs unieważniono.</w:t>
      </w:r>
    </w:p>
    <w:p w14:paraId="708AE0EE" w14:textId="77777777" w:rsidR="00006482" w:rsidRDefault="00006482" w:rsidP="00006482">
      <w:r>
        <w:rPr>
          <w:b/>
          <w:bCs/>
        </w:rPr>
        <w:t>B</w:t>
      </w:r>
      <w:r w:rsidRPr="00EA7A90">
        <w:rPr>
          <w:b/>
          <w:bCs/>
        </w:rPr>
        <w:t>rak katalogów kosztów kwalifikowanych</w:t>
      </w:r>
      <w:r w:rsidRPr="00EA7A90">
        <w:t xml:space="preserve"> </w:t>
      </w:r>
    </w:p>
    <w:p w14:paraId="00654836" w14:textId="7968665A" w:rsidR="00CB576D" w:rsidRDefault="00006482" w:rsidP="00006482">
      <w:r w:rsidRPr="00EA7A90">
        <w:t xml:space="preserve">Kolejnym problemem </w:t>
      </w:r>
      <w:r w:rsidR="0005299C">
        <w:t xml:space="preserve">wskazywanym zarówno przez wnioskodawców, jak też pracowników IZ, </w:t>
      </w:r>
      <w:r w:rsidRPr="00EA7A90">
        <w:t xml:space="preserve">jest </w:t>
      </w:r>
      <w:r w:rsidRPr="00EA7A90">
        <w:rPr>
          <w:b/>
          <w:bCs/>
        </w:rPr>
        <w:t>brak katalogów kosztów kwalifikowanych</w:t>
      </w:r>
      <w:r w:rsidRPr="00EA7A90">
        <w:t xml:space="preserve">. To powoduje, że wnioskodawcy i oceniający mają trudność z ustaleniem, które wydatki można uwzględnić. </w:t>
      </w:r>
      <w:r w:rsidR="00862FB8" w:rsidRPr="00862FB8">
        <w:t>Są to zagadnienia, które budzą wiele wątpliwości i należą do najczęściej poruszanych przez wnioskodawców w kierowanych do instytucji pytaniach.</w:t>
      </w:r>
      <w:r w:rsidR="00F846A5">
        <w:t xml:space="preserve"> </w:t>
      </w:r>
      <w:r w:rsidR="003F2AFA">
        <w:t>Był</w:t>
      </w:r>
      <w:r w:rsidR="00CB576D">
        <w:t>a</w:t>
      </w:r>
      <w:r w:rsidR="003F2AFA">
        <w:t xml:space="preserve"> to też najczęściej wskazywan</w:t>
      </w:r>
      <w:r w:rsidR="00CB576D">
        <w:t>a potrzeba informacyjna w badaniu przeprowadzonym w 2024 roku wśród wnioskodawców FEdKP 2021-2027</w:t>
      </w:r>
      <w:r w:rsidR="00CB576D">
        <w:rPr>
          <w:rStyle w:val="Odwoanieprzypisudolnego"/>
        </w:rPr>
        <w:footnoteReference w:id="59"/>
      </w:r>
      <w:r w:rsidR="00CB576D">
        <w:t>.</w:t>
      </w:r>
    </w:p>
    <w:p w14:paraId="11516E29" w14:textId="53C7A2A3" w:rsidR="003D419E" w:rsidRDefault="002402D8" w:rsidP="00006482">
      <w:r w:rsidRPr="002402D8">
        <w:t xml:space="preserve">Rozważania nad wprowadzeniem katalogów kosztów kwalifikowalnych wskazują na istnienie zarówno potencjalnych korzyści, jak i poważnych ograniczeń tego rozwiązania. Z jednej strony przykładowy katalog mógłby stanowić praktyczne narzędzie wspierające wnioskodawców w przygotowywaniu projektów oraz przyczyniać się do ujednolicenia oceny wydatków. Z drugiej jednak strony doświadczenia wcześniejszych perspektyw finansowych (jak wynikało z deklaracji przedstawicieli IZ, takie katalogi przykładowych kosztów kwalifikowalnych były tworzone w perspektywie 2007-2013 na potrzeby projektów POWER) pokazują, że opracowanie katalogu o charakterze kompleksowym i jednocześnie użytecznym jest niezwykle pracochłonne, a jego zawartość szybko traci aktualność wobec dużej różnorodności i kreatywności wnioskodawców w zakresie proponowanych kosztów. Kluczowym argumentem przeciwko tworzeniu jednego, wzorcowego katalogu kosztów kwalifikowalnych jest też ogromna różnorodność projektów, nawet w ramach jednego naboru. Nabór może być na tyle szeroki, że obejmuje kilka typów projektów, co sprawia, że stworzenie jednego, użytecznego katalogu, który pasowałby do wszystkich, jest praktycznie niewykonalne. Dodatkowym ryzykiem jest możliwość traktowania katalogu jako listy wydatków kwalifikowalnych „z automatu”, co mogłoby prowadzić do uproszczonego podejścia i rezygnacji z uzasadniania poszczególnych pozycji budżetowych w kontekście specyfiki danego projektu. W efekcie katalog, zamiast wspierać proces, mógłby ograniczać elastyczność i rodzić niepożądane konsekwencje w ocenie projektów. Z tego względu rozwiązanie to ocenić należy jako obarczone ryzykiem przewyższającym potencjalne korzyści. </w:t>
      </w:r>
      <w:r w:rsidR="00682B44">
        <w:t xml:space="preserve">Natomiast tworzenie takich katalogów przykładowych kosztów kwalifikowalnych można rozważyć w przypadku </w:t>
      </w:r>
      <w:r w:rsidR="00B447A0">
        <w:t>wybranych naborów</w:t>
      </w:r>
      <w:r w:rsidR="00204ECB">
        <w:t xml:space="preserve">. Takie rozwiązanie przyjęła Instytucja </w:t>
      </w:r>
      <w:r w:rsidR="00B909F8">
        <w:t xml:space="preserve">Zarządzająca programem regionalnym na lata 2021-2027 w województwie </w:t>
      </w:r>
      <w:r w:rsidR="00B909F8">
        <w:lastRenderedPageBreak/>
        <w:t>śląskim</w:t>
      </w:r>
      <w:r w:rsidR="00EC693D">
        <w:t xml:space="preserve"> – w przypadku jednego z naborów w ramach Funduszu Sprawiedliwej Transformacji </w:t>
      </w:r>
      <w:r w:rsidR="00B543CF">
        <w:t>opracowano materiał pomocniczy „S</w:t>
      </w:r>
      <w:r w:rsidR="00B543CF" w:rsidRPr="00682B44">
        <w:t>łownik kategorii kosztów</w:t>
      </w:r>
      <w:r w:rsidR="00B543CF">
        <w:t>”</w:t>
      </w:r>
      <w:r w:rsidR="00B543CF">
        <w:rPr>
          <w:rStyle w:val="Odwoanieprzypisudolnego"/>
        </w:rPr>
        <w:footnoteReference w:id="60"/>
      </w:r>
      <w:r w:rsidR="00B543CF">
        <w:t>.</w:t>
      </w:r>
    </w:p>
    <w:p w14:paraId="357B246C" w14:textId="14C02401" w:rsidR="00F846A5" w:rsidRDefault="004E070C" w:rsidP="00006482">
      <w:r>
        <w:t>W</w:t>
      </w:r>
      <w:r w:rsidR="002402D8" w:rsidRPr="002402D8">
        <w:t xml:space="preserve">ychodząc naprzeciw postulatom wnioskodawców, wskazane jest </w:t>
      </w:r>
      <w:r>
        <w:t xml:space="preserve">jednocześnie </w:t>
      </w:r>
      <w:r w:rsidR="002402D8" w:rsidRPr="002402D8">
        <w:t>położenie większego nacisku na rozwijanie sekcji "pytań i odpowiedzi" (FAQ) oraz organizowanie rzetelnych spotkań informacyjnych (szkoleń).</w:t>
      </w:r>
    </w:p>
    <w:p w14:paraId="41003B50" w14:textId="77777777" w:rsidR="00006482" w:rsidRDefault="00006482" w:rsidP="00006482">
      <w:r>
        <w:rPr>
          <w:b/>
          <w:bCs/>
        </w:rPr>
        <w:t>K</w:t>
      </w:r>
      <w:r w:rsidRPr="00211894">
        <w:rPr>
          <w:b/>
          <w:bCs/>
        </w:rPr>
        <w:t>ryteria dotyczące polityk horyzontalnych</w:t>
      </w:r>
      <w:r>
        <w:t xml:space="preserve"> </w:t>
      </w:r>
    </w:p>
    <w:p w14:paraId="40F0557D" w14:textId="5BEA542E" w:rsidR="00006482" w:rsidRDefault="00006482" w:rsidP="00006482">
      <w:r>
        <w:t xml:space="preserve">W szczególności problematyczne są </w:t>
      </w:r>
      <w:r w:rsidRPr="00211894">
        <w:rPr>
          <w:b/>
          <w:bCs/>
        </w:rPr>
        <w:t>kryteria dotyczące polityk horyzontalnych</w:t>
      </w:r>
      <w:r>
        <w:t>. B</w:t>
      </w:r>
      <w:r w:rsidRPr="009371D7">
        <w:t xml:space="preserve">lok kryteriów horyzontalnych jest </w:t>
      </w:r>
      <w:r>
        <w:t>szczególnie</w:t>
      </w:r>
      <w:r w:rsidRPr="009371D7">
        <w:t xml:space="preserve"> rozbudowany, a poszczególne kryteria</w:t>
      </w:r>
      <w:r w:rsidR="00C90F35">
        <w:t>, w opinii wnioskodawc</w:t>
      </w:r>
      <w:r w:rsidR="009C59D6">
        <w:t>ów,</w:t>
      </w:r>
      <w:r w:rsidRPr="009371D7">
        <w:t xml:space="preserve"> często się zazębiają, odnosząc się do tych samych zagadnień w różnych ujęciach</w:t>
      </w:r>
      <w:r w:rsidR="00C3488D">
        <w:t>, lub z odniesieniem do różnych dokumentów</w:t>
      </w:r>
      <w:r w:rsidRPr="009371D7">
        <w:t xml:space="preserve">. Powoduje to trudności zarówno dla wnioskodawców, którzy muszą ustalić, do którego dokumentu się odnieść, jak i dla oceniających, którzy muszą weryfikować powtarzające się wymagania. </w:t>
      </w:r>
      <w:r w:rsidR="003A6F06">
        <w:t>W</w:t>
      </w:r>
      <w:r w:rsidR="00B72421">
        <w:t>skazywanym p</w:t>
      </w:r>
      <w:r w:rsidR="00B72421" w:rsidRPr="009371D7">
        <w:t xml:space="preserve">rzykładem </w:t>
      </w:r>
      <w:r w:rsidR="00B72421">
        <w:t>mogą być</w:t>
      </w:r>
      <w:r w:rsidRPr="009371D7">
        <w:t xml:space="preserve"> </w:t>
      </w:r>
      <w:r w:rsidR="00B72421">
        <w:t>kwestie</w:t>
      </w:r>
      <w:r w:rsidR="00B72421" w:rsidRPr="009371D7">
        <w:t xml:space="preserve"> dotycząc</w:t>
      </w:r>
      <w:r w:rsidR="00B72421">
        <w:t xml:space="preserve">e </w:t>
      </w:r>
      <w:r w:rsidRPr="009371D7">
        <w:t xml:space="preserve">praw osób z niepełnosprawnościami w kryterium zgodności z Kartą Praw Podstawowych </w:t>
      </w:r>
      <w:r w:rsidR="004F6E38">
        <w:t xml:space="preserve">(KPP) </w:t>
      </w:r>
      <w:r w:rsidRPr="009371D7">
        <w:t>oraz w odrębnym kryterium zgodności z Konwencją o prawach osób z niepełnosprawnościami</w:t>
      </w:r>
      <w:r w:rsidR="004F6E38">
        <w:t xml:space="preserve"> (KPON)</w:t>
      </w:r>
      <w:r w:rsidRPr="009371D7">
        <w:t>.</w:t>
      </w:r>
      <w:r w:rsidR="00B72421">
        <w:t xml:space="preserve"> </w:t>
      </w:r>
      <w:r w:rsidR="00957591">
        <w:t xml:space="preserve">Należy podkreślić, iż </w:t>
      </w:r>
      <w:r w:rsidR="005E10F1">
        <w:t>te</w:t>
      </w:r>
      <w:r w:rsidR="005E10F1" w:rsidRPr="005E10F1">
        <w:t xml:space="preserve"> stanowią odrębne wymagania, z których każde odwołuje się do innego dokumentu. KPP to akt prawa UE obejmujący prawa podstawowe, takie jak wolności obywatelskie, prawa pracownicze czy zakaz dyskryminacji, natomiast KPON jest traktatem ONZ ratyfikowanym przez Polskę i UE, odnoszącym się wyłącznie do praw osób z niepełnosprawnościami. Oba dokumenty wpisane są w warunki podstawowe i mają charakter obowiązkowy w polityce spójności 2021</w:t>
      </w:r>
      <w:r w:rsidR="005E10F1">
        <w:t>-</w:t>
      </w:r>
      <w:r w:rsidR="005E10F1" w:rsidRPr="005E10F1">
        <w:t>2027</w:t>
      </w:r>
      <w:r w:rsidR="005E10F1">
        <w:t xml:space="preserve">, stąd ich odrębne uwzględnienie w kryteriach oceny projektów. </w:t>
      </w:r>
      <w:r w:rsidR="00CB2D8F">
        <w:t xml:space="preserve">Tożsame rozwiązania zostały przyjęte również w innych regionach. </w:t>
      </w:r>
    </w:p>
    <w:p w14:paraId="29C0F28E" w14:textId="316007F9" w:rsidR="004F6E38" w:rsidRDefault="00006482" w:rsidP="00006482">
      <w:r w:rsidRPr="009823F1">
        <w:t xml:space="preserve">Przedstawiciele instytucji podkreślają kluczowe znaczenie kwestii horyzontalnych w projektach, wskazując, że w poprzednich perspektywach były one często traktowane marginalnie, natomiast w obecnej perspektywie kładzie się na nie znacznie większy nacisk, wymagając od wnioskodawców przedstawienia konkretnych rozwiązań. </w:t>
      </w:r>
      <w:r w:rsidR="004F6E38" w:rsidRPr="004F6E38">
        <w:t>Kryteria dotyczące KPP i KPON zostały wprowadzone po raz pierwszy w perspektywie 2021–2027, co sprawia, że są one trudniejsze do zrozumienia i właściwego zastosowania przez wnioskodawców. W poprzednich okresach programowania funkcjonowały już kryteria odnoszące się do zasady równości szans i niedyskryminacji, w tym dostępności dla osób z niepełnosprawnościami oraz równości szans kobiet i mężczyzn. W obecnej perspektywie położono jednak zdecydowanie większy nacisk na ich rzeczywistą realizację, co oznacza, że np. inwestycje muszą faktycznie spełniać wymagania dostępności w praktyce, a nie jedynie deklaratywnie, na etapie przygotowywania dokumentacji.</w:t>
      </w:r>
    </w:p>
    <w:p w14:paraId="5F0C65B0" w14:textId="1892E724" w:rsidR="00006482" w:rsidRDefault="00006482" w:rsidP="00006482">
      <w:r w:rsidRPr="009823F1">
        <w:lastRenderedPageBreak/>
        <w:t xml:space="preserve">W związku z tym instytucje podejmują działania mające na celu zwiększenie świadomości i kompetencji </w:t>
      </w:r>
      <w:r w:rsidR="00B62522">
        <w:t>wnioskodawców</w:t>
      </w:r>
      <w:r w:rsidR="00B62522" w:rsidRPr="009823F1">
        <w:t xml:space="preserve"> </w:t>
      </w:r>
      <w:r w:rsidRPr="009823F1">
        <w:t xml:space="preserve">w tym zakresie. W naborach konkurencyjnych </w:t>
      </w:r>
      <w:r>
        <w:t xml:space="preserve">organizowanych przez WUP </w:t>
      </w:r>
      <w:r w:rsidRPr="009823F1">
        <w:t>przygotowano odrębny załącznik opisujący zasady horyzontalne wraz z ich interpretacją oraz przykładami praktycznych rozwiązań możliwych do zastosowania w projektach, który omawiany jest podczas spotkań organizowanych przed rozpoczęciem naboru. Natomiast w naborach niekonkurencyjnych planowane są dedykowane szkolenia, obejmujące m.in. blok tematyczny poświęcony działaniom równościowym w projektach, skierowane do powiatowych urzędów pracy.</w:t>
      </w:r>
    </w:p>
    <w:p w14:paraId="79A60380" w14:textId="77777777" w:rsidR="00006482" w:rsidRPr="00620654" w:rsidRDefault="00006482" w:rsidP="00006482">
      <w:pPr>
        <w:rPr>
          <w:b/>
          <w:bCs/>
        </w:rPr>
      </w:pPr>
      <w:r w:rsidRPr="00620654">
        <w:rPr>
          <w:b/>
          <w:bCs/>
        </w:rPr>
        <w:t>Monitorowanie trwałości</w:t>
      </w:r>
    </w:p>
    <w:p w14:paraId="70E13B49" w14:textId="77777777" w:rsidR="00006482" w:rsidRPr="00AB5767" w:rsidRDefault="00006482" w:rsidP="00006482">
      <w:r w:rsidRPr="00AB5767">
        <w:t xml:space="preserve">Niektóre wymogi formalne i prawne w stosunku do skali i rodzaju planowanych inwestycji okazywały się </w:t>
      </w:r>
      <w:r>
        <w:t xml:space="preserve">dla potencjalnych wnioskodawców </w:t>
      </w:r>
      <w:r w:rsidRPr="00AB5767">
        <w:t>zbyt ambitne. To spowodowało m.in. mniejsze zainteresowanie naborami w Działaniach 1.6 i 1.8 na rozwój infrastruktury na rzecz rozwoju gospodarczego. Zgłaszane projekty dotyczyły głównie dość podstawowej infrastruktury i podstawowych usług dla przedsiębiorców. Były one przygotowywane w przeważającej mierze przez małe gminy i niewielkie jednostki samorządu terytorialnego, które dostosowywały zakres przedsięwzięć do własnych, ograniczonych potrzeb i możliwości.</w:t>
      </w:r>
    </w:p>
    <w:p w14:paraId="0BAC4E0B" w14:textId="40DCF965" w:rsidR="00006482" w:rsidRDefault="00006482" w:rsidP="00006482">
      <w:r w:rsidRPr="00AB5767">
        <w:t xml:space="preserve">Jednym z istotnych obciążeń był obowiązek </w:t>
      </w:r>
      <w:r w:rsidRPr="00AB5767">
        <w:rPr>
          <w:b/>
          <w:bCs/>
        </w:rPr>
        <w:t>wieloletniego monitorowania infrastruktury</w:t>
      </w:r>
      <w:r w:rsidRPr="00AB5767">
        <w:t>, wynikający z art. 56 rozporządzenia Komisji (UE) nr 651/2014 ustanawiającego zasady udzielania pomocy publicznej na infrastrukturę badawczą i inną lokalną. Przepis te</w:t>
      </w:r>
      <w:r w:rsidR="00C34A98">
        <w:t>n</w:t>
      </w:r>
      <w:r w:rsidRPr="00AB5767">
        <w:t xml:space="preserve"> nakłada na beneficjenta obowiązek nadzoru nad wykorzystaniem infrastruktury przez cały okres jej ekonomicznej żywotności, który w przypadku inwestycji współfinansowanych ze środków publicznych może wynosić nawet 40 lat. W tym czasie beneficjent, np. jednostka sektora publicznego, zobowiązany jest do stałego monitorowania sposobu wykorzystania infrastruktury, w celu zapewnienia, że jest ona używana zgodnie z warunkami udzielonej pomocy publicznej.</w:t>
      </w:r>
    </w:p>
    <w:p w14:paraId="6C3AAC79" w14:textId="4B440DA0" w:rsidR="00006482" w:rsidRPr="00BF5004" w:rsidRDefault="00006482" w:rsidP="00006482">
      <w:pPr>
        <w:rPr>
          <w:b/>
          <w:bCs/>
        </w:rPr>
      </w:pPr>
      <w:r w:rsidRPr="00BF5004">
        <w:rPr>
          <w:b/>
          <w:bCs/>
        </w:rPr>
        <w:t>Kryteria dotyczące projektów w zakresie mieszkań treningowych/ wspomaganych</w:t>
      </w:r>
      <w:r w:rsidR="00776243">
        <w:rPr>
          <w:b/>
          <w:bCs/>
        </w:rPr>
        <w:t xml:space="preserve"> </w:t>
      </w:r>
    </w:p>
    <w:p w14:paraId="21F78BCE" w14:textId="5C9F4EC0" w:rsidR="00006482" w:rsidRDefault="00006482" w:rsidP="00006482">
      <w:r>
        <w:t xml:space="preserve">W przypadku </w:t>
      </w:r>
      <w:r w:rsidRPr="00CF6621">
        <w:t>Działani</w:t>
      </w:r>
      <w:r>
        <w:t xml:space="preserve">a </w:t>
      </w:r>
      <w:r w:rsidRPr="00CF6621">
        <w:t>8.24 Usługi społeczne i zdrowotne</w:t>
      </w:r>
      <w:r w:rsidR="00312857">
        <w:t>,</w:t>
      </w:r>
      <w:r>
        <w:t xml:space="preserve"> na niską skuteczność naboru konkurencyjnego n</w:t>
      </w:r>
      <w:r w:rsidRPr="00CF6621">
        <w:t>r FEKP.08.24-IZ.00-144/24</w:t>
      </w:r>
      <w:r>
        <w:t xml:space="preserve"> wpłynęły</w:t>
      </w:r>
      <w:r w:rsidRPr="002F5C03">
        <w:t xml:space="preserve"> kryteria finansowe wprowadzone w naborze:</w:t>
      </w:r>
    </w:p>
    <w:p w14:paraId="30BB1C67" w14:textId="3628D0E8" w:rsidR="00006482" w:rsidRDefault="00006482" w:rsidP="00103D76">
      <w:pPr>
        <w:pStyle w:val="Akapitzlist"/>
        <w:numPr>
          <w:ilvl w:val="0"/>
          <w:numId w:val="33"/>
        </w:numPr>
      </w:pPr>
      <w:r>
        <w:t xml:space="preserve">maksymalna wartość dofinansowania projektu stanowi nie więcej niż 3 </w:t>
      </w:r>
      <w:r w:rsidR="00FF6652">
        <w:t>mln</w:t>
      </w:r>
      <w:r>
        <w:t xml:space="preserve"> zł,</w:t>
      </w:r>
    </w:p>
    <w:p w14:paraId="153D6899" w14:textId="77777777" w:rsidR="00006482" w:rsidRDefault="00006482" w:rsidP="00103D76">
      <w:pPr>
        <w:pStyle w:val="Akapitzlist"/>
        <w:numPr>
          <w:ilvl w:val="0"/>
          <w:numId w:val="33"/>
        </w:numPr>
      </w:pPr>
      <w:r>
        <w:t>średni koszt dofinansowania przypadający na utworzenie i bieżące funkcjonowania jednego miejsca świadczenia usług w społeczności lokalnej</w:t>
      </w:r>
      <w:r w:rsidRPr="009D015E">
        <w:t xml:space="preserve"> </w:t>
      </w:r>
      <w:r>
        <w:t>nie przekracza 104 tys. zł.</w:t>
      </w:r>
    </w:p>
    <w:p w14:paraId="6FE26C80" w14:textId="625E3889" w:rsidR="00006482" w:rsidRDefault="00006482" w:rsidP="00006482">
      <w:r>
        <w:t xml:space="preserve">Zdaniem przedstawicieli instytucji organizującej nabór, </w:t>
      </w:r>
      <w:r w:rsidRPr="002F5C03">
        <w:t xml:space="preserve">tak niski limit kosztów uniemożliwia realizację pełnego cyklu wsparcia, zwłaszcza gdy projekt obejmował </w:t>
      </w:r>
      <w:r w:rsidRPr="002F5C03">
        <w:lastRenderedPageBreak/>
        <w:t>zarówno adaptację lub budowę mieszkań, jak i finansowanie usług w nich świadczonych. Realizacja w ramach takiego budżetu była możliwa praktycznie tylko wtedy, gdy wnioskodawca dysponował już gotową, dostosowaną infrastrukturą i finansowanie dotyczyło wyłącznie kosztów bieżących usług</w:t>
      </w:r>
      <w:r w:rsidR="00187517">
        <w:t xml:space="preserve">, choć, zdaniem przedstawicieli IZ, </w:t>
      </w:r>
      <w:r w:rsidR="00703FD6">
        <w:t>nawet wtedy przyjęty maksymalny koszt 104 tys. zł na utworzenie 1 miejsca</w:t>
      </w:r>
      <w:r w:rsidR="00A46033">
        <w:t xml:space="preserve"> może okazać się niewystarczający. </w:t>
      </w:r>
      <w:r w:rsidR="001E3F8D" w:rsidRPr="001E3F8D">
        <w:t>Samo roczne funkcjonowanie takiego mieszkania, obejmujące wynagrodzenia osób świadczących usługi – np. pracownika socjalnego, asystenta, psychologa czy trenera pracy – znacząco przekracza bowiem wskazany limit 104 tys. zł</w:t>
      </w:r>
      <w:r w:rsidR="001E3F8D">
        <w:t xml:space="preserve"> (</w:t>
      </w:r>
      <w:r w:rsidR="003C199F" w:rsidRPr="003C199F">
        <w:t>dodatkowym ograniczeniem jest limit maksymalnie 3 osób przypadających na jedno mieszkanie</w:t>
      </w:r>
      <w:r w:rsidR="00003DAB">
        <w:t>).</w:t>
      </w:r>
      <w:r w:rsidR="003C199F">
        <w:t xml:space="preserve"> </w:t>
      </w:r>
      <w:r w:rsidRPr="002F5C03">
        <w:t xml:space="preserve">Efektem tych ograniczeń było bardzo niskie zainteresowanie naborem – część potencjalnych </w:t>
      </w:r>
      <w:r w:rsidR="00936446">
        <w:t>wnioskodawców</w:t>
      </w:r>
      <w:r w:rsidR="00936446" w:rsidRPr="002F5C03">
        <w:t xml:space="preserve"> </w:t>
      </w:r>
      <w:r w:rsidRPr="002F5C03">
        <w:t>została wykluczona z przyczyn formalnych, a dla innych kryteria finansowe czyniły realizację projektów niemożliwą lub nieopłacalną.</w:t>
      </w:r>
      <w:r>
        <w:t xml:space="preserve"> </w:t>
      </w:r>
      <w:bookmarkStart w:id="14" w:name="Dz824"/>
      <w:r w:rsidRPr="00E95E26">
        <w:rPr>
          <w:b/>
          <w:bCs/>
          <w:color w:val="0F14D2" w:themeColor="accent1"/>
        </w:rPr>
        <w:t>Rekomendacja:</w:t>
      </w:r>
      <w:r w:rsidRPr="00E95E26">
        <w:rPr>
          <w:color w:val="0F14D2" w:themeColor="accent1"/>
        </w:rPr>
        <w:t xml:space="preserve"> </w:t>
      </w:r>
      <w:r>
        <w:t xml:space="preserve">Rekomenduje się zmianę warunków finansowych w kolejnych naborach w Działaniu 8.24 </w:t>
      </w:r>
      <w:r w:rsidR="00312857" w:rsidRPr="00312857">
        <w:t xml:space="preserve">Usługi społeczne i zdrowotne </w:t>
      </w:r>
      <w:r>
        <w:t>na typ projektów ukierunkowanych na r</w:t>
      </w:r>
      <w:r w:rsidRPr="00817BE0">
        <w:t>ozwój usług w mieszkaniach, w tym m.in. mieszkaniach treningowych i wspomaganych</w:t>
      </w:r>
      <w:r>
        <w:t xml:space="preserve"> (jeśli takie będą planowane – na chwilę obecną w harmonogramie naborów nie ma takiego naboru). </w:t>
      </w:r>
      <w:r w:rsidRPr="009D6676">
        <w:t>Rekomenduje się zwiększenie maksymalnej wartości projektu powyżej obecnego limitu 3 mln zł, tak aby umożliwić realizację przedsięwzięć obejmujących zarówno inwestycje, jak i finansowanie kosztów bieżących, a także podniesienie limitu kosztu dofinansowania na jedno miejsce (obecnie 104 tys. zł).</w:t>
      </w:r>
      <w:bookmarkEnd w:id="14"/>
    </w:p>
    <w:p w14:paraId="5C69702C" w14:textId="6081FA11" w:rsidR="00006482" w:rsidRDefault="00006482" w:rsidP="00006482">
      <w:pPr>
        <w:tabs>
          <w:tab w:val="num" w:pos="720"/>
        </w:tabs>
      </w:pPr>
      <w:r>
        <w:t xml:space="preserve">W przypadku Działania 8.24 w typie projektów ukierunkowanych na wsparcie </w:t>
      </w:r>
      <w:r w:rsidRPr="00817BE0">
        <w:t>mieszka</w:t>
      </w:r>
      <w:r>
        <w:t>ń</w:t>
      </w:r>
      <w:r w:rsidRPr="00817BE0">
        <w:t xml:space="preserve"> treningowych i wspomaganych</w:t>
      </w:r>
      <w:r>
        <w:t xml:space="preserve"> pojawił się również problem</w:t>
      </w:r>
      <w:r w:rsidR="00D83ECB">
        <w:t xml:space="preserve"> </w:t>
      </w:r>
      <w:r w:rsidR="006B0806">
        <w:t xml:space="preserve">rozbieżności </w:t>
      </w:r>
      <w:r w:rsidR="00401A17">
        <w:t xml:space="preserve">między wymaganiami stawianymi w </w:t>
      </w:r>
      <w:r w:rsidR="006B0806" w:rsidRPr="00D83ECB">
        <w:t>Wytyczny</w:t>
      </w:r>
      <w:r w:rsidR="00401A17">
        <w:t>ch</w:t>
      </w:r>
      <w:r w:rsidR="006B0806" w:rsidRPr="00D83ECB">
        <w:t xml:space="preserve"> dot. realizacji projektów z udziałem środków EFS Plus w regionalnych programach na lata 2021-2027</w:t>
      </w:r>
      <w:r>
        <w:t xml:space="preserve"> </w:t>
      </w:r>
      <w:r w:rsidR="00401A17">
        <w:t>(</w:t>
      </w:r>
      <w:r w:rsidR="005F0A94">
        <w:t xml:space="preserve">z którymi zgodne muszą być </w:t>
      </w:r>
      <w:r>
        <w:t>warunk</w:t>
      </w:r>
      <w:r w:rsidR="005F0A94">
        <w:t>i</w:t>
      </w:r>
      <w:r>
        <w:t xml:space="preserve"> </w:t>
      </w:r>
      <w:r w:rsidR="006B0806">
        <w:t>naboru</w:t>
      </w:r>
      <w:r w:rsidR="005F0A94">
        <w:t>)</w:t>
      </w:r>
      <w:r w:rsidR="006B0806">
        <w:t xml:space="preserve"> </w:t>
      </w:r>
      <w:r w:rsidR="005F0A94">
        <w:t>a zapisami</w:t>
      </w:r>
      <w:r>
        <w:t xml:space="preserve"> </w:t>
      </w:r>
      <w:r w:rsidR="005F0A94" w:rsidRPr="00AD2E86">
        <w:t>Rozporządzeni</w:t>
      </w:r>
      <w:r w:rsidR="005F0A94">
        <w:t>a</w:t>
      </w:r>
      <w:r w:rsidR="005F0A94" w:rsidRPr="00AD2E86">
        <w:t xml:space="preserve"> </w:t>
      </w:r>
      <w:r w:rsidRPr="00AD2E86">
        <w:t>Ministra Rodziny i Polityki Społecznej z dnia 30 października 2023 r. w sprawie mieszkań treningowych i wspomaganych</w:t>
      </w:r>
      <w:r w:rsidR="00DC5262">
        <w:t xml:space="preserve">. Ten drugi dokument </w:t>
      </w:r>
      <w:r w:rsidRPr="00AD2E86">
        <w:t>określa, że maksymalna liczba osób, które mogą mieszkać w jednym takim lokalu, to 6 osób.</w:t>
      </w:r>
      <w:r>
        <w:t xml:space="preserve"> Przyjęte</w:t>
      </w:r>
      <w:r w:rsidR="00DC5262">
        <w:t xml:space="preserve"> </w:t>
      </w:r>
      <w:r>
        <w:t>w FEdKP 2021-2027</w:t>
      </w:r>
      <w:r w:rsidR="00DC5262">
        <w:t>, zgodnie z Wytycznymi,</w:t>
      </w:r>
      <w:r>
        <w:t xml:space="preserve"> kryterium C.14 </w:t>
      </w:r>
      <w:r w:rsidRPr="000E69F3">
        <w:rPr>
          <w:b/>
          <w:bCs/>
        </w:rPr>
        <w:t>Dopuszczalna liczba miejsc w mieszkaniu treningowym/ wspomaganym</w:t>
      </w:r>
      <w:r>
        <w:t xml:space="preserve"> określa tę wartość na poziomie maksymalnie 3 osób</w:t>
      </w:r>
      <w:r w:rsidR="00AB1F68">
        <w:rPr>
          <w:rStyle w:val="Odwoanieprzypisudolnego"/>
        </w:rPr>
        <w:footnoteReference w:id="61"/>
      </w:r>
      <w:r>
        <w:t>. W efekcie c</w:t>
      </w:r>
      <w:r w:rsidRPr="000E69F3">
        <w:t>zęść wnioskodawców (np. prowadzących większe mieszkania) nie mogła w ogóle aplikować lub musiała przygotować projekt w sposób nieefektywny kosztowo (utrzymywanie lokali poniżej dopuszczalnej pojemności).</w:t>
      </w:r>
      <w:r>
        <w:t xml:space="preserve"> </w:t>
      </w:r>
      <w:r w:rsidRPr="000E69F3">
        <w:t>Kryterium to było postrzegane jako zawężające, nie wynikające z wymogów prawa krajowego.</w:t>
      </w:r>
      <w:r>
        <w:t xml:space="preserve"> </w:t>
      </w:r>
      <w:r w:rsidRPr="000E69F3">
        <w:t xml:space="preserve">W praktyce powodowało mniejszą opłacalność projektów i ograniczało </w:t>
      </w:r>
      <w:r w:rsidRPr="000E69F3">
        <w:lastRenderedPageBreak/>
        <w:t xml:space="preserve">liczbę potencjalnych </w:t>
      </w:r>
      <w:r w:rsidR="00936446">
        <w:t>wnioskodawców</w:t>
      </w:r>
      <w:r w:rsidRPr="000E69F3">
        <w:t>.</w:t>
      </w:r>
      <w:r w:rsidR="005239DB">
        <w:t xml:space="preserve"> Ze względu</w:t>
      </w:r>
      <w:r w:rsidR="00A578C6">
        <w:t xml:space="preserve"> na</w:t>
      </w:r>
      <w:r w:rsidR="005239DB">
        <w:t xml:space="preserve"> </w:t>
      </w:r>
      <w:r w:rsidR="002F5511">
        <w:t xml:space="preserve">zapisy nadrzędnego dokumentu, jakim są Wytyczne, IZ nie ma możliwości złagodzenia </w:t>
      </w:r>
      <w:r w:rsidR="002A6E2E">
        <w:t xml:space="preserve">tego </w:t>
      </w:r>
      <w:r w:rsidR="002F5511">
        <w:t>kryterium</w:t>
      </w:r>
      <w:r w:rsidR="002A6E2E">
        <w:t>.</w:t>
      </w:r>
      <w:r w:rsidR="00DF142C">
        <w:t xml:space="preserve"> </w:t>
      </w:r>
    </w:p>
    <w:p w14:paraId="4AC06A38" w14:textId="77777777" w:rsidR="00006482" w:rsidRPr="00D31BD7" w:rsidRDefault="00006482" w:rsidP="00006482">
      <w:pPr>
        <w:rPr>
          <w:b/>
          <w:bCs/>
        </w:rPr>
      </w:pPr>
      <w:r w:rsidRPr="00D31BD7">
        <w:rPr>
          <w:b/>
          <w:bCs/>
        </w:rPr>
        <w:t xml:space="preserve">Kryterium dotyczące </w:t>
      </w:r>
      <w:r w:rsidRPr="00A21EFE">
        <w:rPr>
          <w:b/>
          <w:bCs/>
        </w:rPr>
        <w:t>gotowości projektowej</w:t>
      </w:r>
    </w:p>
    <w:p w14:paraId="52B7CFEB" w14:textId="77777777" w:rsidR="00006482" w:rsidRDefault="00006482" w:rsidP="00006482">
      <w:r>
        <w:t xml:space="preserve">Zdaniem przedstawicieli instytucji organizujących nabory oraz samych wnioskodawców, </w:t>
      </w:r>
      <w:r w:rsidRPr="00A21EFE">
        <w:t>wymóg posiadania pełnej gotowości projektowej już na etapie składania wniosku o dofinansowanie stanowi jedną z głównych barier dla wielu jednostek samorządu terytorialnego, zwłaszcza mniejszych i dysponujących ograniczonym potencjałem kadrowym. Gotowość ta oznacza konieczność posiadania kompletu dokumentów formalno-prawnych – w tym prawomocnego pozwolenia na budowę, decyzji środowiskowych czy pełnej dokumentacji technicznej – jeszcze przed złożeniem aplikacji.</w:t>
      </w:r>
    </w:p>
    <w:p w14:paraId="70B04196" w14:textId="719706B3" w:rsidR="00006482" w:rsidRDefault="00006482" w:rsidP="00006482">
      <w:r>
        <w:t>Jak wynika z badania ilościowego z wnioskodawcami FEdKP 2021-2027, w przypadku 63,</w:t>
      </w:r>
      <w:r w:rsidR="00FB4AA9">
        <w:t>4</w:t>
      </w:r>
      <w:r>
        <w:t>% respondentów, projekt w momencie ogłoszenia naboru był zaawansowany, najczęściej część dokumentów była przygotowana a cz</w:t>
      </w:r>
      <w:r w:rsidR="00FB4AA9">
        <w:t>ę</w:t>
      </w:r>
      <w:r>
        <w:t xml:space="preserve">ść w procesie tworzenia lub pozyskiwania. </w:t>
      </w:r>
    </w:p>
    <w:p w14:paraId="34D101D1" w14:textId="5AF4A740" w:rsidR="00006482" w:rsidRPr="00141A4C" w:rsidRDefault="00006482" w:rsidP="00006482">
      <w:pPr>
        <w:pStyle w:val="Legenda"/>
      </w:pPr>
      <w:r w:rsidRPr="00141A4C">
        <w:t xml:space="preserve">Wykres </w:t>
      </w:r>
      <w:fldSimple w:instr=" SEQ Wykres \* ARABIC ">
        <w:r w:rsidR="00541DFA">
          <w:rPr>
            <w:noProof/>
          </w:rPr>
          <w:t>23</w:t>
        </w:r>
      </w:fldSimple>
      <w:r w:rsidRPr="00141A4C">
        <w:t xml:space="preserve"> Ocena </w:t>
      </w:r>
      <w:r w:rsidRPr="00A3287C">
        <w:t>stop</w:t>
      </w:r>
      <w:r>
        <w:t>nia</w:t>
      </w:r>
      <w:r w:rsidRPr="00A3287C">
        <w:t xml:space="preserve"> przygotowania projektu w momencie ogłoszenia naboru</w:t>
      </w:r>
    </w:p>
    <w:p w14:paraId="513F7F2C" w14:textId="77777777" w:rsidR="00006482" w:rsidRDefault="00006482" w:rsidP="00006482">
      <w:r>
        <w:rPr>
          <w:noProof/>
        </w:rPr>
        <w:drawing>
          <wp:inline distT="0" distB="0" distL="0" distR="0" wp14:anchorId="5549F993" wp14:editId="0F2BFBC7">
            <wp:extent cx="5676265" cy="2996419"/>
            <wp:effectExtent l="0" t="0" r="635" b="13970"/>
            <wp:docPr id="275046646" name="Wykres 1" descr="Wykres przedstawia odpowiedzi na pytanie z kwestionariusza „Jaki był stopień przygotowania projektu pn. %tytul% w momencie ogłoszenia naboru, do którego został złożony?”.&#10;&#10;11,5% respondentów wskazało, że mieli jedynie ogólny pomysł lub wstępną koncepcję projektu.&#10;10,6% zadeklarowało, że znali główne cele i działania, ale projekt nie był jeszcze opracowany.&#10;14,4% miało przygotowane główne założenia projektu, takie jak cele, grupy docelowe czy zakres rzeczowy.&#10;Największa grupa, 44,2%, oceniła, że projekt był częściowo gotowy – część dokumentów była przygotowana, a pozostałe w trakcie opracowania.&#10;19,2% badanych wskazało, że projekt był w pełni gotowy i posiadał pełną dokumentację, w tym m.in. biznesplan, kosztorys, studium wykonalności czy analizy.">
              <a:extLst xmlns:a="http://schemas.openxmlformats.org/drawingml/2006/main">
                <a:ext uri="{FF2B5EF4-FFF2-40B4-BE49-F238E27FC236}">
                  <a16:creationId xmlns:a16="http://schemas.microsoft.com/office/drawing/2014/main" id="{C57F80CE-7ADB-42AA-80CA-96C32C7893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0BFEA96F" w14:textId="2838154E" w:rsidR="00006482" w:rsidRPr="00A21EFE" w:rsidRDefault="00006482" w:rsidP="00077CA0">
      <w:pPr>
        <w:pStyle w:val="rdo"/>
      </w:pPr>
      <w:r>
        <w:t>Źródło: badanie ilościowe wśród wnioskodawców FEdKP 2021-2027, n=104.</w:t>
      </w:r>
      <w:r w:rsidR="00377C1B">
        <w:t xml:space="preserve"> Odpowiedź na pytanie „</w:t>
      </w:r>
      <w:r w:rsidR="000900F7" w:rsidRPr="000900F7">
        <w:t>Jaki był stopień przygotowania projektu pn. [tytuł projektu] w momencie ogłoszenia naboru, do którego został złożony?</w:t>
      </w:r>
      <w:r w:rsidR="000900F7">
        <w:t>”</w:t>
      </w:r>
      <w:r w:rsidR="00B43E71">
        <w:t>.</w:t>
      </w:r>
      <w:r w:rsidR="00BA7E01">
        <w:t xml:space="preserve"> Wartości mogą nie sumować się do 100,0% z powodu zaokrągleń</w:t>
      </w:r>
      <w:r w:rsidR="00BA7E01" w:rsidRPr="0099411C">
        <w:t>.</w:t>
      </w:r>
    </w:p>
    <w:p w14:paraId="43B6B0C2" w14:textId="77777777" w:rsidR="00006482" w:rsidRPr="00D31BD7" w:rsidRDefault="00006482" w:rsidP="00006482">
      <w:pPr>
        <w:rPr>
          <w:b/>
          <w:bCs/>
        </w:rPr>
      </w:pPr>
      <w:r w:rsidRPr="00D31BD7">
        <w:rPr>
          <w:b/>
          <w:bCs/>
        </w:rPr>
        <w:t xml:space="preserve">Czasochłonność i trudność przygotowania dokumentacji projektowej </w:t>
      </w:r>
    </w:p>
    <w:p w14:paraId="52A7ED79" w14:textId="77777777" w:rsidR="00006482" w:rsidRPr="00A21EFE" w:rsidRDefault="00006482" w:rsidP="00006482">
      <w:r w:rsidRPr="00A21EFE">
        <w:t xml:space="preserve">Proces uzyskania tych dokumentów jest czasochłonny i często wymaga wielu miesięcy, a w przypadku inwestycji o większej skali – nawet roku lub dłużej. JST </w:t>
      </w:r>
      <w:r w:rsidRPr="00A21EFE">
        <w:lastRenderedPageBreak/>
        <w:t>muszą przejść przez liczne procedury administracyjne, w tym uzgodnienia z innymi instytucjami, postępowania środowiskowe, a czasem także konsultacje społeczne. Każdy z tych etapów może wiązać się z koniecznością wprowadzania poprawek, co dodatkowo wydłuża czas przygotowania.</w:t>
      </w:r>
    </w:p>
    <w:p w14:paraId="0F4E237C" w14:textId="77777777" w:rsidR="00006482" w:rsidRPr="00A21EFE" w:rsidRDefault="00006482" w:rsidP="00006482">
      <w:r w:rsidRPr="00A21EFE">
        <w:t>Problem nasila się w sytuacjach, gdy harmonogram naborów przewiduje krótkie terminy składania wniosków lub gdy konkursy są ogłaszane w momencie, gdy JST nie rozpoczęły jeszcze formalnego przygotowania inwestycji. W takich przypadkach, nawet przy posiadaniu koncepcji projektu i zabezpieczonych środków na wkład własny, brak wymaganych decyzji formalnych uniemożliwia złożenie wniosku.</w:t>
      </w:r>
    </w:p>
    <w:p w14:paraId="43B40E6F" w14:textId="77777777" w:rsidR="00006482" w:rsidRDefault="00006482" w:rsidP="00006482">
      <w:r w:rsidRPr="00A21EFE">
        <w:t xml:space="preserve">Zdaniem przedstawicieli instytucji, taki wymóg faworyzuje duże samorządy i podmioty z dużym zapleczem technicznym oraz doświadczeniem w realizacji projektów, jednocześnie </w:t>
      </w:r>
      <w:r>
        <w:t>utrudniając</w:t>
      </w:r>
      <w:r w:rsidRPr="00A21EFE">
        <w:t xml:space="preserve"> udział w konkursach mniejsz</w:t>
      </w:r>
      <w:r>
        <w:t>ym</w:t>
      </w:r>
      <w:r w:rsidRPr="00A21EFE">
        <w:t xml:space="preserve"> gmin</w:t>
      </w:r>
      <w:r>
        <w:t>om,</w:t>
      </w:r>
      <w:r w:rsidRPr="00A21EFE">
        <w:t xml:space="preserve"> które nie są w stanie w tak krótkim czasie zapewnić pełnej gotowości projektowej.</w:t>
      </w:r>
    </w:p>
    <w:p w14:paraId="6D9A8F9D" w14:textId="77777777" w:rsidR="00006482" w:rsidRDefault="00006482" w:rsidP="00006482">
      <w:r>
        <w:t xml:space="preserve">W tym kontekście pozytywnie należy ocenić złagodzenie kryterium gotowości technicznej projektu do realizacji wprowadzone w 2024 roku, które obecnie sprawdza, czy na moment złożenia wniosku o dofinansowanie wnioskodawca posiada prawo do dysponowania gruntami lub obiektami na cele inwestycji, posiada wymaganą dokumentację techniczną i projektową, wymagane prawem decyzje, uzgodnienia i pozwolenia administracyjne. </w:t>
      </w:r>
      <w:r w:rsidRPr="008D1CDD">
        <w:t>Jeśli pozwolenie na budowę nie jest prawomocne w momencie składania wniosku, to po wyborze projektu do dofinansowania trzeba przedłożyć decyzję o pozwoleniu, opatrzoną klauzulą ostateczności, w terminie wskazanym w umowie o dofinansowanie, jednak nie później niż 12 miesięcy od daty uchwały zarządu województwa zatwierdzającej wybór projektu do dofinansowania.</w:t>
      </w:r>
      <w:r>
        <w:t xml:space="preserve"> Wprowadzona zmiana niesie jednakże również ryzyko opóźnień w podpisywaniu umów o dofinansowanie. </w:t>
      </w:r>
    </w:p>
    <w:p w14:paraId="5D846B53" w14:textId="77777777" w:rsidR="00006482" w:rsidRPr="008D1CDD" w:rsidRDefault="00006482" w:rsidP="00006482">
      <w:r>
        <w:t xml:space="preserve">Jak wynika z wywiadu z przedstawicielami IZ, rozważane są kolejne uproszczenia polegające na przeniesieniu weryfikacji niektórych wymagań z etapu wniosku o dofinansowanie na etap przed podpisaniem umowy, np. </w:t>
      </w:r>
      <w:r w:rsidRPr="00C324FF">
        <w:t>dokument</w:t>
      </w:r>
      <w:r>
        <w:t xml:space="preserve">ów </w:t>
      </w:r>
      <w:r w:rsidRPr="00C324FF">
        <w:t>potwierdzając</w:t>
      </w:r>
      <w:r>
        <w:t>ych</w:t>
      </w:r>
      <w:r w:rsidRPr="00C324FF">
        <w:t xml:space="preserve">, że </w:t>
      </w:r>
      <w:r>
        <w:t xml:space="preserve">wnioskodawca </w:t>
      </w:r>
      <w:r w:rsidRPr="00C324FF">
        <w:t>nie ma zaległości wobec organów administracji publicznej, takich jak niewypłacone podatki, składki ZUS czy inne zobowiązania publicznoprawne.</w:t>
      </w:r>
    </w:p>
    <w:p w14:paraId="3C164192" w14:textId="0A960D22" w:rsidR="00006482" w:rsidRPr="00A21EFE" w:rsidRDefault="00006482" w:rsidP="00006482">
      <w:r>
        <w:t>Pozyskanie lub przygotowanie wszystkich dokumentów niezbędnych na etapie aplikowania wymaga</w:t>
      </w:r>
      <w:r w:rsidR="000D3260">
        <w:t>ło od części</w:t>
      </w:r>
      <w:r>
        <w:t xml:space="preserve"> wnioskodawców zarówno </w:t>
      </w:r>
      <w:r w:rsidR="000D3260">
        <w:t>ponadprzeciętnego nakładu</w:t>
      </w:r>
      <w:r>
        <w:t xml:space="preserve"> czasu, pracy, jak też poniesienia kosztów. Dotyczy to w głównej mierze projektów EFRR.</w:t>
      </w:r>
    </w:p>
    <w:p w14:paraId="3CDE3F87" w14:textId="0525AB27" w:rsidR="00006482" w:rsidRPr="00141A4C" w:rsidRDefault="00006482" w:rsidP="00006482">
      <w:pPr>
        <w:pStyle w:val="Legenda"/>
      </w:pPr>
      <w:r w:rsidRPr="00141A4C">
        <w:lastRenderedPageBreak/>
        <w:t xml:space="preserve">Wykres </w:t>
      </w:r>
      <w:fldSimple w:instr=" SEQ Wykres \* ARABIC ">
        <w:r w:rsidR="00541DFA">
          <w:rPr>
            <w:noProof/>
          </w:rPr>
          <w:t>24</w:t>
        </w:r>
      </w:fldSimple>
      <w:r w:rsidRPr="00141A4C">
        <w:t xml:space="preserve"> Ocena </w:t>
      </w:r>
      <w:r>
        <w:t xml:space="preserve">trudności wymagań stawianych dokumentacji projektowej </w:t>
      </w:r>
    </w:p>
    <w:p w14:paraId="2CD39686" w14:textId="398282E1" w:rsidR="004D30AB" w:rsidRDefault="001B0790" w:rsidP="00006482">
      <w:r w:rsidRPr="008C41E8">
        <w:rPr>
          <w:noProof/>
          <w:sz w:val="22"/>
        </w:rPr>
        <w:drawing>
          <wp:inline distT="0" distB="0" distL="0" distR="0" wp14:anchorId="4BD4C66A" wp14:editId="273D1B20">
            <wp:extent cx="5836258" cy="3077155"/>
            <wp:effectExtent l="0" t="0" r="12700" b="9525"/>
            <wp:docPr id="2078807889" name="Wykres 1" descr="Wykres przedstawia odpowiedzi na pytanie z kwestionariusza „Czy – Państwa zdaniem – we wniosku o dofinansowanie lub wśród wymaganych załączników znajdowały się elementy, które:”.&#10;1. Wymagały ponadprzeciętnego nakładu czasu i pracy&#10;&#10;Tak: 10,6%&#10;&#10;Raczej tak: 21,2%&#10;&#10;Raczej nie: 53,8%&#10;&#10;Nie: 7,7%&#10;&#10;Nie wiem / trudno: 6,7%&#10;&#10;2. Wiązały się z istotnymi kosztami przygotowania (np. konieczność zlecenia opracowań zewnętrznych)&#10;&#10;Tak: 17,3%&#10;&#10;Raczej tak: 29,8%&#10;&#10;Raczej nie: 37,5%&#10;&#10;Nie: 11,5%&#10;&#10;Nie wiem / trudno: 3,8%&#10;&#10;3. Wymagały pozyskania trudnodostępnych danych lub dokumentów&#10;&#10;Tak: 7,7%&#10;&#10;Raczej tak: 7,7%&#10;&#10;Raczej nie: 62,5%&#10;&#10;Nie: 18,3%&#10;&#10;Nie wiem / trudno: 3,8%">
              <a:extLst xmlns:a="http://schemas.openxmlformats.org/drawingml/2006/main">
                <a:ext uri="{FF2B5EF4-FFF2-40B4-BE49-F238E27FC236}">
                  <a16:creationId xmlns:a16="http://schemas.microsoft.com/office/drawing/2014/main" id="{893FA725-A455-60A8-7DB7-AF40E84F967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3DC33B12" w14:textId="4E05E9B7" w:rsidR="00006482" w:rsidRPr="00A21EFE" w:rsidRDefault="00006482" w:rsidP="00077CA0">
      <w:pPr>
        <w:pStyle w:val="rdo"/>
      </w:pPr>
      <w:r>
        <w:t>Źródło: badanie ilościowe wśród wnioskodawców FEdKP 2021-2027, n=104</w:t>
      </w:r>
      <w:r w:rsidR="00BA7E01">
        <w:t>.</w:t>
      </w:r>
      <w:r w:rsidR="000D3260">
        <w:t xml:space="preserve"> </w:t>
      </w:r>
      <w:r w:rsidR="00BA7E01">
        <w:t>Wartości mogą nie sumować się do 100,0% z powodu zaokrągleń</w:t>
      </w:r>
      <w:r w:rsidR="00BA7E01" w:rsidRPr="0099411C">
        <w:t>.</w:t>
      </w:r>
      <w:r w:rsidR="00BA7E01" w:rsidDel="00BA7E01">
        <w:rPr>
          <w:rStyle w:val="Odwoaniedokomentarza"/>
          <w:rFonts w:eastAsiaTheme="minorHAnsi" w:cs="Calibri"/>
          <w:iCs w:val="0"/>
          <w:lang w:eastAsia="en-US"/>
        </w:rPr>
        <w:t xml:space="preserve"> </w:t>
      </w:r>
    </w:p>
    <w:p w14:paraId="05BDE919" w14:textId="268CA0F1" w:rsidR="00006482" w:rsidRDefault="00006482" w:rsidP="00006482">
      <w:r>
        <w:t>Najbardziej wymagającymi dokumentami były studia wykonalności oraz plany inwestycji (73,3% wskazań wśród tych, którzy ocenili, że przygotowanie dokumentów wymaga znacznych nakładów</w:t>
      </w:r>
      <w:r w:rsidR="004C3E66">
        <w:t xml:space="preserve">, tj. </w:t>
      </w:r>
      <w:r w:rsidR="004F7EAC">
        <w:t>tych których odpowiedzi na Wykresie 24 to „tak” i „raczej tak”</w:t>
      </w:r>
      <w:r>
        <w:t>). Na kolejnym miejscu znalazły się p</w:t>
      </w:r>
      <w:r w:rsidRPr="00DC0FFA">
        <w:t>rognozy wskaźników i efektów projektu</w:t>
      </w:r>
      <w:r>
        <w:t xml:space="preserve"> a także a</w:t>
      </w:r>
      <w:r w:rsidRPr="00DC0FFA">
        <w:t>udyty, ekspertyzy, analizy specjalistyczne</w:t>
      </w:r>
      <w:r>
        <w:t xml:space="preserve">. Dla 15,0% badanych wyzwanie stanowiły elementy finansowe wniosku – </w:t>
      </w:r>
      <w:r w:rsidRPr="002A55CC">
        <w:t>szczegółowy budżet projektu, harmonogram wydatków, uzasadnienie kosztów</w:t>
      </w:r>
      <w:r>
        <w:t xml:space="preserve">. </w:t>
      </w:r>
    </w:p>
    <w:p w14:paraId="61A42977" w14:textId="7087A969" w:rsidR="00006482" w:rsidRPr="00141A4C" w:rsidRDefault="00006482" w:rsidP="00006482">
      <w:pPr>
        <w:pStyle w:val="Legenda"/>
      </w:pPr>
      <w:r w:rsidRPr="00141A4C">
        <w:lastRenderedPageBreak/>
        <w:t xml:space="preserve">Wykres </w:t>
      </w:r>
      <w:fldSimple w:instr=" SEQ Wykres \* ARABIC ">
        <w:r w:rsidR="00541DFA">
          <w:rPr>
            <w:noProof/>
          </w:rPr>
          <w:t>25</w:t>
        </w:r>
      </w:fldSimple>
      <w:r w:rsidRPr="00141A4C">
        <w:t xml:space="preserve"> </w:t>
      </w:r>
      <w:r>
        <w:t>Najbardziej wymagające dokumenty projektowe</w:t>
      </w:r>
    </w:p>
    <w:p w14:paraId="71D79BB6" w14:textId="77777777" w:rsidR="00006482" w:rsidRDefault="00006482" w:rsidP="00006482">
      <w:r>
        <w:rPr>
          <w:noProof/>
        </w:rPr>
        <w:drawing>
          <wp:inline distT="0" distB="0" distL="0" distR="0" wp14:anchorId="14B330B7" wp14:editId="1FCEA000">
            <wp:extent cx="5716905" cy="3705225"/>
            <wp:effectExtent l="0" t="0" r="17145" b="9525"/>
            <wp:docPr id="1076211680" name="Wykres 1" descr="Wykres przedstawia odpowiedź na pytanie Które z poniższych dokumentów lub elementów przygotowania wniosku były najbardziej wymagające dla Państwa organizacji?&#10;Studium wykonalności | Plan inwestycji 73,3%&#10;Prognozy wskaźników i efektów projektu 28,3%&#10;Audyty, ekspertyzy, analizy specjalistyczne 21,7%&#10;Załączniki finansowe i budżetowe (szczegółowy budżet projektu, harmonogram wydatków, uzasadnienie kosztów) 15,0%&#10;Dokumenty strategiczne wymagane przy aplikowaniu (np. strategie, plany, SUMP) 6,7%&#10;Dokumenty potwierdzające prawo do dysponowania nieruchomością 5,0%&#10;Analiza popytu, analiza potrzeb społecznych lub rynkowych 3,3%&#10;&#10;">
              <a:extLst xmlns:a="http://schemas.openxmlformats.org/drawingml/2006/main">
                <a:ext uri="{FF2B5EF4-FFF2-40B4-BE49-F238E27FC236}">
                  <a16:creationId xmlns:a16="http://schemas.microsoft.com/office/drawing/2014/main" id="{5A1200C1-4CA9-05A0-6F34-FF86F150D6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2E4F24B6" w14:textId="7558E139" w:rsidR="00006482" w:rsidRPr="00DC52B9" w:rsidRDefault="00006482" w:rsidP="001966A2">
      <w:pPr>
        <w:pStyle w:val="rdo"/>
      </w:pPr>
      <w:r>
        <w:t>Źródło: badanie ilościowe wśród wnioskodawców FEdKP 2021-2027, n=60, pokazano wartości &gt; 2%</w:t>
      </w:r>
      <w:r w:rsidR="00BA7E01">
        <w:t>.</w:t>
      </w:r>
      <w:r w:rsidR="00F15B2B">
        <w:t xml:space="preserve"> </w:t>
      </w:r>
      <w:r w:rsidR="00CF29F2">
        <w:t>Odpowiedź na pytanie „</w:t>
      </w:r>
      <w:r w:rsidR="00CF29F2" w:rsidRPr="00CF29F2">
        <w:t>Które z poniższych dokumentów lub elementów przygotowania wniosku były najbardziej wymagające dla Państwa organizacji?</w:t>
      </w:r>
      <w:r w:rsidR="00CF29F2">
        <w:t>”</w:t>
      </w:r>
      <w:r w:rsidR="00C82706">
        <w:t>.</w:t>
      </w:r>
      <w:r w:rsidR="00BA7E01" w:rsidRPr="00BA7E01">
        <w:t xml:space="preserve"> Wartości nie sumują się do 100,0%, ponieważ każdy respondent mógł wybrać więcej niż 1 odpowiedź.</w:t>
      </w:r>
    </w:p>
    <w:p w14:paraId="2D401EE7"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 xml:space="preserve">Niedoskonałości systemów informatycznych </w:t>
      </w:r>
    </w:p>
    <w:p w14:paraId="0FEE5405" w14:textId="72C2D6E8" w:rsidR="00006482" w:rsidRPr="0093238E" w:rsidRDefault="00006482" w:rsidP="00006482">
      <w:r>
        <w:t xml:space="preserve">W przypadku naborów w ramach EFS+ </w:t>
      </w:r>
      <w:r w:rsidRPr="00211894">
        <w:rPr>
          <w:b/>
          <w:bCs/>
        </w:rPr>
        <w:t>s</w:t>
      </w:r>
      <w:r w:rsidRPr="0093238E">
        <w:rPr>
          <w:b/>
          <w:bCs/>
        </w:rPr>
        <w:t xml:space="preserve">ystem </w:t>
      </w:r>
      <w:r w:rsidRPr="00211894">
        <w:rPr>
          <w:b/>
          <w:bCs/>
        </w:rPr>
        <w:t xml:space="preserve">informatyczny </w:t>
      </w:r>
      <w:r w:rsidRPr="0093238E">
        <w:rPr>
          <w:b/>
          <w:bCs/>
        </w:rPr>
        <w:t>SOWA</w:t>
      </w:r>
      <w:r w:rsidRPr="0093238E">
        <w:t xml:space="preserve"> w obecnym kształcie utrudnia zarówno przygotowanie, jak i ocenę wniosków o dofinansowanie. </w:t>
      </w:r>
      <w:r w:rsidRPr="0093238E">
        <w:rPr>
          <w:b/>
          <w:bCs/>
        </w:rPr>
        <w:t>Budżet wniosku</w:t>
      </w:r>
      <w:r w:rsidRPr="0093238E">
        <w:t xml:space="preserve"> prezentowany jest w formie ogólnych pozycji zbiorczych, bez szczegółowego rozbicia na elementy (np. brak informacji o liczbie miesięcy, stawkach jednostkowych czy ilości jednostek). Wnioskodawcy muszą samodzielnie przygotowywać kalkulacje poza systemem i wprowadzać je w formie opisowej w polu uzasadnienia, co zwiększa ryzyko pominięć i błędów. Brak automatycznych wyliczeń oraz konieczność prowadzenia opisów poza strukturą budżetu wydłuża proces przygotowania wniosków i oceny merytorycznej. </w:t>
      </w:r>
      <w:r>
        <w:t>Jak wynika z wywiadów pogłębionych z przedstawicielami instytucji, uwagi do systemu były zgłaszane do administratora systemu</w:t>
      </w:r>
      <w:r w:rsidR="00B34724">
        <w:t>,</w:t>
      </w:r>
      <w:r>
        <w:t xml:space="preserve"> </w:t>
      </w:r>
      <w:r w:rsidR="00B34724">
        <w:t xml:space="preserve">czyli MFiPR, </w:t>
      </w:r>
      <w:r>
        <w:t>nie tylko przez województwo kujawsko-pomorskie, ale p</w:t>
      </w:r>
      <w:r w:rsidRPr="0093238E">
        <w:t>ostulaty regionów dotyczące wprowadzenia szczegółowego budżetu i większej elastyczności nie zostały dotychczas uwzględnione.</w:t>
      </w:r>
      <w:r>
        <w:t xml:space="preserve"> </w:t>
      </w:r>
      <w:r w:rsidRPr="00E95E26">
        <w:rPr>
          <w:b/>
          <w:bCs/>
          <w:color w:val="0F14D2" w:themeColor="accent1"/>
        </w:rPr>
        <w:t>Zalecenie:</w:t>
      </w:r>
      <w:r w:rsidRPr="00E95E26">
        <w:rPr>
          <w:color w:val="0F14D2" w:themeColor="accent1"/>
        </w:rPr>
        <w:t xml:space="preserve"> </w:t>
      </w:r>
      <w:r>
        <w:t xml:space="preserve">Niezrealizowanym postulatem pozostaje takie zmodyfikowanie systemu SOWA, </w:t>
      </w:r>
      <w:r w:rsidRPr="0093238E">
        <w:t xml:space="preserve">aby budżet wniosku umożliwiał wprowadzanie szczegółowych pozycji z automatycznym </w:t>
      </w:r>
      <w:r w:rsidRPr="0093238E">
        <w:lastRenderedPageBreak/>
        <w:t xml:space="preserve">wyliczaniem kosztów, na wzór rozwiązań stosowanych w poprzednich generatorach. </w:t>
      </w:r>
      <w:r>
        <w:t>Konieczne jest uzupełnienie schematu</w:t>
      </w:r>
      <w:r w:rsidRPr="0093238E">
        <w:t xml:space="preserve"> budżet</w:t>
      </w:r>
      <w:r>
        <w:t>u</w:t>
      </w:r>
      <w:r w:rsidRPr="0093238E">
        <w:t xml:space="preserve"> o mechanizm pozwalający wprost przypisać koszty do poszczególnych działań i zadań projektowych. </w:t>
      </w:r>
    </w:p>
    <w:p w14:paraId="4519FDF6" w14:textId="1E2887D7" w:rsidR="00006482" w:rsidRPr="00293555" w:rsidRDefault="00006482" w:rsidP="00006482">
      <w:r>
        <w:t xml:space="preserve">Kolejnym problemem jaki generuje system SOWA jest </w:t>
      </w:r>
      <w:r w:rsidRPr="00293555">
        <w:t xml:space="preserve">rozbudowany zestaw tzw. </w:t>
      </w:r>
      <w:r w:rsidRPr="00293555">
        <w:rPr>
          <w:b/>
          <w:bCs/>
        </w:rPr>
        <w:t>wskaźników wspólnych</w:t>
      </w:r>
      <w:r w:rsidRPr="00293555">
        <w:t>, które muszą być uwzględniane we wniosku o dofinansowanie niezależnie od tego, czy projekt ich faktycznie dotyczy. Oznacza to, że wnioskodawca jest zobowiązany do wprowadzenia wartości „0” oraz opisania sposobu monitorowania wskaźnika na wypadek, gdyby w trakcie realizacji pojawił się uczestnik spełniający daną kategorię. Takie podejście powoduje dodatkowe obciążenie administracyjne, jest często niezrozumiałe dla wnioskodawców i nie wnosi merytorycznej wartości w przypadku projektów, których wskaźniki te nie dotyczą. W praktyce wydłuża to czas przygotowania wniosku i zwiększa liczbę pytań oraz wątpliwości zgłaszanych do instytucji oceniającej.</w:t>
      </w:r>
      <w:r>
        <w:t xml:space="preserve"> </w:t>
      </w:r>
      <w:r w:rsidRPr="00E95E26">
        <w:rPr>
          <w:b/>
          <w:bCs/>
          <w:color w:val="0F14D2" w:themeColor="accent1"/>
        </w:rPr>
        <w:t>Zalecenie:</w:t>
      </w:r>
      <w:r w:rsidRPr="00E95E26">
        <w:rPr>
          <w:color w:val="0F14D2" w:themeColor="accent1"/>
        </w:rPr>
        <w:t xml:space="preserve"> </w:t>
      </w:r>
      <w:r>
        <w:t xml:space="preserve">Wskazane jest ograniczenie </w:t>
      </w:r>
      <w:r w:rsidRPr="00293555">
        <w:t>obowiąz</w:t>
      </w:r>
      <w:r>
        <w:t>ku</w:t>
      </w:r>
      <w:r w:rsidRPr="00293555">
        <w:t xml:space="preserve"> wprowadzania wskaźników wspólnych wyłącznie do tych projektów, których zakres rzeczowy faktycznie obejmuje dane zagadnienie</w:t>
      </w:r>
      <w:r>
        <w:t xml:space="preserve"> –</w:t>
      </w:r>
      <w:r w:rsidRPr="00293555">
        <w:t xml:space="preserve"> na podstawie informacji o typie projektu i grupie docelowej, tak aby wnioskodawca widział tylko wskaźniki adekwatne do swojego przedsięwzięcia. Pozwoli to skrócić czas przygotowania wniosku, zmniejszyć liczbę niepotrzebnych pól do wypełnienia i ułatwić proces oceny merytorycznej.</w:t>
      </w:r>
      <w:r w:rsidR="00777F77">
        <w:t xml:space="preserve"> Adresatem zalecenia jest MFiPR, jako </w:t>
      </w:r>
      <w:r w:rsidR="002B45B3">
        <w:t xml:space="preserve">administrator systemu SOWA. </w:t>
      </w:r>
    </w:p>
    <w:p w14:paraId="11309E69"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Niedostateczny potencjał wnioskodawców</w:t>
      </w:r>
    </w:p>
    <w:p w14:paraId="1139E608" w14:textId="37BB64AA" w:rsidR="00006482" w:rsidRDefault="00006482" w:rsidP="00006482">
      <w:r w:rsidRPr="004D1E69">
        <w:t xml:space="preserve">Potencjał aplikacyjny wnioskodawców w ramach </w:t>
      </w:r>
      <w:r>
        <w:t>FEdKP 2021-2027</w:t>
      </w:r>
      <w:r w:rsidRPr="004D1E69">
        <w:t xml:space="preserve"> jest zróżnicowany. Jednostki doświadczone, jak duże miasta czy powiatowe urzędy pracy, zazwyczaj radzą sobie dobrze z procedurami i przygotowują dokumentację wysokiej jakości, jednak w przypadku mniejszych gmin i nowych </w:t>
      </w:r>
      <w:r w:rsidR="00761F6D">
        <w:t>wnioskodawców</w:t>
      </w:r>
      <w:r w:rsidR="00761F6D" w:rsidRPr="004D1E69">
        <w:t xml:space="preserve"> </w:t>
      </w:r>
      <w:r w:rsidRPr="004D1E69">
        <w:t xml:space="preserve">proces ten bywa znacznie trudniejszy. </w:t>
      </w:r>
      <w:r w:rsidRPr="00BB34C8">
        <w:t xml:space="preserve">W przypadku małych gmin, przygotowaniem wszystkich projektów – niezależnie od ich tematyki czy źródła finansowania – często zajmuje się dwu- lub trzyosobowy zespół, a bywa, że nawet jedna osoba. Przy skumulowanych naborach oznacza to pracę w dużym przeciążeniu, konieczność </w:t>
      </w:r>
      <w:proofErr w:type="spellStart"/>
      <w:r w:rsidRPr="00BB34C8">
        <w:t>priorytetyzowania</w:t>
      </w:r>
      <w:proofErr w:type="spellEnd"/>
      <w:r w:rsidRPr="00BB34C8">
        <w:t xml:space="preserve"> tylko części przedsięwzięć i rezygnację z projektów</w:t>
      </w:r>
      <w:r>
        <w:t>, co jest częstym powodem odstępowania od wnioskowania w części naborów</w:t>
      </w:r>
      <w:r w:rsidRPr="00BB34C8">
        <w:t>. Z kolei większe miasta, powiaty czy duże instytucje, jak szpitale wojewódzkie, dysponują wyspecjalizowanymi komórkami zajmującymi się wyłącznie funduszami europejskimi lub inwestycjami. Mogą one prowadzić równolegle kilka procesów aplikacyjnych, planować projekty z dużym wyprzedzeniem, a także szybciej dostosowywać się do wymogów formalnych czy nowych regulacji.</w:t>
      </w:r>
    </w:p>
    <w:p w14:paraId="753A8A1C" w14:textId="77777777" w:rsidR="00006482" w:rsidRDefault="00006482" w:rsidP="00006482">
      <w:r w:rsidRPr="004D1E69">
        <w:t>Dodatkowym utrudnieniem</w:t>
      </w:r>
      <w:r>
        <w:t xml:space="preserve">, jak wynika z wywiadów pogłębionych, są </w:t>
      </w:r>
      <w:r w:rsidRPr="004D1E69">
        <w:t xml:space="preserve">rotacje kadry, </w:t>
      </w:r>
      <w:r>
        <w:t xml:space="preserve">w tym </w:t>
      </w:r>
      <w:r w:rsidRPr="004D1E69">
        <w:t xml:space="preserve">zwłaszcza </w:t>
      </w:r>
      <w:r>
        <w:t xml:space="preserve">decydentów </w:t>
      </w:r>
      <w:r w:rsidRPr="004D1E69">
        <w:t xml:space="preserve">po wyborach samorządowych, które mogą zmieniać priorytety inwestycyjne i wstrzymywać prace nad projektami. </w:t>
      </w:r>
    </w:p>
    <w:p w14:paraId="61D13FC4" w14:textId="77777777" w:rsidR="00006482" w:rsidRDefault="00006482" w:rsidP="00006482">
      <w:r>
        <w:lastRenderedPageBreak/>
        <w:t>Również wymagany</w:t>
      </w:r>
      <w:r w:rsidRPr="004D1E69">
        <w:t xml:space="preserve"> wkład własny</w:t>
      </w:r>
      <w:r>
        <w:t xml:space="preserve"> </w:t>
      </w:r>
      <w:r w:rsidRPr="004D1E69">
        <w:t xml:space="preserve">stanowi barierę finansową dla mniejszych jednostek i NGO, które często muszą rezygnować z ambitniejszych przedsięwzięć. </w:t>
      </w:r>
    </w:p>
    <w:p w14:paraId="33883C1D" w14:textId="2B119444" w:rsidR="00006482" w:rsidRDefault="00006482" w:rsidP="00006482">
      <w:r>
        <w:t>W</w:t>
      </w:r>
      <w:r w:rsidRPr="00F5414C">
        <w:t xml:space="preserve"> Programie obszary wymagające szczególnej uwagi i dodatkowej pomocy w przygotowaniu wniosków </w:t>
      </w:r>
      <w:r w:rsidRPr="00246723">
        <w:t xml:space="preserve">o dofinansowanie to przede wszystkim te, w których występują </w:t>
      </w:r>
      <w:r w:rsidRPr="00246723">
        <w:rPr>
          <w:b/>
          <w:bCs/>
        </w:rPr>
        <w:t>nowi wnioskodawcy</w:t>
      </w:r>
      <w:r w:rsidRPr="00246723">
        <w:t>, niemający wcześniejszego doświadczenia w realizacji projektów finansowanych</w:t>
      </w:r>
      <w:r w:rsidR="005167B3">
        <w:t xml:space="preserve"> ze środków europejskich</w:t>
      </w:r>
      <w:r w:rsidRPr="00246723">
        <w:t>. W przypadku takich podmiotów przygotowanie wniosku jest znacznie trudniejsze, wymaga większego nakładu pracy oraz intensywniejszego wsparcia doradczego i konsultacyjnego ze strony instytucji</w:t>
      </w:r>
      <w:r w:rsidR="009565D8">
        <w:t>, w tym</w:t>
      </w:r>
      <w:r w:rsidRPr="00246723">
        <w:t xml:space="preserve"> pośredniczącej. W odróżnieniu od doświadczonych </w:t>
      </w:r>
      <w:r w:rsidR="00351319">
        <w:t>wnioskodawców/</w:t>
      </w:r>
      <w:r w:rsidRPr="00246723">
        <w:t xml:space="preserve"> beneficjentów, nowe jednostki potrzebują bardziej szczegółowych wyjaśnień, wskazówek dotyczących zapisów we wniosku oraz bieżących konsultacji na etapie jego opracowywania. </w:t>
      </w:r>
      <w:r w:rsidRPr="00DC00EB">
        <w:t>W przypadku projektów niekonkurencyjnych, jak podkreślają m.in. przedstawiciele WUP, z takimi jednostkami prowadzone są indywidualne konsultacje dotyczące wniosku o dofinansowanie jeszcze przed jego złożeniem, w celu ograniczenia liczby poprawek na późniejszych etapach. W ramach tych konsultacji udzielane są wskazówki, jak prawidłowo sformułować poszczególne elementy wniosku, aby spełniał on wymagania formalne i merytoryczne.</w:t>
      </w:r>
    </w:p>
    <w:p w14:paraId="0C76EC52"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Alternatywne źródła wsparcia</w:t>
      </w:r>
    </w:p>
    <w:p w14:paraId="4954B9B7" w14:textId="77777777" w:rsidR="00006482" w:rsidRPr="00314EA0" w:rsidRDefault="00006482" w:rsidP="00006482">
      <w:r>
        <w:t>I</w:t>
      </w:r>
      <w:r w:rsidRPr="00314EA0">
        <w:t xml:space="preserve">stotnym czynnikiem </w:t>
      </w:r>
      <w:r>
        <w:t xml:space="preserve">zewnętrznym </w:t>
      </w:r>
      <w:r w:rsidRPr="00314EA0">
        <w:t xml:space="preserve">ograniczającym zainteresowanie naborami w ramach </w:t>
      </w:r>
      <w:r>
        <w:t>FEdKP 2021-2027</w:t>
      </w:r>
      <w:r w:rsidRPr="00314EA0">
        <w:t xml:space="preserve"> jest dostępność alternatywnych źródeł finansowania inwestycji, takich jak </w:t>
      </w:r>
      <w:r w:rsidRPr="00314EA0">
        <w:rPr>
          <w:b/>
          <w:bCs/>
        </w:rPr>
        <w:t>Rządowy Fundusz Polski Ład</w:t>
      </w:r>
      <w:r w:rsidRPr="00314EA0">
        <w:t xml:space="preserve"> czy środki z </w:t>
      </w:r>
      <w:r w:rsidRPr="00314EA0">
        <w:rPr>
          <w:b/>
          <w:bCs/>
        </w:rPr>
        <w:t>Krajowego Planu Odbudowy (KPO)</w:t>
      </w:r>
      <w:r w:rsidRPr="00314EA0">
        <w:t>.</w:t>
      </w:r>
    </w:p>
    <w:p w14:paraId="52657699" w14:textId="77777777" w:rsidR="00006482" w:rsidRPr="00314EA0" w:rsidRDefault="00006482" w:rsidP="00006482">
      <w:r w:rsidRPr="00314EA0">
        <w:t xml:space="preserve">Programy te oferują często prostsze procedury aplikacyjne, mniej skomplikowane wymagania formalne oraz krótszy czas oceny wniosków, co jest szczególnie istotne dla jednostek samorządu terytorialnego o ograniczonych zasobach kadrowych i doświadczeniu w realizacji projektów unijnych. W przypadku Polskiego Ładu dodatkową zachętą jest możliwość finansowania inwestycji w </w:t>
      </w:r>
      <w:r>
        <w:t xml:space="preserve">niemal </w:t>
      </w:r>
      <w:r w:rsidRPr="00314EA0">
        <w:t>100% bez konieczności wnoszenia wkładu własnego, co eliminuje jedną z głównych barier w aplikowaniu do programów unijnych.</w:t>
      </w:r>
      <w:r>
        <w:t xml:space="preserve"> </w:t>
      </w:r>
      <w:r w:rsidRPr="00D408C7">
        <w:t xml:space="preserve">Atutem środków krajowych są również mniej skomplikowane procedury, obejmujące uproszczone kryteria, ograniczoną liczbę wymaganych dokumentów oraz mniejsze wymogi dotyczące gotowości technicznej projektu na etapie składania wniosku. </w:t>
      </w:r>
      <w:r>
        <w:t>W przypadku projektodawców w obszarze polityki terytorialnej i</w:t>
      </w:r>
      <w:r w:rsidRPr="00D408C7">
        <w:t>stotną przewagą jest także brak konieczności wpisania projektu do strategii terytorialnej, co pozwala ominąć czasochłonny proces przygotowania i uzgadniania fiszek oraz porozumień.</w:t>
      </w:r>
    </w:p>
    <w:p w14:paraId="1983B29C" w14:textId="77777777" w:rsidR="00006482" w:rsidRPr="00314EA0" w:rsidRDefault="00006482" w:rsidP="00006482">
      <w:r w:rsidRPr="00314EA0">
        <w:t xml:space="preserve">Dla części gmin, szczególnie mniejszych, alternatywne źródła stają się pierwszym wyborem, ponieważ pozwalają szybciej i łatwiej uzyskać środki na inwestycje. W efekcie projekty, które mogłyby być realizowane w ramach </w:t>
      </w:r>
      <w:r>
        <w:t>FEdKP 2021-2027</w:t>
      </w:r>
      <w:r w:rsidRPr="00314EA0">
        <w:t>, są zgłaszane do programów krajowych, co zmniejsza liczbę potencjalnych wnioskodawców w konkursach unijnych.</w:t>
      </w:r>
    </w:p>
    <w:p w14:paraId="6C67DB24" w14:textId="77777777" w:rsidR="00006482" w:rsidRPr="006E0AFE" w:rsidRDefault="00006482" w:rsidP="00006482">
      <w:r w:rsidRPr="006E0AFE">
        <w:lastRenderedPageBreak/>
        <w:t>W szczególności obejmuje to:</w:t>
      </w:r>
    </w:p>
    <w:p w14:paraId="674EF76D" w14:textId="77777777" w:rsidR="00006482" w:rsidRPr="006E0AFE" w:rsidRDefault="00006482" w:rsidP="00103D76">
      <w:pPr>
        <w:numPr>
          <w:ilvl w:val="0"/>
          <w:numId w:val="34"/>
        </w:numPr>
      </w:pPr>
      <w:r w:rsidRPr="006E0AFE">
        <w:rPr>
          <w:b/>
          <w:bCs/>
        </w:rPr>
        <w:t>Infrastrukturę wodno-kanalizacyjną</w:t>
      </w:r>
      <w:r w:rsidRPr="006E0AFE">
        <w:t xml:space="preserve"> – rozbudowę i modernizację sieci wodociągowych oraz kanalizacyjnych, budowę oczyszczalni ścieków.</w:t>
      </w:r>
    </w:p>
    <w:p w14:paraId="5B76FA78" w14:textId="77777777" w:rsidR="00006482" w:rsidRPr="006E0AFE" w:rsidRDefault="00006482" w:rsidP="00103D76">
      <w:pPr>
        <w:numPr>
          <w:ilvl w:val="0"/>
          <w:numId w:val="34"/>
        </w:numPr>
      </w:pPr>
      <w:r w:rsidRPr="006E0AFE">
        <w:rPr>
          <w:b/>
          <w:bCs/>
        </w:rPr>
        <w:t>Obiekty użyteczności publicznej</w:t>
      </w:r>
      <w:r w:rsidRPr="006E0AFE">
        <w:t xml:space="preserve"> – modernizację, adaptację lub budowę budynków pełniących funkcje społeczne, kulturalne czy administracyjne.</w:t>
      </w:r>
    </w:p>
    <w:p w14:paraId="7E73C0AE"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Późne wejście w życie rozporządzeń środowiskowych</w:t>
      </w:r>
    </w:p>
    <w:p w14:paraId="39B3D36A" w14:textId="37A474D6" w:rsidR="00006482" w:rsidRPr="00510570" w:rsidRDefault="00006482" w:rsidP="00006482">
      <w:r w:rsidRPr="00510570">
        <w:t xml:space="preserve">W </w:t>
      </w:r>
      <w:r>
        <w:t>przypadku naborów EFRR</w:t>
      </w:r>
      <w:r w:rsidRPr="00510570">
        <w:t xml:space="preserve"> jednym z istotnych czynników utrudniających przygotowanie dokumentacji projektowej było </w:t>
      </w:r>
      <w:r w:rsidRPr="00510570">
        <w:rPr>
          <w:b/>
          <w:bCs/>
        </w:rPr>
        <w:t>opóźnione wejście w życie przepisów środowiskowych</w:t>
      </w:r>
      <w:r w:rsidRPr="00510570">
        <w:t>.</w:t>
      </w:r>
      <w:r w:rsidR="00A57FEB">
        <w:t xml:space="preserve"> </w:t>
      </w:r>
      <w:r w:rsidR="006A23CB" w:rsidRPr="006A23CB">
        <w:t xml:space="preserve">W 2024 roku wiele samorządów wstrzymało się ze składaniem wniosków o dofinansowanie, oczekując na kolejną aktualizację Krajowego programu oczyszczania ścieków komunalnych (KPOŚK). Zapisy tego dokumentu </w:t>
      </w:r>
      <w:r w:rsidR="006A23CB">
        <w:t>są</w:t>
      </w:r>
      <w:r w:rsidR="006A23CB" w:rsidRPr="006A23CB">
        <w:t xml:space="preserve"> kluczowe dla określenia możliwości pozyskiwania środków finansowych przez samorządy na inwestycje planowane w kolejnych latach</w:t>
      </w:r>
      <w:r w:rsidR="00F7665B" w:rsidRPr="00F7665B">
        <w:t xml:space="preserve">. </w:t>
      </w:r>
      <w:r w:rsidRPr="00510570">
        <w:t>Nowe regulacje zaczęły obowiązywać później, niż pierwotnie zakładano, a ich treść wprowadzała zmiany w zakresie wymagań dotyczących m.in. oceny oddziaływania na środowisko, zakresu raportów i uzgodnień, a także obowiązków wnioskodawców w odniesieniu do projektów infrastrukturalnych.</w:t>
      </w:r>
    </w:p>
    <w:p w14:paraId="42C25B41" w14:textId="77777777" w:rsidR="00006482" w:rsidRPr="00510570" w:rsidRDefault="00006482" w:rsidP="00006482">
      <w:r w:rsidRPr="00510570">
        <w:t>Dodatkową trudnością był fakt, że przepisy te wchodziły w życie w krótkim czasie przed planowanymi naborami. W efekcie potencjalni wnioskodawcy nie mieli wystarczająco dużo czasu, aby przygotować dokumentację zgodną z nowymi wymogami, co dla części z nich oznaczało rezygnację z aplikowania w danym konkursie. Problem ten w największym stopniu dotknął projekty wymagające decyzji środowiskowych, w tym inwestycje w infrastrukturę transportową, energetyczną czy wodno-kanalizacyjną.</w:t>
      </w:r>
    </w:p>
    <w:p w14:paraId="3533ACF9" w14:textId="77777777" w:rsidR="00006482" w:rsidRPr="00A31F5B" w:rsidRDefault="00006482" w:rsidP="00A31F5B">
      <w:pPr>
        <w:spacing w:before="240"/>
        <w:rPr>
          <w:rFonts w:cstheme="minorHAnsi"/>
          <w:b/>
          <w:color w:val="640B68" w:themeColor="accent3" w:themeShade="BF"/>
        </w:rPr>
      </w:pPr>
      <w:r w:rsidRPr="00A31F5B">
        <w:rPr>
          <w:rFonts w:cstheme="minorHAnsi"/>
          <w:b/>
          <w:color w:val="640B68" w:themeColor="accent3" w:themeShade="BF"/>
        </w:rPr>
        <w:t>Ograniczające zapisy ustawy o pomocy społecznej</w:t>
      </w:r>
    </w:p>
    <w:p w14:paraId="1A7F9690" w14:textId="5CB74370" w:rsidR="00006482" w:rsidRPr="002F5C03" w:rsidRDefault="00006482" w:rsidP="00936DAD">
      <w:r>
        <w:t xml:space="preserve">W przypadku </w:t>
      </w:r>
      <w:r w:rsidRPr="00CF6621">
        <w:t>Działani</w:t>
      </w:r>
      <w:r>
        <w:t xml:space="preserve">a </w:t>
      </w:r>
      <w:r w:rsidRPr="00CF6621">
        <w:t>8.24 Usługi społeczne i zdrowotne</w:t>
      </w:r>
      <w:r w:rsidR="00ED7C3B">
        <w:t xml:space="preserve"> Schemat: </w:t>
      </w:r>
      <w:r w:rsidR="00ED7C3B" w:rsidRPr="00ED7C3B">
        <w:t>Rozwój usług w mieszkaniach treningowych i wspomaganych</w:t>
      </w:r>
      <w:r>
        <w:t xml:space="preserve"> </w:t>
      </w:r>
      <w:r w:rsidR="006D19CA">
        <w:t xml:space="preserve">(nabór </w:t>
      </w:r>
      <w:r>
        <w:t>konkurencyjn</w:t>
      </w:r>
      <w:r w:rsidR="006D19CA">
        <w:t>y</w:t>
      </w:r>
      <w:r>
        <w:t xml:space="preserve"> n</w:t>
      </w:r>
      <w:r w:rsidRPr="00CF6621">
        <w:t>r FEKP.08.24-IZ.00-144/24</w:t>
      </w:r>
      <w:r w:rsidR="006D19CA">
        <w:t xml:space="preserve"> gdzie </w:t>
      </w:r>
      <w:r>
        <w:t xml:space="preserve">złożono 1 wniosek o dofinansowanie) </w:t>
      </w:r>
      <w:r w:rsidR="00CA0761">
        <w:t xml:space="preserve">oraz Działania </w:t>
      </w:r>
      <w:r w:rsidR="00CA0761" w:rsidRPr="00CA0761">
        <w:t>6.8 Inwestycje w infrastrukturę społeczną, Schemat: Inwestycje w infrastrukturę na potrzeby usług społecznych świadczonych w środowisku – mieszkania treningowe lub wspomagane (</w:t>
      </w:r>
      <w:r w:rsidR="006D19CA">
        <w:t xml:space="preserve">nabór </w:t>
      </w:r>
      <w:r w:rsidR="00CA0761" w:rsidRPr="00CA0761">
        <w:t>nr FEKP.06.08-IZ.00-112/24</w:t>
      </w:r>
      <w:r w:rsidR="001879D5">
        <w:t xml:space="preserve"> gdzie złożono 3 wnioski </w:t>
      </w:r>
      <w:r w:rsidR="00CA0761" w:rsidRPr="00CA0761">
        <w:t xml:space="preserve">) </w:t>
      </w:r>
      <w:r w:rsidR="00CA0761">
        <w:t xml:space="preserve">niska skuteczność naborów </w:t>
      </w:r>
      <w:r>
        <w:t xml:space="preserve">wynika z czynnika zewnętrznego, jakim są </w:t>
      </w:r>
      <w:r w:rsidRPr="00510570">
        <w:rPr>
          <w:b/>
          <w:bCs/>
        </w:rPr>
        <w:t>zapisy ustawy o pomocy społecznej</w:t>
      </w:r>
      <w:r>
        <w:rPr>
          <w:rStyle w:val="Odwoanieprzypisudolnego"/>
        </w:rPr>
        <w:footnoteReference w:id="62"/>
      </w:r>
      <w:r>
        <w:t xml:space="preserve"> ograniczające udział w naborach części zainteresowanych podmiotów. Zgodnie z art. 53 ustawy, mieszkania </w:t>
      </w:r>
      <w:r w:rsidRPr="004326EB">
        <w:t>treningow</w:t>
      </w:r>
      <w:r>
        <w:t>e</w:t>
      </w:r>
      <w:r w:rsidRPr="004326EB">
        <w:t xml:space="preserve"> lub wspomagan</w:t>
      </w:r>
      <w:r>
        <w:t xml:space="preserve">e mogą być prowadzone przez każdą jednostkę organizacyjną pomocy społecznej oraz organizację pozarządową, lub podmiot prowadzący działalność w zakresie pomocy </w:t>
      </w:r>
      <w:r>
        <w:lastRenderedPageBreak/>
        <w:t>społecznej, pieczy zastępczej lub integracji i reintegracji zawodowej i społecznej osób zagrożonych wykluczeniem społecznym. W przypadku o</w:t>
      </w:r>
      <w:r w:rsidRPr="00BC7259">
        <w:t>rganizacj</w:t>
      </w:r>
      <w:r w:rsidR="00A03189">
        <w:t>i</w:t>
      </w:r>
      <w:r w:rsidRPr="00BC7259">
        <w:t xml:space="preserve"> pozarządow</w:t>
      </w:r>
      <w:r>
        <w:t>ych</w:t>
      </w:r>
      <w:r w:rsidRPr="00BC7259">
        <w:t xml:space="preserve"> prowadz</w:t>
      </w:r>
      <w:r>
        <w:t>enie t</w:t>
      </w:r>
      <w:r w:rsidRPr="00BC7259">
        <w:t>aki</w:t>
      </w:r>
      <w:r>
        <w:t>ch</w:t>
      </w:r>
      <w:r w:rsidRPr="00BC7259">
        <w:t xml:space="preserve"> placów</w:t>
      </w:r>
      <w:r>
        <w:t>e</w:t>
      </w:r>
      <w:r w:rsidRPr="00BC7259">
        <w:t>k</w:t>
      </w:r>
      <w:r>
        <w:t xml:space="preserve"> może się jednakże odbywać</w:t>
      </w:r>
      <w:r w:rsidRPr="00BC7259">
        <w:t xml:space="preserve"> wyłącznie na zlecenie odpowiedniej jednostki samorządu terytorialnego. </w:t>
      </w:r>
      <w:r w:rsidR="00440DEE" w:rsidRPr="002F5C03">
        <w:t>W</w:t>
      </w:r>
      <w:r w:rsidR="00440DEE">
        <w:t xml:space="preserve"> ten sposób wyłączone</w:t>
      </w:r>
      <w:r w:rsidR="00440DEE" w:rsidRPr="002F5C03">
        <w:t xml:space="preserve"> zostały m.in. organizacje pozarządowe, które chciały realizować tego rodzaju wsparcie, ale nie prowadziły jednostki organizacyjnej pomocy społecznej – mimo że miały doświadczenie w pracy z grupami docelowymi.</w:t>
      </w:r>
    </w:p>
    <w:p w14:paraId="6A2BEF60" w14:textId="5A5A874D" w:rsidR="0007100C" w:rsidRPr="008570E4" w:rsidRDefault="00063556" w:rsidP="00A22653">
      <w:pPr>
        <w:pStyle w:val="Nagwek3"/>
      </w:pPr>
      <w:bookmarkStart w:id="15" w:name="_Toc208593145"/>
      <w:r>
        <w:t xml:space="preserve">Podsumowanie </w:t>
      </w:r>
      <w:r w:rsidR="00077D45">
        <w:t>–</w:t>
      </w:r>
      <w:r w:rsidR="007B153E">
        <w:t xml:space="preserve"> </w:t>
      </w:r>
      <w:r w:rsidR="00077D45">
        <w:t xml:space="preserve">przyczyny </w:t>
      </w:r>
      <w:r w:rsidR="00786EA6" w:rsidRPr="001D3F87">
        <w:t>niskiej skuteczności naborów</w:t>
      </w:r>
      <w:bookmarkEnd w:id="15"/>
    </w:p>
    <w:p w14:paraId="35467B24" w14:textId="28A52BAD" w:rsidR="00E028A0" w:rsidRDefault="005E4CD2" w:rsidP="005E4CD2">
      <w:pPr>
        <w:pStyle w:val="Legenda"/>
      </w:pPr>
      <w:r>
        <w:t xml:space="preserve">Tabela </w:t>
      </w:r>
      <w:fldSimple w:instr=" SEQ Tabela \* ARABIC ">
        <w:r w:rsidR="00541DFA">
          <w:rPr>
            <w:noProof/>
          </w:rPr>
          <w:t>9</w:t>
        </w:r>
      </w:fldSimple>
      <w:r w:rsidR="001648DA">
        <w:t>.</w:t>
      </w:r>
      <w:r>
        <w:t xml:space="preserve"> Podsumowanie - przyczyny niskiej skuteczności naborów</w:t>
      </w:r>
    </w:p>
    <w:tbl>
      <w:tblPr>
        <w:tblStyle w:val="Tabelasiatki4akcent1"/>
        <w:tblW w:w="0" w:type="auto"/>
        <w:tblLook w:val="04A0" w:firstRow="1" w:lastRow="0" w:firstColumn="1" w:lastColumn="0" w:noHBand="0" w:noVBand="1"/>
        <w:tblCaption w:val="Podsumowanie - przyczyny niskiej skuteczności naborów"/>
        <w:tblDescription w:val="Tabela podsumowuje główne przyczyny niskiej skuteczności naborów, pogrupowane według czterech kategorii: przyczyny zewnętrzne, przyczyny wewnętrzne, specyfika trybu niekonkurencyjnego oraz inne czynniki.&#10;&#10;Przyczyny zewnętrzne obejmowały m.in. zmianę priorytetów inwestycyjnych w JST (np. po wyborach samorządowych w 2024 r.), brak synchronizacji dat naborów z datami zawierania porozumień terytorialnych oraz niewystarczającą motywację do szybkiego przygotowania wniosków po zatwierdzeniu strategii.&#10;&#10;Przyczyny wewnętrzne wiązały się m.in. z brakiem narzędzi do monitorowania gotowości projektów, brakiem egzekwowania terminów z fiszek projektowych, a także z ograniczeniami organizacyjnymi i finansowymi (np. brak wkładu własnego, decyzje o dzieleniu projektów na etapy).&#10;&#10;Specyfika trybu niekonkurencyjnego obejmowała m.in. zmiany przepisów i założeń programowych, zmiany uwarunkowań demograficznych lub rynkowych, niedobory kadrowe beneficjentów, błędy formalne czy brak spełnienia kryteriów.&#10;&#10;Inne czynniki dotyczyły głównie kwestii organizacyjnych i proceduralnych, takich jak dominacja pasywnej komunikacji o naborach, kumulacja terminów, zbyt krótki czas trwania części naborów, skomplikowana dokumentacja, brak praktycznych szkoleń, złożone kryteria oceny, ograniczenia ustawowe, niespójność wymagań programowych z prawem krajowym, niedoskonałości systemu SOWA czy konkurencja ze strony prostszych źródeł finansowania (np. Polski Ład, KPO)."/>
      </w:tblPr>
      <w:tblGrid>
        <w:gridCol w:w="4531"/>
        <w:gridCol w:w="4531"/>
      </w:tblGrid>
      <w:tr w:rsidR="008027E9" w:rsidRPr="004D25D9" w14:paraId="0F6A1C73" w14:textId="77777777" w:rsidTr="00EB41D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531" w:type="dxa"/>
            <w:tcBorders>
              <w:right w:val="single" w:sz="4" w:space="0" w:color="FFFFFF" w:themeColor="background1"/>
            </w:tcBorders>
          </w:tcPr>
          <w:p w14:paraId="6309A136" w14:textId="2A9E2331" w:rsidR="008027E9" w:rsidRPr="004D25D9" w:rsidRDefault="008027E9" w:rsidP="00EB41D7">
            <w:pPr>
              <w:jc w:val="center"/>
              <w:rPr>
                <w:rFonts w:asciiTheme="minorHAnsi" w:hAnsiTheme="minorHAnsi" w:cstheme="minorHAnsi"/>
                <w:sz w:val="22"/>
              </w:rPr>
            </w:pPr>
            <w:r w:rsidRPr="004D25D9">
              <w:rPr>
                <w:rFonts w:asciiTheme="minorHAnsi" w:hAnsiTheme="minorHAnsi" w:cstheme="minorHAnsi"/>
                <w:sz w:val="22"/>
              </w:rPr>
              <w:t>Przyczyny zewnętrzne</w:t>
            </w:r>
          </w:p>
        </w:tc>
        <w:tc>
          <w:tcPr>
            <w:tcW w:w="4531" w:type="dxa"/>
            <w:tcBorders>
              <w:left w:val="single" w:sz="4" w:space="0" w:color="FFFFFF" w:themeColor="background1"/>
            </w:tcBorders>
          </w:tcPr>
          <w:p w14:paraId="037A8C6E" w14:textId="15872480" w:rsidR="008027E9" w:rsidRPr="004D25D9" w:rsidRDefault="008027E9" w:rsidP="00EB41D7">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Przyczyny wewnętrzne</w:t>
            </w:r>
          </w:p>
        </w:tc>
      </w:tr>
      <w:tr w:rsidR="00EB41D7" w:rsidRPr="004D25D9" w14:paraId="162A12D2"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D933876" w14:textId="77777777" w:rsidR="00EB26A8" w:rsidRPr="004D25D9" w:rsidRDefault="00EB26A8" w:rsidP="00EB41D7">
            <w:pPr>
              <w:jc w:val="center"/>
              <w:rPr>
                <w:rFonts w:asciiTheme="minorHAnsi" w:hAnsiTheme="minorHAnsi" w:cstheme="minorHAnsi"/>
                <w:sz w:val="22"/>
              </w:rPr>
            </w:pPr>
            <w:r w:rsidRPr="004D25D9">
              <w:rPr>
                <w:rFonts w:asciiTheme="minorHAnsi" w:hAnsiTheme="minorHAnsi" w:cstheme="minorHAnsi"/>
                <w:sz w:val="22"/>
              </w:rPr>
              <w:t>Specyfika Polityki terytorialnej</w:t>
            </w:r>
          </w:p>
        </w:tc>
        <w:tc>
          <w:tcPr>
            <w:tcW w:w="4531" w:type="dxa"/>
          </w:tcPr>
          <w:p w14:paraId="3B891CFE" w14:textId="10941FC3"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66CD89E7" w14:textId="77777777" w:rsidTr="002647C9">
        <w:tc>
          <w:tcPr>
            <w:cnfStyle w:val="001000000000" w:firstRow="0" w:lastRow="0" w:firstColumn="1" w:lastColumn="0" w:oddVBand="0" w:evenVBand="0" w:oddHBand="0" w:evenHBand="0" w:firstRowFirstColumn="0" w:firstRowLastColumn="0" w:lastRowFirstColumn="0" w:lastRowLastColumn="0"/>
            <w:tcW w:w="4531" w:type="dxa"/>
          </w:tcPr>
          <w:p w14:paraId="208F8CE6" w14:textId="77777777" w:rsidR="00102BEC" w:rsidRPr="00143EB0" w:rsidRDefault="00102BEC" w:rsidP="00102BEC">
            <w:pPr>
              <w:pStyle w:val="Akapitzlist"/>
              <w:numPr>
                <w:ilvl w:val="0"/>
                <w:numId w:val="13"/>
              </w:numPr>
              <w:spacing w:before="0"/>
              <w:rPr>
                <w:rFonts w:asciiTheme="minorHAnsi" w:hAnsiTheme="minorHAnsi" w:cstheme="minorHAnsi"/>
                <w:b w:val="0"/>
                <w:bCs w:val="0"/>
                <w:sz w:val="22"/>
              </w:rPr>
            </w:pPr>
            <w:r>
              <w:rPr>
                <w:rFonts w:asciiTheme="minorHAnsi" w:hAnsiTheme="minorHAnsi" w:cstheme="minorHAnsi"/>
                <w:b w:val="0"/>
                <w:bCs w:val="0"/>
                <w:sz w:val="22"/>
              </w:rPr>
              <w:t xml:space="preserve">Alternatywne/ konkurencyjne źródła finansowania przedsięwzięć inwestycyjnych JST na szczeblu krajowym wymuszające konieczność sprawnego aplikowania w okresie, kiedy były również ogłaszane pierwsze nabory PT. </w:t>
            </w:r>
          </w:p>
          <w:p w14:paraId="35D18797" w14:textId="3451DC76" w:rsidR="004F0427" w:rsidRPr="004D25D9" w:rsidRDefault="00434B92" w:rsidP="00BE3A93">
            <w:pPr>
              <w:pStyle w:val="Akapitzlist"/>
              <w:numPr>
                <w:ilvl w:val="0"/>
                <w:numId w:val="13"/>
              </w:numPr>
              <w:spacing w:before="0"/>
              <w:rPr>
                <w:rFonts w:asciiTheme="minorHAnsi" w:hAnsiTheme="minorHAnsi" w:cstheme="minorHAnsi"/>
                <w:b w:val="0"/>
                <w:bCs w:val="0"/>
                <w:sz w:val="22"/>
              </w:rPr>
            </w:pPr>
            <w:r w:rsidRPr="004D25D9">
              <w:rPr>
                <w:rFonts w:asciiTheme="minorHAnsi" w:hAnsiTheme="minorHAnsi" w:cstheme="minorHAnsi"/>
                <w:b w:val="0"/>
                <w:bCs w:val="0"/>
                <w:sz w:val="22"/>
              </w:rPr>
              <w:t xml:space="preserve">Zmiana </w:t>
            </w:r>
            <w:r w:rsidR="00B768D2" w:rsidRPr="004D25D9">
              <w:rPr>
                <w:rFonts w:asciiTheme="minorHAnsi" w:hAnsiTheme="minorHAnsi" w:cstheme="minorHAnsi"/>
                <w:b w:val="0"/>
                <w:bCs w:val="0"/>
                <w:sz w:val="22"/>
              </w:rPr>
              <w:t>priorytetów inwestycyjnych w JST, w tym m.in. po wyborach samorządowych</w:t>
            </w:r>
            <w:r w:rsidR="00BE3A93" w:rsidRPr="004D25D9">
              <w:rPr>
                <w:rFonts w:asciiTheme="minorHAnsi" w:hAnsiTheme="minorHAnsi" w:cstheme="minorHAnsi"/>
                <w:b w:val="0"/>
                <w:bCs w:val="0"/>
                <w:sz w:val="22"/>
              </w:rPr>
              <w:t>, które odbyły się wiosną 2024 roku.</w:t>
            </w:r>
          </w:p>
        </w:tc>
        <w:tc>
          <w:tcPr>
            <w:tcW w:w="4531" w:type="dxa"/>
          </w:tcPr>
          <w:p w14:paraId="3650FB46"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Występowanie obszarów wsparcia w polityce terytorialnej, które nie cieszyły się zainteresowaniem po ogłoszeniu naborów, mimo zidentyfikowanych uprzednio projektów</w:t>
            </w:r>
            <w:r>
              <w:rPr>
                <w:rFonts w:asciiTheme="minorHAnsi" w:hAnsiTheme="minorHAnsi" w:cstheme="minorHAnsi"/>
                <w:sz w:val="22"/>
              </w:rPr>
              <w:t xml:space="preserve"> w tych obszarach</w:t>
            </w:r>
            <w:r w:rsidRPr="004D25D9">
              <w:rPr>
                <w:rFonts w:asciiTheme="minorHAnsi" w:hAnsiTheme="minorHAnsi" w:cstheme="minorHAnsi"/>
                <w:sz w:val="22"/>
              </w:rPr>
              <w:t xml:space="preserve"> (np. wsparcie MŚP).</w:t>
            </w:r>
          </w:p>
          <w:p w14:paraId="5BC4757C" w14:textId="7536A012" w:rsidR="00102BEC"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 xml:space="preserve">Limity alokacji per capita na poziomie poszczególnych partnerstw oraz konieczność osiągania konsensusu w podziale środków powodowały, że </w:t>
            </w:r>
            <w:r w:rsidRPr="004C400B">
              <w:rPr>
                <w:rFonts w:asciiTheme="minorHAnsi" w:hAnsiTheme="minorHAnsi" w:cstheme="minorHAnsi"/>
                <w:sz w:val="22"/>
              </w:rPr>
              <w:t>niektóre JST otrzymywały środki na projekty nie tylko w obszarach zidentyfikowanych jako najbardziej priorytetowe</w:t>
            </w:r>
            <w:r>
              <w:rPr>
                <w:rFonts w:asciiTheme="minorHAnsi" w:hAnsiTheme="minorHAnsi" w:cstheme="minorHAnsi"/>
                <w:sz w:val="22"/>
              </w:rPr>
              <w:t xml:space="preserve"> (odciągając w czasie decyzję o aplikowaniu na takie projekty, mogły podejmować działania zmierzające do przesunięcia tych środków na inne obszary)</w:t>
            </w:r>
            <w:r w:rsidRPr="004D25D9">
              <w:rPr>
                <w:rFonts w:asciiTheme="minorHAnsi" w:hAnsiTheme="minorHAnsi" w:cstheme="minorHAnsi"/>
                <w:sz w:val="22"/>
              </w:rPr>
              <w:t>.</w:t>
            </w:r>
          </w:p>
          <w:p w14:paraId="1ADBF3B6"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Pr>
                <w:rFonts w:asciiTheme="minorHAnsi" w:hAnsiTheme="minorHAnsi" w:cstheme="minorHAnsi"/>
                <w:sz w:val="22"/>
              </w:rPr>
              <w:t xml:space="preserve">Zbytnio rozciągnięty w czasie proces zawierania porozumień terytorialnych z uwagi na przedłużające się prace nad przygotowaniem ostatecznych wersji fiszek projektowych. </w:t>
            </w:r>
          </w:p>
          <w:p w14:paraId="0321428C" w14:textId="77777777"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Brak</w:t>
            </w:r>
            <w:r>
              <w:rPr>
                <w:rFonts w:asciiTheme="minorHAnsi" w:hAnsiTheme="minorHAnsi" w:cstheme="minorHAnsi"/>
                <w:sz w:val="22"/>
              </w:rPr>
              <w:t xml:space="preserve"> odpowiedniej</w:t>
            </w:r>
            <w:r w:rsidRPr="004D25D9">
              <w:rPr>
                <w:rFonts w:asciiTheme="minorHAnsi" w:hAnsiTheme="minorHAnsi" w:cstheme="minorHAnsi"/>
                <w:sz w:val="22"/>
              </w:rPr>
              <w:t xml:space="preserve"> synchronizacji między datami ogłaszania </w:t>
            </w:r>
            <w:r>
              <w:rPr>
                <w:rFonts w:asciiTheme="minorHAnsi" w:hAnsiTheme="minorHAnsi" w:cstheme="minorHAnsi"/>
                <w:sz w:val="22"/>
              </w:rPr>
              <w:t xml:space="preserve">pierwszych </w:t>
            </w:r>
            <w:r w:rsidRPr="004D25D9">
              <w:rPr>
                <w:rFonts w:asciiTheme="minorHAnsi" w:hAnsiTheme="minorHAnsi" w:cstheme="minorHAnsi"/>
                <w:sz w:val="22"/>
              </w:rPr>
              <w:t>naborów a datami zawierania porozumień terytorialnych.</w:t>
            </w:r>
          </w:p>
          <w:p w14:paraId="2E029588" w14:textId="4BA7C75A" w:rsidR="00102BEC" w:rsidRPr="004D25D9" w:rsidRDefault="00102BEC" w:rsidP="00102BE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 xml:space="preserve">Zawarcie porozumień terytorialnych wraz z wykazem projektów (i przypisaną wysokością alokacji) powodowało, że partnerstwa i poszczególne JST nie były </w:t>
            </w:r>
            <w:r w:rsidRPr="004D25D9">
              <w:rPr>
                <w:rFonts w:asciiTheme="minorHAnsi" w:hAnsiTheme="minorHAnsi" w:cstheme="minorHAnsi"/>
                <w:sz w:val="22"/>
              </w:rPr>
              <w:lastRenderedPageBreak/>
              <w:t>dostatecznie zmotywowane do sprawnego przygotowania wniosków i aplikowania w pierwszych naborach w ramach PT.</w:t>
            </w:r>
            <w:r>
              <w:rPr>
                <w:rFonts w:asciiTheme="minorHAnsi" w:hAnsiTheme="minorHAnsi" w:cstheme="minorHAnsi"/>
                <w:sz w:val="22"/>
              </w:rPr>
              <w:t xml:space="preserve"> Wynikało to z przekonania, że zawarte porozumienia </w:t>
            </w:r>
            <w:r w:rsidRPr="00157BB7">
              <w:rPr>
                <w:rFonts w:asciiTheme="minorHAnsi" w:hAnsiTheme="minorHAnsi" w:cstheme="minorHAnsi"/>
                <w:sz w:val="22"/>
              </w:rPr>
              <w:t>zapewnia</w:t>
            </w:r>
            <w:r>
              <w:rPr>
                <w:rFonts w:asciiTheme="minorHAnsi" w:hAnsiTheme="minorHAnsi" w:cstheme="minorHAnsi"/>
                <w:sz w:val="22"/>
              </w:rPr>
              <w:t>ją</w:t>
            </w:r>
            <w:r w:rsidRPr="00157BB7">
              <w:rPr>
                <w:rFonts w:asciiTheme="minorHAnsi" w:hAnsiTheme="minorHAnsi" w:cstheme="minorHAnsi"/>
                <w:sz w:val="22"/>
              </w:rPr>
              <w:t xml:space="preserve"> już uzyskanie dofinansowania w przyszłości, bez względu na to, w którym naborze wniosek zostanie złożony</w:t>
            </w:r>
            <w:r>
              <w:rPr>
                <w:rFonts w:asciiTheme="minorHAnsi" w:hAnsiTheme="minorHAnsi" w:cstheme="minorHAnsi"/>
                <w:sz w:val="22"/>
              </w:rPr>
              <w:t>.</w:t>
            </w:r>
          </w:p>
          <w:p w14:paraId="479E9E04" w14:textId="260F6C47" w:rsidR="00E3613C" w:rsidRPr="004D25D9" w:rsidRDefault="00E3613C"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Niedostateczna gotowość realizacyjna części projektów w chwili ogłaszania naborów</w:t>
            </w:r>
            <w:r w:rsidR="00A03189" w:rsidRPr="004D25D9">
              <w:rPr>
                <w:rFonts w:asciiTheme="minorHAnsi" w:hAnsiTheme="minorHAnsi" w:cstheme="minorHAnsi"/>
                <w:sz w:val="22"/>
              </w:rPr>
              <w:t>.</w:t>
            </w:r>
          </w:p>
          <w:p w14:paraId="424B88D7" w14:textId="7056752F" w:rsidR="001C0AE9" w:rsidRPr="004D25D9" w:rsidRDefault="007059B9"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4D25D9">
              <w:rPr>
                <w:rFonts w:asciiTheme="minorHAnsi" w:hAnsiTheme="minorHAnsi" w:cstheme="minorHAnsi"/>
                <w:sz w:val="22"/>
              </w:rPr>
              <w:t>Brak egzekwowan</w:t>
            </w:r>
            <w:r w:rsidR="00614758" w:rsidRPr="004D25D9">
              <w:rPr>
                <w:rFonts w:asciiTheme="minorHAnsi" w:hAnsiTheme="minorHAnsi" w:cstheme="minorHAnsi"/>
                <w:sz w:val="22"/>
              </w:rPr>
              <w:t xml:space="preserve">ia </w:t>
            </w:r>
            <w:r w:rsidR="00784BA9" w:rsidRPr="004D25D9">
              <w:rPr>
                <w:rFonts w:asciiTheme="minorHAnsi" w:hAnsiTheme="minorHAnsi" w:cstheme="minorHAnsi"/>
                <w:sz w:val="22"/>
              </w:rPr>
              <w:t xml:space="preserve">(oraz aktualizowania) </w:t>
            </w:r>
            <w:r w:rsidR="00614758" w:rsidRPr="004D25D9">
              <w:rPr>
                <w:rFonts w:asciiTheme="minorHAnsi" w:hAnsiTheme="minorHAnsi" w:cstheme="minorHAnsi"/>
                <w:sz w:val="22"/>
              </w:rPr>
              <w:t xml:space="preserve">od </w:t>
            </w:r>
            <w:r w:rsidR="00930789" w:rsidRPr="004D25D9">
              <w:rPr>
                <w:rFonts w:asciiTheme="minorHAnsi" w:hAnsiTheme="minorHAnsi" w:cstheme="minorHAnsi"/>
                <w:sz w:val="22"/>
              </w:rPr>
              <w:t>projektodawców terminów wskazanych w fiszkach</w:t>
            </w:r>
            <w:r w:rsidR="009903DE" w:rsidRPr="004D25D9">
              <w:rPr>
                <w:rFonts w:asciiTheme="minorHAnsi" w:hAnsiTheme="minorHAnsi" w:cstheme="minorHAnsi"/>
                <w:sz w:val="22"/>
              </w:rPr>
              <w:t xml:space="preserve"> projektowych (w zakresie uzyskania gotowości realizacyjnej czy </w:t>
            </w:r>
            <w:r w:rsidR="00C12AED" w:rsidRPr="004D25D9">
              <w:rPr>
                <w:rFonts w:asciiTheme="minorHAnsi" w:hAnsiTheme="minorHAnsi" w:cstheme="minorHAnsi"/>
                <w:sz w:val="22"/>
              </w:rPr>
              <w:t>planowanego terminu aplikowania)</w:t>
            </w:r>
            <w:r w:rsidR="00BE3A93" w:rsidRPr="004D25D9">
              <w:rPr>
                <w:rFonts w:asciiTheme="minorHAnsi" w:hAnsiTheme="minorHAnsi" w:cstheme="minorHAnsi"/>
                <w:sz w:val="22"/>
              </w:rPr>
              <w:t>.</w:t>
            </w:r>
          </w:p>
        </w:tc>
      </w:tr>
      <w:tr w:rsidR="00EB41D7" w:rsidRPr="004D25D9" w14:paraId="03F50062"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381C77F" w14:textId="09D3D423" w:rsidR="00EB26A8" w:rsidRPr="004D25D9" w:rsidRDefault="00EB26A8" w:rsidP="00EB41D7">
            <w:pPr>
              <w:jc w:val="center"/>
              <w:rPr>
                <w:rFonts w:asciiTheme="minorHAnsi" w:hAnsiTheme="minorHAnsi" w:cstheme="minorHAnsi"/>
                <w:sz w:val="22"/>
              </w:rPr>
            </w:pPr>
            <w:r w:rsidRPr="004D25D9">
              <w:rPr>
                <w:rFonts w:asciiTheme="minorHAnsi" w:hAnsiTheme="minorHAnsi" w:cstheme="minorHAnsi"/>
                <w:sz w:val="22"/>
              </w:rPr>
              <w:lastRenderedPageBreak/>
              <w:t>Specyfika niekonkurencyjnego</w:t>
            </w:r>
            <w:r w:rsidR="004F7C6B">
              <w:rPr>
                <w:rFonts w:asciiTheme="minorHAnsi" w:hAnsiTheme="minorHAnsi" w:cstheme="minorHAnsi"/>
                <w:sz w:val="22"/>
              </w:rPr>
              <w:t xml:space="preserve"> sposobu wyboru projektów</w:t>
            </w:r>
          </w:p>
        </w:tc>
        <w:tc>
          <w:tcPr>
            <w:tcW w:w="4531" w:type="dxa"/>
          </w:tcPr>
          <w:p w14:paraId="46DC13EB" w14:textId="6B92A2F0"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75993722" w14:textId="77777777" w:rsidTr="002647C9">
        <w:tc>
          <w:tcPr>
            <w:cnfStyle w:val="001000000000" w:firstRow="0" w:lastRow="0" w:firstColumn="1" w:lastColumn="0" w:oddVBand="0" w:evenVBand="0" w:oddHBand="0" w:evenHBand="0" w:firstRowFirstColumn="0" w:firstRowLastColumn="0" w:lastRowFirstColumn="0" w:lastRowLastColumn="0"/>
            <w:tcW w:w="4531" w:type="dxa"/>
          </w:tcPr>
          <w:p w14:paraId="742EF96D" w14:textId="2AA687C6" w:rsidR="000F49F1" w:rsidRPr="00077CA0" w:rsidRDefault="000F49F1" w:rsidP="00E3613C">
            <w:pPr>
              <w:pStyle w:val="Akapitzlist"/>
              <w:numPr>
                <w:ilvl w:val="0"/>
                <w:numId w:val="13"/>
              </w:numPr>
              <w:spacing w:before="0"/>
              <w:rPr>
                <w:rFonts w:asciiTheme="minorHAnsi" w:eastAsia="Calibri" w:hAnsiTheme="minorHAnsi" w:cstheme="minorBidi"/>
                <w:b w:val="0"/>
                <w:sz w:val="22"/>
              </w:rPr>
            </w:pPr>
            <w:r>
              <w:rPr>
                <w:rFonts w:asciiTheme="minorHAnsi" w:eastAsia="Calibri" w:hAnsiTheme="minorHAnsi" w:cstheme="minorBidi"/>
                <w:b w:val="0"/>
                <w:sz w:val="22"/>
              </w:rPr>
              <w:t>B</w:t>
            </w:r>
            <w:r w:rsidRPr="000F49F1">
              <w:rPr>
                <w:rFonts w:asciiTheme="minorHAnsi" w:eastAsia="Calibri" w:hAnsiTheme="minorHAnsi" w:cstheme="minorBidi"/>
                <w:b w:val="0"/>
                <w:sz w:val="22"/>
              </w:rPr>
              <w:t xml:space="preserve">rak doświadczenia części wnioskodawców w aplikowaniu/ realizacji projektów niekonkurencyjnych/ pozakonkursowych (np. w ramach RPO </w:t>
            </w:r>
            <w:r w:rsidR="004A08C7">
              <w:rPr>
                <w:rFonts w:asciiTheme="minorHAnsi" w:eastAsia="Calibri" w:hAnsiTheme="minorHAnsi" w:cstheme="minorBidi"/>
                <w:b w:val="0"/>
                <w:sz w:val="22"/>
              </w:rPr>
              <w:t>WK-P</w:t>
            </w:r>
            <w:r w:rsidRPr="000F49F1">
              <w:rPr>
                <w:rFonts w:asciiTheme="minorHAnsi" w:eastAsia="Calibri" w:hAnsiTheme="minorHAnsi" w:cstheme="minorBidi"/>
                <w:b w:val="0"/>
                <w:sz w:val="22"/>
              </w:rPr>
              <w:t xml:space="preserve"> 2014-2020)</w:t>
            </w:r>
            <w:r w:rsidR="004F7EAC">
              <w:rPr>
                <w:rFonts w:asciiTheme="minorHAnsi" w:eastAsia="Calibri" w:hAnsiTheme="minorHAnsi" w:cstheme="minorBidi"/>
                <w:b w:val="0"/>
                <w:sz w:val="22"/>
              </w:rPr>
              <w:t>.</w:t>
            </w:r>
          </w:p>
          <w:p w14:paraId="0D0D3C53" w14:textId="0C3A2883" w:rsidR="004F0427" w:rsidRPr="004D25D9" w:rsidRDefault="5105654D" w:rsidP="00E3613C">
            <w:pPr>
              <w:pStyle w:val="Akapitzlist"/>
              <w:numPr>
                <w:ilvl w:val="0"/>
                <w:numId w:val="13"/>
              </w:numPr>
              <w:spacing w:before="0"/>
              <w:rPr>
                <w:rFonts w:asciiTheme="minorHAnsi" w:eastAsia="Calibri" w:hAnsiTheme="minorHAnsi" w:cstheme="minorBidi"/>
                <w:b w:val="0"/>
                <w:sz w:val="22"/>
              </w:rPr>
            </w:pPr>
            <w:r w:rsidRPr="5D655FAF">
              <w:rPr>
                <w:rFonts w:asciiTheme="minorHAnsi" w:eastAsia="Calibri" w:hAnsiTheme="minorHAnsi" w:cstheme="minorBidi"/>
                <w:b w:val="0"/>
                <w:sz w:val="22"/>
              </w:rPr>
              <w:t>P</w:t>
            </w:r>
            <w:r w:rsidR="480E7B2A" w:rsidRPr="5D655FAF">
              <w:rPr>
                <w:rFonts w:asciiTheme="minorHAnsi" w:eastAsia="Calibri" w:hAnsiTheme="minorHAnsi" w:cstheme="minorBidi"/>
                <w:b w:val="0"/>
                <w:sz w:val="22"/>
              </w:rPr>
              <w:t>roblem</w:t>
            </w:r>
            <w:r w:rsidR="00FC56F3">
              <w:rPr>
                <w:rFonts w:asciiTheme="minorHAnsi" w:eastAsia="Calibri" w:hAnsiTheme="minorHAnsi" w:cstheme="minorBidi"/>
                <w:b w:val="0"/>
                <w:sz w:val="22"/>
              </w:rPr>
              <w:t>y</w:t>
            </w:r>
            <w:r w:rsidR="480E7B2A" w:rsidRPr="5D655FAF">
              <w:rPr>
                <w:rFonts w:asciiTheme="minorHAnsi" w:eastAsia="Calibri" w:hAnsiTheme="minorHAnsi" w:cstheme="minorBidi"/>
                <w:b w:val="0"/>
                <w:sz w:val="22"/>
              </w:rPr>
              <w:t xml:space="preserve"> w zakresie dostępności szkoleń dla wnioskodawców niekonkurencyjnych, którymi są komórki organizacyjne UMWKP nienależące do struktur IZ FEdKP 2021-2027 (nie </w:t>
            </w:r>
            <w:r w:rsidR="25261CA3" w:rsidRPr="5D655FAF">
              <w:rPr>
                <w:rFonts w:asciiTheme="minorHAnsi" w:eastAsia="Calibri" w:hAnsiTheme="minorHAnsi" w:cstheme="minorBidi"/>
                <w:b w:val="0"/>
                <w:sz w:val="22"/>
              </w:rPr>
              <w:t>mogą</w:t>
            </w:r>
            <w:r w:rsidR="480E7B2A" w:rsidRPr="5D655FAF">
              <w:rPr>
                <w:rFonts w:asciiTheme="minorHAnsi" w:eastAsia="Calibri" w:hAnsiTheme="minorHAnsi" w:cstheme="minorBidi"/>
                <w:b w:val="0"/>
                <w:sz w:val="22"/>
              </w:rPr>
              <w:t xml:space="preserve"> by</w:t>
            </w:r>
            <w:r w:rsidR="0E9E02F8" w:rsidRPr="5D655FAF">
              <w:rPr>
                <w:rFonts w:asciiTheme="minorHAnsi" w:eastAsia="Calibri" w:hAnsiTheme="minorHAnsi" w:cstheme="minorBidi"/>
                <w:b w:val="0"/>
                <w:sz w:val="22"/>
              </w:rPr>
              <w:t>ć</w:t>
            </w:r>
            <w:r w:rsidR="480E7B2A" w:rsidRPr="5D655FAF">
              <w:rPr>
                <w:rFonts w:asciiTheme="minorHAnsi" w:eastAsia="Calibri" w:hAnsiTheme="minorHAnsi" w:cstheme="minorBidi"/>
                <w:b w:val="0"/>
                <w:sz w:val="22"/>
              </w:rPr>
              <w:t xml:space="preserve"> f</w:t>
            </w:r>
            <w:r w:rsidR="720A9A73" w:rsidRPr="5D655FAF">
              <w:rPr>
                <w:rFonts w:asciiTheme="minorHAnsi" w:eastAsia="Calibri" w:hAnsiTheme="minorHAnsi" w:cstheme="minorBidi"/>
                <w:b w:val="0"/>
                <w:sz w:val="22"/>
              </w:rPr>
              <w:t xml:space="preserve">inansowane z pomocy </w:t>
            </w:r>
            <w:r w:rsidR="1E3799F8" w:rsidRPr="5D655FAF">
              <w:rPr>
                <w:rFonts w:asciiTheme="minorHAnsi" w:eastAsia="Calibri" w:hAnsiTheme="minorHAnsi" w:cstheme="minorBidi"/>
                <w:b w:val="0"/>
                <w:sz w:val="22"/>
              </w:rPr>
              <w:t>technicznej</w:t>
            </w:r>
            <w:r w:rsidR="720A9A73" w:rsidRPr="5D655FAF">
              <w:rPr>
                <w:rFonts w:asciiTheme="minorHAnsi" w:eastAsia="Calibri" w:hAnsiTheme="minorHAnsi" w:cstheme="minorBidi"/>
                <w:b w:val="0"/>
                <w:sz w:val="22"/>
              </w:rPr>
              <w:t>)</w:t>
            </w:r>
            <w:r w:rsidR="00A03189" w:rsidRPr="5D655FAF">
              <w:rPr>
                <w:rFonts w:asciiTheme="minorHAnsi" w:eastAsia="Calibri" w:hAnsiTheme="minorHAnsi" w:cstheme="minorBidi"/>
                <w:b w:val="0"/>
                <w:sz w:val="22"/>
              </w:rPr>
              <w:t>.</w:t>
            </w:r>
          </w:p>
        </w:tc>
        <w:tc>
          <w:tcPr>
            <w:tcW w:w="4531" w:type="dxa"/>
          </w:tcPr>
          <w:p w14:paraId="3B9AB3B0" w14:textId="6F7B7DF8" w:rsidR="004F0427" w:rsidRPr="004D25D9" w:rsidRDefault="494F088E" w:rsidP="5D655FAF">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sz w:val="22"/>
              </w:rPr>
            </w:pPr>
            <w:r w:rsidRPr="5D655FAF">
              <w:rPr>
                <w:rFonts w:asciiTheme="minorHAnsi" w:eastAsia="Calibri" w:hAnsiTheme="minorHAnsi" w:cstheme="minorBidi"/>
                <w:sz w:val="22"/>
              </w:rPr>
              <w:t xml:space="preserve">Niewystarczający </w:t>
            </w:r>
            <w:r w:rsidR="006A1FC3">
              <w:rPr>
                <w:rFonts w:asciiTheme="minorHAnsi" w:eastAsia="Calibri" w:hAnsiTheme="minorHAnsi" w:cstheme="minorBidi"/>
                <w:sz w:val="22"/>
              </w:rPr>
              <w:t xml:space="preserve">(w części przypadków) </w:t>
            </w:r>
            <w:r w:rsidR="006A1FC3" w:rsidRPr="006A1FC3">
              <w:rPr>
                <w:rFonts w:asciiTheme="minorHAnsi" w:eastAsia="Calibri" w:hAnsiTheme="minorHAnsi" w:cstheme="minorBidi"/>
                <w:sz w:val="22"/>
              </w:rPr>
              <w:t>stopień zaangażowania pracowników departamentów merytorycznych w konsultowanie fiszek przygotowywanych przez jednostki podległe tym departamentom</w:t>
            </w:r>
            <w:r w:rsidR="006A1FC3">
              <w:rPr>
                <w:rFonts w:asciiTheme="minorHAnsi" w:eastAsia="Calibri" w:hAnsiTheme="minorHAnsi" w:cstheme="minorBidi"/>
                <w:sz w:val="22"/>
              </w:rPr>
              <w:t>.</w:t>
            </w:r>
          </w:p>
          <w:p w14:paraId="4FCFE536" w14:textId="3E1649A0" w:rsidR="004F0427" w:rsidRPr="004D25D9" w:rsidRDefault="0068549B" w:rsidP="00E3613C">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pPr>
            <w:r>
              <w:rPr>
                <w:rFonts w:asciiTheme="minorHAnsi" w:eastAsia="Calibri" w:hAnsiTheme="minorHAnsi" w:cstheme="minorBidi"/>
                <w:sz w:val="22"/>
              </w:rPr>
              <w:t>B</w:t>
            </w:r>
            <w:r w:rsidRPr="0068549B">
              <w:rPr>
                <w:rFonts w:asciiTheme="minorHAnsi" w:eastAsia="Calibri" w:hAnsiTheme="minorHAnsi" w:cstheme="minorBidi"/>
                <w:sz w:val="22"/>
              </w:rPr>
              <w:t xml:space="preserve">rak możliwości dwukrotnej poprawy błędów na etapie oceny </w:t>
            </w:r>
            <w:r>
              <w:rPr>
                <w:rFonts w:asciiTheme="minorHAnsi" w:eastAsia="Calibri" w:hAnsiTheme="minorHAnsi" w:cstheme="minorBidi"/>
                <w:sz w:val="22"/>
              </w:rPr>
              <w:t>WoD.</w:t>
            </w:r>
          </w:p>
        </w:tc>
      </w:tr>
      <w:tr w:rsidR="00EB41D7" w:rsidRPr="004D25D9" w14:paraId="78A05F56" w14:textId="77777777" w:rsidTr="003072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EE714B3" w14:textId="77777777" w:rsidR="00EB26A8" w:rsidRPr="004D25D9" w:rsidRDefault="00EB26A8" w:rsidP="00077CA0">
            <w:pPr>
              <w:rPr>
                <w:rFonts w:asciiTheme="minorHAnsi" w:hAnsiTheme="minorHAnsi" w:cstheme="minorHAnsi"/>
                <w:sz w:val="22"/>
              </w:rPr>
            </w:pPr>
            <w:r w:rsidRPr="004D25D9">
              <w:rPr>
                <w:rFonts w:asciiTheme="minorHAnsi" w:hAnsiTheme="minorHAnsi" w:cstheme="minorHAnsi"/>
                <w:sz w:val="22"/>
              </w:rPr>
              <w:t>Inne przyczyny</w:t>
            </w:r>
          </w:p>
        </w:tc>
        <w:tc>
          <w:tcPr>
            <w:tcW w:w="4531" w:type="dxa"/>
          </w:tcPr>
          <w:p w14:paraId="5B6624D8" w14:textId="1E98970A" w:rsidR="00EB41D7" w:rsidRPr="004D25D9" w:rsidRDefault="00EB41D7" w:rsidP="00EB41D7">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rPr>
            </w:pPr>
          </w:p>
        </w:tc>
      </w:tr>
      <w:tr w:rsidR="00EB41D7" w:rsidRPr="004D25D9" w14:paraId="507E3AAB" w14:textId="77777777">
        <w:tc>
          <w:tcPr>
            <w:cnfStyle w:val="001000000000" w:firstRow="0" w:lastRow="0" w:firstColumn="1" w:lastColumn="0" w:oddVBand="0" w:evenVBand="0" w:oddHBand="0" w:evenHBand="0" w:firstRowFirstColumn="0" w:firstRowLastColumn="0" w:lastRowFirstColumn="0" w:lastRowLastColumn="0"/>
            <w:tcW w:w="4531" w:type="dxa"/>
          </w:tcPr>
          <w:p w14:paraId="2E8595CF" w14:textId="781353A4" w:rsidR="00D23FD5" w:rsidRPr="004D25D9" w:rsidRDefault="009F2F23" w:rsidP="00103D76">
            <w:pPr>
              <w:pStyle w:val="Akapitzlist"/>
              <w:numPr>
                <w:ilvl w:val="0"/>
                <w:numId w:val="13"/>
              </w:numPr>
              <w:spacing w:before="0"/>
              <w:rPr>
                <w:rFonts w:asciiTheme="minorHAnsi" w:eastAsia="Calibri" w:hAnsiTheme="minorHAnsi" w:cstheme="minorHAnsi"/>
                <w:b w:val="0"/>
                <w:sz w:val="22"/>
              </w:rPr>
            </w:pPr>
            <w:r w:rsidRPr="009F2F23">
              <w:rPr>
                <w:rFonts w:asciiTheme="minorHAnsi" w:eastAsia="Calibri" w:hAnsiTheme="minorHAnsi" w:cstheme="minorHAnsi"/>
                <w:b w:val="0"/>
                <w:sz w:val="22"/>
              </w:rPr>
              <w:t>Ograniczony dostęp do informacji o naborach wśród mniejszych JST i mniej doświadczonych wnioskodawców</w:t>
            </w:r>
            <w:r>
              <w:rPr>
                <w:rFonts w:asciiTheme="minorHAnsi" w:eastAsia="Calibri" w:hAnsiTheme="minorHAnsi" w:cstheme="minorHAnsi"/>
                <w:b w:val="0"/>
                <w:sz w:val="22"/>
              </w:rPr>
              <w:t>, mimo licznych działań informacyjnych i promocyjnych</w:t>
            </w:r>
            <w:r w:rsidR="00A03189" w:rsidRPr="004D25D9">
              <w:rPr>
                <w:rFonts w:asciiTheme="minorHAnsi" w:eastAsia="Calibri" w:hAnsiTheme="minorHAnsi" w:cstheme="minorHAnsi"/>
                <w:b w:val="0"/>
                <w:sz w:val="22"/>
              </w:rPr>
              <w:t>.</w:t>
            </w:r>
          </w:p>
          <w:p w14:paraId="55D0E80F" w14:textId="497C91E6"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 xml:space="preserve">Kumulacja naborów w </w:t>
            </w:r>
            <w:r w:rsidR="007F6038">
              <w:rPr>
                <w:rFonts w:asciiTheme="minorHAnsi" w:eastAsia="Calibri" w:hAnsiTheme="minorHAnsi" w:cstheme="minorHAnsi"/>
                <w:b w:val="0"/>
                <w:sz w:val="22"/>
              </w:rPr>
              <w:t>czasie</w:t>
            </w:r>
            <w:r w:rsidRPr="004D25D9">
              <w:rPr>
                <w:rFonts w:asciiTheme="minorHAnsi" w:eastAsia="Calibri" w:hAnsiTheme="minorHAnsi" w:cstheme="minorHAnsi"/>
                <w:b w:val="0"/>
                <w:sz w:val="22"/>
              </w:rPr>
              <w:t xml:space="preserve"> skierowanych do tych samych typów podmiotów, powodująca przeciążenie kadr </w:t>
            </w:r>
            <w:r w:rsidR="007F6038">
              <w:rPr>
                <w:rFonts w:asciiTheme="minorHAnsi" w:eastAsia="Calibri" w:hAnsiTheme="minorHAnsi" w:cstheme="minorHAnsi"/>
                <w:b w:val="0"/>
                <w:sz w:val="22"/>
              </w:rPr>
              <w:t>wnioskodawców</w:t>
            </w:r>
            <w:r w:rsidR="00A03189" w:rsidRPr="004D25D9">
              <w:rPr>
                <w:rFonts w:asciiTheme="minorHAnsi" w:eastAsia="Calibri" w:hAnsiTheme="minorHAnsi" w:cstheme="minorHAnsi"/>
                <w:b w:val="0"/>
                <w:sz w:val="22"/>
              </w:rPr>
              <w:t>.</w:t>
            </w:r>
          </w:p>
          <w:p w14:paraId="2C23CAE9" w14:textId="590B0A42"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Późna publikacja pytań i odpowiedzi (Q&amp;A) lub całkowity brak ich udostępnienia</w:t>
            </w:r>
            <w:r w:rsidR="00A03189" w:rsidRPr="004D25D9">
              <w:rPr>
                <w:rFonts w:asciiTheme="minorHAnsi" w:eastAsia="Calibri" w:hAnsiTheme="minorHAnsi" w:cstheme="minorHAnsi"/>
                <w:b w:val="0"/>
                <w:sz w:val="22"/>
              </w:rPr>
              <w:t>.</w:t>
            </w:r>
          </w:p>
          <w:p w14:paraId="742C26C8" w14:textId="77CD5BA8"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lastRenderedPageBreak/>
              <w:t xml:space="preserve">Niedostateczna liczba praktycznych szkoleń – w odniesieniu do każdego naboru, nawet </w:t>
            </w:r>
            <w:r w:rsidR="00F80317">
              <w:rPr>
                <w:rFonts w:asciiTheme="minorHAnsi" w:eastAsia="Calibri" w:hAnsiTheme="minorHAnsi" w:cstheme="minorHAnsi"/>
                <w:b w:val="0"/>
                <w:sz w:val="22"/>
              </w:rPr>
              <w:t xml:space="preserve">naborów </w:t>
            </w:r>
            <w:r w:rsidRPr="004D25D9">
              <w:rPr>
                <w:rFonts w:asciiTheme="minorHAnsi" w:eastAsia="Calibri" w:hAnsiTheme="minorHAnsi" w:cstheme="minorHAnsi"/>
                <w:b w:val="0"/>
                <w:sz w:val="22"/>
              </w:rPr>
              <w:t>powtarzających się</w:t>
            </w:r>
            <w:r w:rsidR="00A03189" w:rsidRPr="004D25D9">
              <w:rPr>
                <w:rFonts w:asciiTheme="minorHAnsi" w:eastAsia="Calibri" w:hAnsiTheme="minorHAnsi" w:cstheme="minorHAnsi"/>
                <w:b w:val="0"/>
                <w:sz w:val="22"/>
              </w:rPr>
              <w:t>.</w:t>
            </w:r>
            <w:r w:rsidRPr="004D25D9">
              <w:rPr>
                <w:rFonts w:asciiTheme="minorHAnsi" w:eastAsia="Calibri" w:hAnsiTheme="minorHAnsi" w:cstheme="minorHAnsi"/>
                <w:b w:val="0"/>
                <w:sz w:val="22"/>
              </w:rPr>
              <w:t xml:space="preserve"> </w:t>
            </w:r>
          </w:p>
          <w:p w14:paraId="5CD8B433" w14:textId="1E61C338"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Skomplikowana, mało praktyczna dokumentacja (</w:t>
            </w:r>
            <w:r w:rsidR="009F2F23">
              <w:rPr>
                <w:rFonts w:asciiTheme="minorHAnsi" w:eastAsia="Calibri" w:hAnsiTheme="minorHAnsi" w:cstheme="minorHAnsi"/>
                <w:b w:val="0"/>
                <w:sz w:val="22"/>
              </w:rPr>
              <w:t xml:space="preserve">obszerne dokumenty np. </w:t>
            </w:r>
            <w:r w:rsidR="00530AE9">
              <w:rPr>
                <w:rFonts w:asciiTheme="minorHAnsi" w:eastAsia="Calibri" w:hAnsiTheme="minorHAnsi" w:cstheme="minorHAnsi"/>
                <w:b w:val="0"/>
                <w:sz w:val="22"/>
              </w:rPr>
              <w:t>kryteria oceny projektów, instrukcja wypełniania wniosku;</w:t>
            </w:r>
            <w:r w:rsidRPr="004D25D9">
              <w:rPr>
                <w:rFonts w:asciiTheme="minorHAnsi" w:eastAsia="Calibri" w:hAnsiTheme="minorHAnsi" w:cstheme="minorHAnsi"/>
                <w:b w:val="0"/>
                <w:sz w:val="22"/>
              </w:rPr>
              <w:t xml:space="preserve"> brak </w:t>
            </w:r>
            <w:r w:rsidR="00EB2081" w:rsidRPr="00EB2081">
              <w:rPr>
                <w:rFonts w:asciiTheme="minorHAnsi" w:eastAsia="Calibri" w:hAnsiTheme="minorHAnsi" w:cstheme="minorHAnsi"/>
                <w:b w:val="0"/>
                <w:sz w:val="22"/>
              </w:rPr>
              <w:t xml:space="preserve">czytelnego </w:t>
            </w:r>
            <w:r w:rsidR="00EB2081">
              <w:rPr>
                <w:rFonts w:asciiTheme="minorHAnsi" w:eastAsia="Calibri" w:hAnsiTheme="minorHAnsi" w:cstheme="minorHAnsi"/>
                <w:b w:val="0"/>
                <w:sz w:val="22"/>
              </w:rPr>
              <w:t>sposobu</w:t>
            </w:r>
            <w:r w:rsidR="00EB2081" w:rsidRPr="00EB2081">
              <w:rPr>
                <w:rFonts w:asciiTheme="minorHAnsi" w:eastAsia="Calibri" w:hAnsiTheme="minorHAnsi" w:cstheme="minorHAnsi"/>
                <w:b w:val="0"/>
                <w:sz w:val="22"/>
              </w:rPr>
              <w:t xml:space="preserve"> rejestracji zmian </w:t>
            </w:r>
            <w:r w:rsidRPr="004D25D9">
              <w:rPr>
                <w:rFonts w:asciiTheme="minorHAnsi" w:eastAsia="Calibri" w:hAnsiTheme="minorHAnsi" w:cstheme="minorHAnsi"/>
                <w:b w:val="0"/>
                <w:sz w:val="22"/>
              </w:rPr>
              <w:t>między wersjami)</w:t>
            </w:r>
            <w:r w:rsidR="00A03189" w:rsidRPr="004D25D9">
              <w:rPr>
                <w:rFonts w:asciiTheme="minorHAnsi" w:eastAsia="Calibri" w:hAnsiTheme="minorHAnsi" w:cstheme="minorHAnsi"/>
                <w:b w:val="0"/>
                <w:sz w:val="22"/>
              </w:rPr>
              <w:t>.</w:t>
            </w:r>
          </w:p>
          <w:p w14:paraId="0085F7F3" w14:textId="1C783752"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Zbyt techniczny charakter instrukcji wypełnienia wniosku o dofinansowanie, bez wyjaśnień merytorycznych</w:t>
            </w:r>
            <w:r w:rsidR="00A03189" w:rsidRPr="004D25D9">
              <w:rPr>
                <w:rFonts w:asciiTheme="minorHAnsi" w:eastAsia="Calibri" w:hAnsiTheme="minorHAnsi" w:cstheme="minorHAnsi"/>
                <w:b w:val="0"/>
                <w:sz w:val="22"/>
              </w:rPr>
              <w:t>.</w:t>
            </w:r>
          </w:p>
          <w:p w14:paraId="2E85DC93" w14:textId="28CB75E5" w:rsidR="00D23FD5"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Rozbudowane, trudne w interpretacji kryteria oceny</w:t>
            </w:r>
            <w:r w:rsidR="00A03189" w:rsidRPr="004D25D9">
              <w:rPr>
                <w:rFonts w:asciiTheme="minorHAnsi" w:eastAsia="Calibri" w:hAnsiTheme="minorHAnsi" w:cstheme="minorHAnsi"/>
                <w:b w:val="0"/>
                <w:sz w:val="22"/>
              </w:rPr>
              <w:t>.</w:t>
            </w:r>
            <w:r w:rsidRPr="004D25D9">
              <w:rPr>
                <w:rFonts w:asciiTheme="minorHAnsi" w:eastAsia="Calibri" w:hAnsiTheme="minorHAnsi" w:cstheme="minorHAnsi"/>
                <w:b w:val="0"/>
                <w:sz w:val="22"/>
              </w:rPr>
              <w:t xml:space="preserve"> </w:t>
            </w:r>
          </w:p>
          <w:p w14:paraId="694E3D9C" w14:textId="278AFE1B" w:rsidR="004F0427" w:rsidRPr="004D25D9" w:rsidRDefault="00D23FD5" w:rsidP="00103D76">
            <w:pPr>
              <w:pStyle w:val="Akapitzlist"/>
              <w:numPr>
                <w:ilvl w:val="0"/>
                <w:numId w:val="13"/>
              </w:numPr>
              <w:spacing w:before="0"/>
              <w:rPr>
                <w:rFonts w:asciiTheme="minorHAnsi" w:eastAsia="Calibri" w:hAnsiTheme="minorHAnsi" w:cstheme="minorHAnsi"/>
                <w:b w:val="0"/>
                <w:sz w:val="22"/>
              </w:rPr>
            </w:pPr>
            <w:r w:rsidRPr="004D25D9">
              <w:rPr>
                <w:rFonts w:asciiTheme="minorHAnsi" w:eastAsia="Calibri" w:hAnsiTheme="minorHAnsi" w:cstheme="minorHAnsi"/>
                <w:b w:val="0"/>
                <w:sz w:val="22"/>
              </w:rPr>
              <w:t>Wymóg pełnej gotowości projektowej na etapie składania wniosku – bariera dla mniejszych JST (czynnik nieaktualny po wprowadzeniu ułatwień)</w:t>
            </w:r>
            <w:r w:rsidR="00A03189" w:rsidRPr="004D25D9">
              <w:rPr>
                <w:rFonts w:asciiTheme="minorHAnsi" w:eastAsia="Calibri" w:hAnsiTheme="minorHAnsi" w:cstheme="minorHAnsi"/>
                <w:b w:val="0"/>
                <w:sz w:val="22"/>
              </w:rPr>
              <w:t>.</w:t>
            </w:r>
          </w:p>
        </w:tc>
        <w:tc>
          <w:tcPr>
            <w:tcW w:w="4531" w:type="dxa"/>
          </w:tcPr>
          <w:p w14:paraId="5050FA6B" w14:textId="191E2B72"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lastRenderedPageBreak/>
              <w:t>Niedostateczny potencjał aplikacyjny wnioskodawców, ograniczone zasoby kadrowe i techniczne – w szczególności mniejszych JST</w:t>
            </w:r>
            <w:r w:rsidR="00A03189" w:rsidRPr="004D25D9">
              <w:rPr>
                <w:rFonts w:asciiTheme="minorHAnsi" w:eastAsia="Calibri" w:hAnsiTheme="minorHAnsi" w:cstheme="minorHAnsi"/>
                <w:sz w:val="22"/>
              </w:rPr>
              <w:t>.</w:t>
            </w:r>
          </w:p>
          <w:p w14:paraId="4DA3C2B9" w14:textId="64E016E7"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Wysokie koszty przygotowania dokumentacji</w:t>
            </w:r>
            <w:r w:rsidR="00A03189" w:rsidRPr="004D25D9">
              <w:rPr>
                <w:rFonts w:asciiTheme="minorHAnsi" w:eastAsia="Calibri" w:hAnsiTheme="minorHAnsi" w:cstheme="minorHAnsi"/>
                <w:sz w:val="22"/>
              </w:rPr>
              <w:t>.</w:t>
            </w:r>
          </w:p>
          <w:p w14:paraId="1E72039C" w14:textId="3AC2CF97"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Późne wejście w życie rozporządzeń środowiskowych, utrudniające przygotowanie inwestycji</w:t>
            </w:r>
            <w:r w:rsidR="00A03189" w:rsidRPr="004D25D9">
              <w:rPr>
                <w:rFonts w:asciiTheme="minorHAnsi" w:eastAsia="Calibri" w:hAnsiTheme="minorHAnsi" w:cstheme="minorHAnsi"/>
                <w:sz w:val="22"/>
              </w:rPr>
              <w:t>.</w:t>
            </w:r>
          </w:p>
          <w:p w14:paraId="17012754" w14:textId="134F1EF2"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Ograniczające zapisy ustaw sektorowych (np. ustawa o pomocy społecznej zawężająca krąg uprawnionych w </w:t>
            </w:r>
            <w:r w:rsidRPr="004D25D9">
              <w:rPr>
                <w:rFonts w:asciiTheme="minorHAnsi" w:eastAsia="Calibri" w:hAnsiTheme="minorHAnsi" w:cstheme="minorHAnsi"/>
                <w:sz w:val="22"/>
              </w:rPr>
              <w:lastRenderedPageBreak/>
              <w:t>Działaniu 8.24</w:t>
            </w:r>
            <w:r w:rsidR="00A03189" w:rsidRPr="004D25D9">
              <w:rPr>
                <w:rFonts w:asciiTheme="minorHAnsi" w:eastAsia="Calibri" w:hAnsiTheme="minorHAnsi" w:cstheme="minorHAnsi"/>
                <w:sz w:val="22"/>
              </w:rPr>
              <w:t xml:space="preserve"> Usługi społeczne i zdrowotne</w:t>
            </w:r>
            <w:r w:rsidRPr="004D25D9">
              <w:rPr>
                <w:rFonts w:asciiTheme="minorHAnsi" w:eastAsia="Calibri" w:hAnsiTheme="minorHAnsi" w:cstheme="minorHAnsi"/>
                <w:sz w:val="22"/>
              </w:rPr>
              <w:t>)</w:t>
            </w:r>
            <w:r w:rsidR="00A03189" w:rsidRPr="004D25D9">
              <w:rPr>
                <w:rFonts w:asciiTheme="minorHAnsi" w:eastAsia="Calibri" w:hAnsiTheme="minorHAnsi" w:cstheme="minorHAnsi"/>
                <w:sz w:val="22"/>
              </w:rPr>
              <w:t>.</w:t>
            </w:r>
          </w:p>
          <w:p w14:paraId="224E8913" w14:textId="338C038B"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Limity finansowe i kryteria czyniące projekty nieopłacalnymi (np. </w:t>
            </w:r>
            <w:r w:rsidR="005E14F1">
              <w:rPr>
                <w:rFonts w:asciiTheme="minorHAnsi" w:eastAsia="Calibri" w:hAnsiTheme="minorHAnsi" w:cstheme="minorHAnsi"/>
                <w:sz w:val="22"/>
              </w:rPr>
              <w:t xml:space="preserve">zbyt </w:t>
            </w:r>
            <w:r w:rsidRPr="004D25D9">
              <w:rPr>
                <w:rFonts w:asciiTheme="minorHAnsi" w:eastAsia="Calibri" w:hAnsiTheme="minorHAnsi" w:cstheme="minorHAnsi"/>
                <w:sz w:val="22"/>
              </w:rPr>
              <w:t>niski koszt na miejsce w mieszkaniach treningowych</w:t>
            </w:r>
            <w:r w:rsidR="005E14F1">
              <w:rPr>
                <w:rFonts w:asciiTheme="minorHAnsi" w:eastAsia="Calibri" w:hAnsiTheme="minorHAnsi" w:cstheme="minorHAnsi"/>
                <w:sz w:val="22"/>
              </w:rPr>
              <w:t xml:space="preserve">, </w:t>
            </w:r>
            <w:r w:rsidR="00A537FD">
              <w:rPr>
                <w:rFonts w:asciiTheme="minorHAnsi" w:eastAsia="Calibri" w:hAnsiTheme="minorHAnsi" w:cstheme="minorHAnsi"/>
                <w:sz w:val="22"/>
              </w:rPr>
              <w:t xml:space="preserve">wymagana </w:t>
            </w:r>
            <w:r w:rsidR="005E14F1">
              <w:rPr>
                <w:rFonts w:asciiTheme="minorHAnsi" w:eastAsia="Calibri" w:hAnsiTheme="minorHAnsi" w:cstheme="minorHAnsi"/>
                <w:sz w:val="22"/>
              </w:rPr>
              <w:t xml:space="preserve">maksymalna </w:t>
            </w:r>
            <w:r w:rsidR="005E14F1" w:rsidRPr="004D25D9">
              <w:rPr>
                <w:rFonts w:asciiTheme="minorHAnsi" w:eastAsia="Calibri" w:hAnsiTheme="minorHAnsi" w:cstheme="minorHAnsi"/>
                <w:sz w:val="22"/>
              </w:rPr>
              <w:t xml:space="preserve">liczba </w:t>
            </w:r>
            <w:r w:rsidR="005E14F1">
              <w:rPr>
                <w:rFonts w:asciiTheme="minorHAnsi" w:eastAsia="Calibri" w:hAnsiTheme="minorHAnsi" w:cstheme="minorHAnsi"/>
                <w:sz w:val="22"/>
              </w:rPr>
              <w:t xml:space="preserve">3 </w:t>
            </w:r>
            <w:r w:rsidR="005E14F1" w:rsidRPr="004D25D9">
              <w:rPr>
                <w:rFonts w:asciiTheme="minorHAnsi" w:eastAsia="Calibri" w:hAnsiTheme="minorHAnsi" w:cstheme="minorHAnsi"/>
                <w:sz w:val="22"/>
              </w:rPr>
              <w:t>miejsc w mieszkaniach wspomaganych</w:t>
            </w:r>
            <w:r w:rsidRPr="004D25D9">
              <w:rPr>
                <w:rFonts w:asciiTheme="minorHAnsi" w:eastAsia="Calibri" w:hAnsiTheme="minorHAnsi" w:cstheme="minorHAnsi"/>
                <w:sz w:val="22"/>
              </w:rPr>
              <w:t>)</w:t>
            </w:r>
            <w:r w:rsidR="00A03189" w:rsidRPr="004D25D9">
              <w:rPr>
                <w:rFonts w:asciiTheme="minorHAnsi" w:eastAsia="Calibri" w:hAnsiTheme="minorHAnsi" w:cstheme="minorHAnsi"/>
                <w:sz w:val="22"/>
              </w:rPr>
              <w:t>.</w:t>
            </w:r>
          </w:p>
          <w:p w14:paraId="6306C900" w14:textId="2A3D5630" w:rsidR="00494840"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Niedoskonałości systemu informatycznego SOWA – brak szczegółowego budżetu, konieczność wprowadzania zbędnych wskaźników</w:t>
            </w:r>
            <w:r w:rsidR="00A03189" w:rsidRPr="004D25D9">
              <w:rPr>
                <w:rFonts w:asciiTheme="minorHAnsi" w:eastAsia="Calibri" w:hAnsiTheme="minorHAnsi" w:cstheme="minorHAnsi"/>
                <w:sz w:val="22"/>
              </w:rPr>
              <w:t>.</w:t>
            </w:r>
          </w:p>
          <w:p w14:paraId="799E7F15" w14:textId="3AF4B2E5" w:rsidR="004F0427" w:rsidRPr="004D25D9" w:rsidRDefault="00494840" w:rsidP="00103D76">
            <w:pPr>
              <w:pStyle w:val="Akapitzlist"/>
              <w:numPr>
                <w:ilvl w:val="0"/>
                <w:numId w:val="13"/>
              </w:numPr>
              <w:spacing w:before="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 w:val="22"/>
              </w:rPr>
            </w:pPr>
            <w:r w:rsidRPr="004D25D9">
              <w:rPr>
                <w:rFonts w:asciiTheme="minorHAnsi" w:eastAsia="Calibri" w:hAnsiTheme="minorHAnsi" w:cstheme="minorHAnsi"/>
                <w:sz w:val="22"/>
              </w:rPr>
              <w:t xml:space="preserve">Dostępność alternatywnych źródeł finansowania (np. Polski Ład, KPO – prostsze procedury, brak </w:t>
            </w:r>
            <w:r w:rsidR="0011624E" w:rsidRPr="004D25D9">
              <w:rPr>
                <w:rFonts w:asciiTheme="minorHAnsi" w:eastAsia="Calibri" w:hAnsiTheme="minorHAnsi" w:cstheme="minorHAnsi"/>
                <w:sz w:val="22"/>
              </w:rPr>
              <w:t>wymogu</w:t>
            </w:r>
            <w:r w:rsidR="007A027D" w:rsidRPr="004D25D9">
              <w:rPr>
                <w:rFonts w:asciiTheme="minorHAnsi" w:eastAsia="Calibri" w:hAnsiTheme="minorHAnsi" w:cstheme="minorHAnsi"/>
                <w:sz w:val="22"/>
              </w:rPr>
              <w:t xml:space="preserve"> </w:t>
            </w:r>
            <w:r w:rsidRPr="004D25D9">
              <w:rPr>
                <w:rFonts w:asciiTheme="minorHAnsi" w:eastAsia="Calibri" w:hAnsiTheme="minorHAnsi" w:cstheme="minorHAnsi"/>
                <w:sz w:val="22"/>
              </w:rPr>
              <w:t>wkładu własnego)</w:t>
            </w:r>
            <w:r w:rsidR="00A03189" w:rsidRPr="004D25D9">
              <w:rPr>
                <w:rFonts w:asciiTheme="minorHAnsi" w:eastAsia="Calibri" w:hAnsiTheme="minorHAnsi" w:cstheme="minorHAnsi"/>
                <w:sz w:val="22"/>
              </w:rPr>
              <w:t>.</w:t>
            </w:r>
          </w:p>
        </w:tc>
      </w:tr>
    </w:tbl>
    <w:p w14:paraId="60E39074" w14:textId="179563B9" w:rsidR="001E7287" w:rsidRPr="00EB4A75" w:rsidRDefault="00DF40F6" w:rsidP="00EB4A75">
      <w:pPr>
        <w:pStyle w:val="Nagwek1"/>
        <w:spacing w:before="360"/>
        <w:rPr>
          <w:rStyle w:val="normaltextrun"/>
          <w:rFonts w:asciiTheme="minorHAnsi" w:hAnsiTheme="minorHAnsi" w:cstheme="minorHAnsi"/>
          <w:color w:val="0B0E9D" w:themeColor="accent1" w:themeShade="BF"/>
          <w:sz w:val="40"/>
          <w:szCs w:val="40"/>
        </w:rPr>
      </w:pPr>
      <w:bookmarkStart w:id="16" w:name="_Toc208593146"/>
      <w:r w:rsidRPr="009E6E18">
        <w:rPr>
          <w:rStyle w:val="normaltextrun"/>
          <w:rFonts w:asciiTheme="minorHAnsi" w:hAnsiTheme="minorHAnsi" w:cstheme="minorHAnsi"/>
          <w:color w:val="0B0E9D" w:themeColor="accent1" w:themeShade="BF"/>
          <w:sz w:val="40"/>
          <w:szCs w:val="40"/>
        </w:rPr>
        <w:lastRenderedPageBreak/>
        <w:t>DZIAŁANIA WPŁYWAJĄCE NA POPRAWĘ ZAINTERESOWANIA APLIKOWANIEM O WSPARCIE</w:t>
      </w:r>
      <w:bookmarkEnd w:id="16"/>
      <w:r w:rsidRPr="00EB4A75">
        <w:rPr>
          <w:rStyle w:val="normaltextrun"/>
          <w:rFonts w:asciiTheme="minorHAnsi" w:hAnsiTheme="minorHAnsi" w:cstheme="minorHAnsi"/>
          <w:color w:val="0B0E9D" w:themeColor="accent1" w:themeShade="BF"/>
          <w:sz w:val="40"/>
          <w:szCs w:val="40"/>
        </w:rPr>
        <w:t xml:space="preserve"> </w:t>
      </w:r>
    </w:p>
    <w:p w14:paraId="0D147CE1" w14:textId="44E876FD" w:rsidR="001A144C" w:rsidRPr="009B27CA" w:rsidRDefault="001D184C" w:rsidP="00E13A52">
      <w:pPr>
        <w:pStyle w:val="Nagwek2"/>
        <w:spacing w:before="240" w:after="120"/>
        <w:ind w:left="578" w:hanging="578"/>
        <w:rPr>
          <w:u w:val="single"/>
        </w:rPr>
      </w:pPr>
      <w:bookmarkStart w:id="17" w:name="_Toc208593147"/>
      <w:r w:rsidRPr="00F34F97">
        <w:rPr>
          <w:rFonts w:cstheme="minorHAnsi"/>
        </w:rPr>
        <w:t>Doty</w:t>
      </w:r>
      <w:r w:rsidR="00890607" w:rsidRPr="00F34F97">
        <w:rPr>
          <w:rFonts w:cstheme="minorHAnsi"/>
        </w:rPr>
        <w:t>chczasowe</w:t>
      </w:r>
      <w:r w:rsidRPr="00F34F97">
        <w:rPr>
          <w:rFonts w:cstheme="minorHAnsi"/>
        </w:rPr>
        <w:t xml:space="preserve"> działania</w:t>
      </w:r>
      <w:r w:rsidR="00030F62" w:rsidRPr="00F34F97">
        <w:rPr>
          <w:rFonts w:cstheme="minorHAnsi"/>
        </w:rPr>
        <w:t xml:space="preserve"> </w:t>
      </w:r>
      <w:r w:rsidR="00890607" w:rsidRPr="00F34F97">
        <w:rPr>
          <w:rFonts w:cstheme="minorHAnsi"/>
        </w:rPr>
        <w:t>naprawcze</w:t>
      </w:r>
      <w:bookmarkEnd w:id="17"/>
    </w:p>
    <w:p w14:paraId="308B2A21" w14:textId="77777777" w:rsidR="00BB16D3" w:rsidRDefault="00BB16D3" w:rsidP="00BB16D3">
      <w:pPr>
        <w:rPr>
          <w:rFonts w:cstheme="minorHAnsi"/>
          <w:b/>
          <w:bCs/>
          <w:color w:val="640B68" w:themeColor="accent3" w:themeShade="BF"/>
        </w:rPr>
      </w:pPr>
      <w:r>
        <w:rPr>
          <w:rFonts w:cstheme="minorHAnsi"/>
          <w:b/>
          <w:bCs/>
          <w:color w:val="640B68" w:themeColor="accent3" w:themeShade="BF"/>
        </w:rPr>
        <w:t>Zmiany</w:t>
      </w:r>
      <w:r w:rsidRPr="003F7CD7">
        <w:rPr>
          <w:rFonts w:cstheme="minorHAnsi"/>
          <w:b/>
          <w:bCs/>
          <w:color w:val="640B68" w:themeColor="accent3" w:themeShade="BF"/>
        </w:rPr>
        <w:t xml:space="preserve"> dotyczące polityki terytorialnej</w:t>
      </w:r>
    </w:p>
    <w:p w14:paraId="65DC0941" w14:textId="64F2D9B5" w:rsidR="00BB16D3" w:rsidRDefault="00BB16D3" w:rsidP="00BB16D3">
      <w:r>
        <w:t xml:space="preserve">Jak wskazano w rozdziale 4.3, na niskie zainteresowanie naborami prowadzonymi w ramach polityki terytorialnej wpływały różne czynniki/ przyczyny. </w:t>
      </w:r>
      <w:r w:rsidRPr="006F76DD">
        <w:rPr>
          <w:b/>
          <w:bCs/>
        </w:rPr>
        <w:t>IZ FEdKP 2021-2027 podjęła działania, których celem miało być zwiększenie zainteresowania aplikowaniem i/lub ułatwienie tego procesu</w:t>
      </w:r>
      <w:r>
        <w:t xml:space="preserve">. Warto zaznaczyć, że część z tych działań </w:t>
      </w:r>
      <w:r w:rsidR="000E65D5">
        <w:t xml:space="preserve">została wprowadzona </w:t>
      </w:r>
      <w:r>
        <w:t>od samego początku wdrażania Programu (w tym na podstawie doświadczeń z poprzedniej perspektywy finansowej).</w:t>
      </w:r>
    </w:p>
    <w:p w14:paraId="455BF794" w14:textId="503972A3" w:rsidR="00BB16D3" w:rsidRDefault="00BB16D3" w:rsidP="00BB16D3">
      <w:r>
        <w:t xml:space="preserve">Po pierwsze, niedługo </w:t>
      </w:r>
      <w:r w:rsidRPr="007868D7">
        <w:rPr>
          <w:b/>
          <w:bCs/>
        </w:rPr>
        <w:t>po zaakceptowaniu fiszek projektów stanowiących załączniki do porozumień</w:t>
      </w:r>
      <w:r>
        <w:t xml:space="preserve"> terytorialnych i strategii terytorialnych </w:t>
      </w:r>
      <w:r w:rsidRPr="006F76DD">
        <w:rPr>
          <w:b/>
          <w:bCs/>
        </w:rPr>
        <w:t>IZ FEdKP prowadziła spotkania z potencjalnymi wnioskodawcami (w tym przypadku JST)</w:t>
      </w:r>
      <w:r>
        <w:t>, które miały na celu wyjaśnienie wszelkich wątpliwości dot</w:t>
      </w:r>
      <w:r w:rsidR="00A03189">
        <w:t>yczących</w:t>
      </w:r>
      <w:r>
        <w:t xml:space="preserve"> przyjętych kryteriów wyboru projektów czy warunków wsparcia, ale także pozyskanie informacji nt. stanu przygotowania projektów do realizacji.</w:t>
      </w:r>
    </w:p>
    <w:p w14:paraId="7435B0FE" w14:textId="77777777" w:rsidR="00BB16D3" w:rsidRDefault="00BB16D3" w:rsidP="00BB16D3">
      <w:r>
        <w:lastRenderedPageBreak/>
        <w:t>Po drugie, mając na uwadze fakt, że strategie terytorialne były zatwierdzane (pozytywnie opiniowane) przez IZ FEdKP dopiero po zawarciu porozumień terytorialnych</w:t>
      </w:r>
      <w:r>
        <w:rPr>
          <w:rStyle w:val="Odwoanieprzypisudolnego"/>
        </w:rPr>
        <w:footnoteReference w:id="63"/>
      </w:r>
      <w:r>
        <w:t xml:space="preserve">, zdecydowano się na dość </w:t>
      </w:r>
      <w:r w:rsidRPr="00CC0774">
        <w:rPr>
          <w:b/>
          <w:bCs/>
        </w:rPr>
        <w:t>elastyczne brzmienie kryterium „Zgodność z właściwą strategią IIT dla OPPT” / „Zgodność z właściwą strategią ZIT”</w:t>
      </w:r>
      <w:r>
        <w:t>. W ramach tych kryteriów sprawdzane jest, czy:</w:t>
      </w:r>
    </w:p>
    <w:p w14:paraId="4AD4045F" w14:textId="77777777" w:rsidR="00BB16D3" w:rsidRDefault="00BB16D3" w:rsidP="00103D76">
      <w:pPr>
        <w:pStyle w:val="Akapitzlist"/>
        <w:numPr>
          <w:ilvl w:val="0"/>
          <w:numId w:val="24"/>
        </w:numPr>
      </w:pPr>
      <w:r>
        <w:t xml:space="preserve">„projekt został zamieszczony na liście podstawowej projektów, we właściwej ze względu na obszar </w:t>
      </w:r>
      <w:r w:rsidRPr="00CF1ED0">
        <w:t>strategii</w:t>
      </w:r>
      <w:r>
        <w:t xml:space="preserve"> –</w:t>
      </w:r>
      <w:r w:rsidRPr="00CF1ED0">
        <w:t xml:space="preserve"> ZIT posiadającej pozytywną opinię ministra właściwego do spraw rozwoju</w:t>
      </w:r>
      <w:r>
        <w:t xml:space="preserve"> regionalnego (jeśli dotyczy)/ IIT dla OPPT – posiadającej pozytywną opinię Instytucji Zarządzającej FEdKP;</w:t>
      </w:r>
    </w:p>
    <w:p w14:paraId="42B89358" w14:textId="77777777" w:rsidR="00BB16D3" w:rsidRDefault="00BB16D3" w:rsidP="00103D76">
      <w:pPr>
        <w:pStyle w:val="Akapitzlist"/>
        <w:numPr>
          <w:ilvl w:val="0"/>
          <w:numId w:val="24"/>
        </w:numPr>
      </w:pPr>
      <w:r>
        <w:t>wartość dofinansowania UE określona we wniosku o dofinansowanie projektu nie przekracza wartości dofinansowania UE tego projektu wskazanej w fiszkach projektowych stanowiących załącznik do porozumienia terytorialnego;</w:t>
      </w:r>
    </w:p>
    <w:p w14:paraId="3DF960D9" w14:textId="77CEF2B1" w:rsidR="00BB16D3" w:rsidRDefault="00BB16D3" w:rsidP="00103D76">
      <w:pPr>
        <w:pStyle w:val="Akapitzlist"/>
        <w:numPr>
          <w:ilvl w:val="0"/>
          <w:numId w:val="24"/>
        </w:numPr>
      </w:pPr>
      <w:r>
        <w:t>we wniosku o dofinansowanie projektu zachowano wartości wskaźników wskazane w fiszkach projektowych</w:t>
      </w:r>
      <w:r w:rsidR="00776243">
        <w:t xml:space="preserve"> </w:t>
      </w:r>
      <w:r>
        <w:t xml:space="preserve">stanowiących załącznik do porozumienia terytorialnego.” </w:t>
      </w:r>
    </w:p>
    <w:p w14:paraId="2305426B" w14:textId="3EE1D279" w:rsidR="00BB16D3" w:rsidRDefault="00BB16D3" w:rsidP="00BB16D3">
      <w:r>
        <w:t xml:space="preserve">W definicji dodano także istotne zastrzeżenie, tj.: „w przypadku gdy, właściwa ze względu na obszar, strategia ZIT / IIT dla OPPT nie została pozytywnie zaopiniowana przez </w:t>
      </w:r>
      <w:r w:rsidRPr="009F7355">
        <w:t>ministra właściwego do spraw rozwoju regionalnego (jeśli dotyczy) lub Instytucję Zarządzającą</w:t>
      </w:r>
      <w:r w:rsidR="00955633">
        <w:t xml:space="preserve"> (w przypadku ZIT)</w:t>
      </w:r>
      <w:r>
        <w:t xml:space="preserve"> / Instytucję Zarządzającą</w:t>
      </w:r>
      <w:r w:rsidR="00955633">
        <w:t xml:space="preserve"> (w przypadku OPPT)</w:t>
      </w:r>
      <w:r>
        <w:t xml:space="preserve"> wnioskodawca zobowiązany jest załączyć do wniosku o dofinansowanie projektu oświadczenie organu lub podmiotu odpowiedzialnego za przygotowanie właściwej strategii ZIT / IIT dla OPPT potwierdzające, że projekt zostanie zamieszczony”. Zastosowane rozwiązanie miało umożliwić wnioskodawcom aplikowanie nawet w sytuacji braku przyjętej strategii. W takiej sytuacji, po wyborze projektu do dofinansowania, zawarcie UoD możliwe było dopiero po formalnym przyjęciu danej strategii przez właściwą instytucję. Samo rozwiązanie należy ocenić pozytywnie. Problem polegał jednak na tym, że w definicji kryterium odwoływano się nie tylko do strategii, ale także porozumienia terytorialnego – musiało być ono już zawarte w chwili składania wniosku o dofinansowanie przez wnioskodawcę. </w:t>
      </w:r>
      <w:r w:rsidR="007B63E3">
        <w:t>Jak wskazaliśmy jednak w rozdziale 4.3.2</w:t>
      </w:r>
      <w:r>
        <w:t>, wnioskodawcy niechętnie korzystali z możliwości przedkładania oświadczeń w sytuacji braku przyjętej strategii terytorialnej. Wynikało to np. z tego, że nie byli do końca pewni co do części „parametrów” swoich projektów – np. daty rozpoczęcia i zakończenia realizacji projektu (daty te musiały być wpisane w WoD) były w sporej mierze uzależnione od rzeczywistej daty zatwierdzenia strategii.</w:t>
      </w:r>
      <w:r w:rsidR="00776243">
        <w:t xml:space="preserve"> </w:t>
      </w:r>
    </w:p>
    <w:p w14:paraId="1BD1D7B1" w14:textId="0D045A95" w:rsidR="00BB16D3" w:rsidRPr="0077435D" w:rsidRDefault="00BB16D3" w:rsidP="00BB16D3">
      <w:r>
        <w:lastRenderedPageBreak/>
        <w:t xml:space="preserve">Po trzecie, IZ FEdKP zawierając z poszczególnymi partnerstwami porozumienia terytorialne wprowadziła do ich treści </w:t>
      </w:r>
      <w:r w:rsidRPr="007A2AD3">
        <w:rPr>
          <w:b/>
          <w:bCs/>
        </w:rPr>
        <w:t>zapisy mające służyć lepszemu dopasowaniu alokacji Programu do zmieniających się potrzeb członków partnerstw</w:t>
      </w:r>
      <w:r>
        <w:t xml:space="preserve">, a co za tym idzie – także większemu zainteresowaniu ogłaszanymi naborami. W tym celu zastosowano zapisy </w:t>
      </w:r>
      <w:r w:rsidR="00C35A7D">
        <w:t>dające</w:t>
      </w:r>
      <w:r w:rsidR="001A5FE0">
        <w:t xml:space="preserve"> możliwość</w:t>
      </w:r>
      <w:r w:rsidR="00C35A7D">
        <w:t xml:space="preserve"> </w:t>
      </w:r>
      <w:r>
        <w:t xml:space="preserve">– niezależnie od procesu aktualizacji strategii terytorialnych – </w:t>
      </w:r>
      <w:r w:rsidR="001A5FE0">
        <w:t xml:space="preserve">uzyskania zgody IZ FEdKP </w:t>
      </w:r>
      <w:r>
        <w:t xml:space="preserve">na </w:t>
      </w:r>
      <w:r w:rsidR="001A5FE0">
        <w:rPr>
          <w:b/>
          <w:bCs/>
        </w:rPr>
        <w:t>przesunięcie</w:t>
      </w:r>
      <w:r w:rsidR="001A5FE0" w:rsidRPr="00FD264E">
        <w:rPr>
          <w:b/>
          <w:bCs/>
        </w:rPr>
        <w:t xml:space="preserve"> </w:t>
      </w:r>
      <w:r w:rsidRPr="00FD264E">
        <w:rPr>
          <w:b/>
          <w:bCs/>
        </w:rPr>
        <w:t xml:space="preserve">środków (alokacji) pomiędzy poszczególnymi celami szczegółowymi w ramach tego samego </w:t>
      </w:r>
      <w:r w:rsidR="004E7F0E">
        <w:rPr>
          <w:b/>
          <w:bCs/>
        </w:rPr>
        <w:t>Celu Polityki</w:t>
      </w:r>
      <w:r>
        <w:rPr>
          <w:rStyle w:val="Odwoanieprzypisudolnego"/>
        </w:rPr>
        <w:footnoteReference w:id="64"/>
      </w:r>
      <w:r>
        <w:rPr>
          <w:b/>
          <w:bCs/>
        </w:rPr>
        <w:t xml:space="preserve">. </w:t>
      </w:r>
      <w:r>
        <w:t>Co więcej, w treści porozumień terytorialnych opisano możliwość dodawania / aktualizowania zakresów wcześniej przyjętych fiszek projektowych</w:t>
      </w:r>
      <w:r>
        <w:rPr>
          <w:rStyle w:val="Odwoanieprzypisudolnego"/>
        </w:rPr>
        <w:footnoteReference w:id="65"/>
      </w:r>
      <w:r>
        <w:t>. Proces ten również jest niezależny od procesu aktualizacji samej strategii, co należy uznać za słuszne działanie, bowiem zgodnie z zasadami wdrażania polityki terytorialnej</w:t>
      </w:r>
      <w:r>
        <w:rPr>
          <w:rStyle w:val="Odwoanieprzypisudolnego"/>
        </w:rPr>
        <w:footnoteReference w:id="66"/>
      </w:r>
      <w:r>
        <w:t xml:space="preserve">, </w:t>
      </w:r>
      <w:r w:rsidRPr="006C36A8">
        <w:t>aktualizacj</w:t>
      </w:r>
      <w:r w:rsidR="00E4650A">
        <w:t>a</w:t>
      </w:r>
      <w:r w:rsidRPr="006C36A8">
        <w:t xml:space="preserve"> strategii terytorialnej </w:t>
      </w:r>
      <w:r>
        <w:t>jest</w:t>
      </w:r>
      <w:r w:rsidRPr="006C36A8">
        <w:t xml:space="preserve"> możliw</w:t>
      </w:r>
      <w:r w:rsidR="00E4650A">
        <w:t>a</w:t>
      </w:r>
      <w:r w:rsidRPr="006C36A8">
        <w:t xml:space="preserve"> jedynie dwa razy w ciągu roku</w:t>
      </w:r>
      <w:r>
        <w:rPr>
          <w:rStyle w:val="Odwoanieprzypisudolnego"/>
        </w:rPr>
        <w:footnoteReference w:id="67"/>
      </w:r>
      <w:r w:rsidRPr="006C36A8">
        <w:t xml:space="preserve">. </w:t>
      </w:r>
      <w:r w:rsidR="007E0049" w:rsidRPr="00B13025">
        <w:t>W praktyce</w:t>
      </w:r>
      <w:r w:rsidR="00C9143C" w:rsidRPr="00B13025">
        <w:t xml:space="preserve">, w pierwszej kolejności </w:t>
      </w:r>
      <w:r w:rsidR="004B060D" w:rsidRPr="00B13025">
        <w:t>aktualizowana</w:t>
      </w:r>
      <w:r w:rsidR="00DA784B" w:rsidRPr="00B13025">
        <w:t xml:space="preserve"> </w:t>
      </w:r>
      <w:r w:rsidR="004B060D" w:rsidRPr="00B13025">
        <w:t xml:space="preserve">jest zatem </w:t>
      </w:r>
      <w:r w:rsidR="00DA784B" w:rsidRPr="00B13025">
        <w:t>list</w:t>
      </w:r>
      <w:r w:rsidR="004B060D" w:rsidRPr="00B13025">
        <w:t>a</w:t>
      </w:r>
      <w:r w:rsidR="00DA784B" w:rsidRPr="00B13025">
        <w:t xml:space="preserve"> projektów podstawowych w porozumieni</w:t>
      </w:r>
      <w:r w:rsidR="004B060D" w:rsidRPr="00B13025">
        <w:t>u</w:t>
      </w:r>
      <w:r w:rsidR="00DA784B" w:rsidRPr="00B13025">
        <w:t xml:space="preserve"> terytorialny</w:t>
      </w:r>
      <w:r w:rsidR="004B060D" w:rsidRPr="00B13025">
        <w:t xml:space="preserve">m, w tym fiszki projektowe </w:t>
      </w:r>
      <w:r w:rsidR="004B060D" w:rsidRPr="00077CA0">
        <w:t>stanowiące załącznik do porozumienia, a dopiero w dalszej kolejności wymagana jest aktualizacja strategii terytorialnej, która to stanowi warunek zawarcia umowy o dofinansowanie projektu</w:t>
      </w:r>
      <w:r w:rsidR="004B060D" w:rsidRPr="00B13025">
        <w:t>.</w:t>
      </w:r>
      <w:r w:rsidR="004B060D">
        <w:t xml:space="preserve"> </w:t>
      </w:r>
      <w:r>
        <w:t xml:space="preserve">W ocenie przedstawicieli </w:t>
      </w:r>
      <w:r w:rsidRPr="005833B9">
        <w:t>UMWKP oraz IP ZIT BydOF zaangażowan</w:t>
      </w:r>
      <w:r>
        <w:t>ych</w:t>
      </w:r>
      <w:r w:rsidRPr="005833B9">
        <w:t xml:space="preserve"> w realizację FEdKP 2021-2027</w:t>
      </w:r>
      <w:r>
        <w:t xml:space="preserve"> oraz przedstawicieli wybranych JST </w:t>
      </w:r>
      <w:r w:rsidRPr="00C8241D">
        <w:t>tworzących i/lub będących liderem ZIT/OPPT</w:t>
      </w:r>
      <w:r>
        <w:t xml:space="preserve"> rozwiązania te faktycznie zapewni</w:t>
      </w:r>
      <w:r w:rsidR="005678CD">
        <w:t>ają</w:t>
      </w:r>
      <w:r>
        <w:t xml:space="preserve"> możliwość wydatkowania alokacji, nawet w sytuacji gdy dochodzi do rezygnowania lub modyfikacji zakresów pierwotnie identyfikowanych projektów</w:t>
      </w:r>
      <w:r w:rsidR="005678CD">
        <w:t>.</w:t>
      </w:r>
      <w:r>
        <w:t xml:space="preserve"> </w:t>
      </w:r>
    </w:p>
    <w:p w14:paraId="5C4C6C74" w14:textId="40B58A9B" w:rsidR="00BB16D3" w:rsidRDefault="00BB16D3" w:rsidP="00BB16D3">
      <w:r>
        <w:t>Po czwarte, IZ FEdKP – dostrzegając trudności dotyczące skuteczności naborów prowadzonych w ramach polityki terytorialnej – prowadziła</w:t>
      </w:r>
      <w:r w:rsidR="00D47FD1">
        <w:t xml:space="preserve"> na bie</w:t>
      </w:r>
      <w:r w:rsidR="00A978D2">
        <w:t>żąco</w:t>
      </w:r>
      <w:r>
        <w:t xml:space="preserve"> </w:t>
      </w:r>
      <w:r w:rsidRPr="00621CC3">
        <w:rPr>
          <w:b/>
          <w:bCs/>
        </w:rPr>
        <w:t>spotkania z przedstawicielami wszystkich partnerstw terytorialnych</w:t>
      </w:r>
      <w:r>
        <w:t xml:space="preserve">. Jak wskazywali w wywiadach przedstawiciele </w:t>
      </w:r>
      <w:r w:rsidRPr="005833B9">
        <w:t>UMWKP oraz IP ZIT BydOF zaangażowan</w:t>
      </w:r>
      <w:r>
        <w:t>i</w:t>
      </w:r>
      <w:r w:rsidRPr="005833B9">
        <w:t xml:space="preserve"> w realizację FEdKP 2021-2027</w:t>
      </w:r>
      <w:r>
        <w:t>, przedmiotem</w:t>
      </w:r>
      <w:r w:rsidR="005678CD">
        <w:t xml:space="preserve"> spotkań</w:t>
      </w:r>
      <w:r>
        <w:t xml:space="preserve"> było identyfikowanie i omawianie napotykanych problemów i trudności w aplikowaniu</w:t>
      </w:r>
      <w:r w:rsidR="00F7367C">
        <w:t xml:space="preserve"> oraz</w:t>
      </w:r>
      <w:r>
        <w:t xml:space="preserve"> identyfikowanie możliwych zmian, jakie są pożądane ze strony potencjalnych wnioskodawców. </w:t>
      </w:r>
      <w:r w:rsidR="00C428A5">
        <w:t xml:space="preserve">Dodatkowo </w:t>
      </w:r>
      <w:r w:rsidR="00C428A5" w:rsidRPr="00C428A5">
        <w:t xml:space="preserve">organizowano </w:t>
      </w:r>
      <w:r w:rsidR="00C428A5">
        <w:t xml:space="preserve">tzw. </w:t>
      </w:r>
      <w:r w:rsidR="00C428A5" w:rsidRPr="00C428A5">
        <w:t>spotkania podsumowujące</w:t>
      </w:r>
      <w:r w:rsidR="00C428A5">
        <w:t>,</w:t>
      </w:r>
      <w:r w:rsidR="00C428A5" w:rsidRPr="00C428A5">
        <w:t xml:space="preserve"> </w:t>
      </w:r>
      <w:r w:rsidR="00C428A5">
        <w:t>d</w:t>
      </w:r>
      <w:r w:rsidR="00C428A5" w:rsidRPr="00C428A5">
        <w:t xml:space="preserve">zięki </w:t>
      </w:r>
      <w:r w:rsidR="00C428A5">
        <w:t>którym</w:t>
      </w:r>
      <w:r w:rsidR="00C428A5" w:rsidRPr="00C428A5">
        <w:t xml:space="preserve"> diagnozowano </w:t>
      </w:r>
      <w:r w:rsidR="00C428A5">
        <w:t xml:space="preserve">różnego </w:t>
      </w:r>
      <w:r w:rsidR="00C428A5">
        <w:lastRenderedPageBreak/>
        <w:t>rodzaju</w:t>
      </w:r>
      <w:r w:rsidR="00C428A5" w:rsidRPr="00C428A5">
        <w:t xml:space="preserve"> problemy u poszczególnych Partnerów</w:t>
      </w:r>
      <w:r w:rsidR="00C428A5">
        <w:t>, w tym</w:t>
      </w:r>
      <w:r w:rsidR="00C428A5" w:rsidRPr="00C428A5">
        <w:t xml:space="preserve"> </w:t>
      </w:r>
      <w:r w:rsidR="00C428A5">
        <w:t>p</w:t>
      </w:r>
      <w:r w:rsidR="00C428A5" w:rsidRPr="00C428A5">
        <w:t>otrzeb</w:t>
      </w:r>
      <w:r w:rsidR="00C428A5">
        <w:t>ę</w:t>
      </w:r>
      <w:r w:rsidR="00C428A5" w:rsidRPr="00C428A5">
        <w:t xml:space="preserve"> </w:t>
      </w:r>
      <w:r w:rsidR="00C428A5">
        <w:t>dokonania</w:t>
      </w:r>
      <w:r w:rsidR="00C428A5" w:rsidRPr="00C428A5">
        <w:t xml:space="preserve"> przesunięć środków</w:t>
      </w:r>
      <w:r w:rsidR="00C428A5">
        <w:t xml:space="preserve"> czy </w:t>
      </w:r>
      <w:r w:rsidR="00C428A5" w:rsidRPr="00C428A5">
        <w:t xml:space="preserve">zmiany </w:t>
      </w:r>
      <w:r w:rsidR="00C428A5">
        <w:t>przedsięwzięć</w:t>
      </w:r>
      <w:r w:rsidR="00C428A5" w:rsidRPr="00C428A5">
        <w:t xml:space="preserve"> objętych wsparciem.</w:t>
      </w:r>
    </w:p>
    <w:p w14:paraId="7AE97F18" w14:textId="7CF427F7" w:rsidR="00BB16D3" w:rsidRPr="008B55A2" w:rsidRDefault="00BB16D3" w:rsidP="00BB16D3">
      <w:r>
        <w:t xml:space="preserve">Po piąte, IZ FEdKP – w odpowiedzi na występujące trudności w zakresie skuteczności naborów – podjęła decyzję o </w:t>
      </w:r>
      <w:r w:rsidRPr="005E4A33">
        <w:rPr>
          <w:b/>
          <w:bCs/>
        </w:rPr>
        <w:t>odstąpieniu od zasady „maksymalnie 2 naborów na 1 obszar tematyczny”</w:t>
      </w:r>
      <w:r>
        <w:rPr>
          <w:rStyle w:val="Odwoanieprzypisudolnego"/>
        </w:rPr>
        <w:footnoteReference w:id="68"/>
      </w:r>
      <w:r>
        <w:rPr>
          <w:b/>
          <w:bCs/>
        </w:rPr>
        <w:t xml:space="preserve">. </w:t>
      </w:r>
      <w:r w:rsidR="0018317D">
        <w:t>D</w:t>
      </w:r>
      <w:r w:rsidR="0018317D" w:rsidRPr="00077CA0">
        <w:t>ecyzja</w:t>
      </w:r>
      <w:r w:rsidR="00403710">
        <w:t xml:space="preserve"> ta</w:t>
      </w:r>
      <w:r w:rsidR="0018317D" w:rsidRPr="00077CA0">
        <w:t xml:space="preserve"> zapadła po zaprzestaniu ogłaszania naborów tzw. ciągłych, które </w:t>
      </w:r>
      <w:r w:rsidR="008A20F7">
        <w:t>uznano za</w:t>
      </w:r>
      <w:r w:rsidR="0018317D" w:rsidRPr="00077CA0">
        <w:t xml:space="preserve"> nieefektywne</w:t>
      </w:r>
      <w:r w:rsidR="008A20F7">
        <w:t xml:space="preserve"> oraz</w:t>
      </w:r>
      <w:r w:rsidR="0018317D" w:rsidRPr="00077CA0">
        <w:t xml:space="preserve"> na prośbę </w:t>
      </w:r>
      <w:r w:rsidR="0072173C">
        <w:t>przedstawicieli partnerstw</w:t>
      </w:r>
      <w:r w:rsidR="0018317D" w:rsidRPr="00077CA0">
        <w:t>.</w:t>
      </w:r>
      <w:r w:rsidR="00096E59">
        <w:t xml:space="preserve"> Po tej zmianie </w:t>
      </w:r>
      <w:r w:rsidR="006B1C48">
        <w:t xml:space="preserve">zaczęto </w:t>
      </w:r>
      <w:r w:rsidR="000068A4">
        <w:t>ogłasza</w:t>
      </w:r>
      <w:r w:rsidR="006B1C48">
        <w:t>ć</w:t>
      </w:r>
      <w:r w:rsidR="000068A4">
        <w:t xml:space="preserve"> krótkie, celowane nabory</w:t>
      </w:r>
      <w:r w:rsidR="006B1C48">
        <w:t>.</w:t>
      </w:r>
      <w:r w:rsidR="0018317D" w:rsidRPr="0018317D">
        <w:rPr>
          <w:b/>
          <w:bCs/>
        </w:rPr>
        <w:t xml:space="preserve"> </w:t>
      </w:r>
      <w:r>
        <w:t xml:space="preserve">Rozwiązanie to należy uznać za słuszne zważywszy na niski poziom zainteresowania częścią naborów w ramach polityki terytorialnej (zgodnie z informacjami z rozdziału 4.1). Warto podkreślić jednak, że odstąpienie od tej zasady nie oznacza jednocześnie rezygnacji z ustalonych terminów granicznych na ogłoszenie wszystkich możliwych naborów w ramach polityki terytorialnej. Zgodnie z informacjami pozyskanymi od </w:t>
      </w:r>
      <w:r w:rsidRPr="000B679E">
        <w:t>przedstawiciel</w:t>
      </w:r>
      <w:r>
        <w:t>i</w:t>
      </w:r>
      <w:r w:rsidRPr="000B679E">
        <w:t xml:space="preserve"> UMWKP oraz IP ZIT BydOF zaangażowan</w:t>
      </w:r>
      <w:r>
        <w:t>ymi</w:t>
      </w:r>
      <w:r w:rsidRPr="000B679E">
        <w:t xml:space="preserve"> w realizację FEdKP 2021-2027</w:t>
      </w:r>
      <w:r>
        <w:t xml:space="preserve"> aktualnie wiążące są założenia zawarte w </w:t>
      </w:r>
      <w:r w:rsidRPr="00C56E36">
        <w:t>Zasad</w:t>
      </w:r>
      <w:r>
        <w:t>ach</w:t>
      </w:r>
      <w:r w:rsidRPr="00C56E36">
        <w:t xml:space="preserve"> prowadzenia polityki terytorialnej województwa kujawsko-pomorskiego</w:t>
      </w:r>
      <w:r>
        <w:rPr>
          <w:rStyle w:val="Odwoanieprzypisudolnego"/>
        </w:rPr>
        <w:footnoteReference w:id="69"/>
      </w:r>
      <w:r>
        <w:t>, które wskazują, że o</w:t>
      </w:r>
      <w:r w:rsidRPr="00620822">
        <w:t>głaszanie ostatnich naborów</w:t>
      </w:r>
      <w:r>
        <w:t xml:space="preserve"> w ramach polityki terytorialnej miało nastąpić</w:t>
      </w:r>
      <w:r w:rsidRPr="00620822">
        <w:t xml:space="preserve"> do połowy 2025 r.</w:t>
      </w:r>
      <w:r>
        <w:t xml:space="preserve"> Uczestnicy wywiadów wskazywali także, że wszystkie WoD powinny być złożone maksymalnie do końca sierpnia.</w:t>
      </w:r>
    </w:p>
    <w:p w14:paraId="22FF6AB1" w14:textId="77777777" w:rsidR="008711D0" w:rsidRPr="00743722" w:rsidRDefault="008711D0" w:rsidP="008711D0">
      <w:pPr>
        <w:rPr>
          <w:rFonts w:cstheme="minorHAnsi"/>
          <w:b/>
          <w:bCs/>
          <w:color w:val="640B68" w:themeColor="accent3" w:themeShade="BF"/>
        </w:rPr>
      </w:pPr>
      <w:r w:rsidRPr="00743722">
        <w:rPr>
          <w:rFonts w:cstheme="minorHAnsi"/>
          <w:b/>
          <w:bCs/>
          <w:color w:val="640B68" w:themeColor="accent3" w:themeShade="BF"/>
        </w:rPr>
        <w:t>Zmiany w kryterium gotowości technicznej</w:t>
      </w:r>
    </w:p>
    <w:p w14:paraId="3BACC1C5" w14:textId="77777777" w:rsidR="008711D0" w:rsidRDefault="008711D0" w:rsidP="008711D0">
      <w:pPr>
        <w:rPr>
          <w:rFonts w:cstheme="minorHAnsi"/>
        </w:rPr>
      </w:pPr>
      <w:r w:rsidRPr="47E09144">
        <w:rPr>
          <w:rFonts w:cstheme="minorBidi"/>
        </w:rPr>
        <w:t>Jednym z problemów dla wnioskodawców było spełnienie kryterium „Gotowość techniczna projektu do realizacji”. W pierwotnym brzmieniu (stosowanym w niemal wszystkich naborach objętych badaniem</w:t>
      </w:r>
      <w:r w:rsidRPr="47E09144">
        <w:rPr>
          <w:rStyle w:val="Odwoanieprzypisudolnego"/>
          <w:rFonts w:cstheme="minorBidi"/>
        </w:rPr>
        <w:footnoteReference w:id="70"/>
      </w:r>
      <w:r w:rsidRPr="47E09144">
        <w:rPr>
          <w:rFonts w:cstheme="minorBidi"/>
        </w:rPr>
        <w:t xml:space="preserve">) w ramach kryterium sprawdzano: </w:t>
      </w:r>
    </w:p>
    <w:p w14:paraId="6D92889E" w14:textId="77777777" w:rsidR="008711D0" w:rsidRDefault="008711D0" w:rsidP="00103D76">
      <w:pPr>
        <w:pStyle w:val="Akapitzlist"/>
        <w:numPr>
          <w:ilvl w:val="0"/>
          <w:numId w:val="26"/>
        </w:numPr>
        <w:rPr>
          <w:rFonts w:cstheme="minorHAnsi"/>
        </w:rPr>
      </w:pPr>
      <w:r w:rsidRPr="47E09144">
        <w:rPr>
          <w:rFonts w:cstheme="minorBidi"/>
        </w:rPr>
        <w:t>„czy wnioskodawca posiada prawo do dysponowania gruntami lub obiektami na cele inwestycji, posiada wymaganą dokumentację techniczną i projektową, wymagane prawem decyzje, uzgodnienia i pozwolenia administracyjne</w:t>
      </w:r>
      <w:r w:rsidRPr="47E09144">
        <w:rPr>
          <w:rStyle w:val="Odwoanieprzypisudolnego"/>
          <w:rFonts w:cstheme="minorBidi"/>
        </w:rPr>
        <w:footnoteReference w:id="71"/>
      </w:r>
      <w:r w:rsidRPr="47E09144">
        <w:rPr>
          <w:rFonts w:cstheme="minorBidi"/>
        </w:rPr>
        <w:t xml:space="preserve">”. </w:t>
      </w:r>
    </w:p>
    <w:p w14:paraId="298FFE60" w14:textId="77777777" w:rsidR="008711D0" w:rsidRPr="00672678" w:rsidRDefault="008711D0" w:rsidP="008711D0">
      <w:pPr>
        <w:rPr>
          <w:rFonts w:cstheme="minorHAnsi"/>
        </w:rPr>
      </w:pPr>
      <w:r w:rsidRPr="00672678">
        <w:rPr>
          <w:rFonts w:cstheme="minorHAnsi"/>
        </w:rPr>
        <w:t xml:space="preserve">Oznaczało to, że wnioskodawcy na etapie składania WoD musieli dysponować już pozwoleniem na budowę / zezwoleniem na realizację inwestycji, a ich wersje opatrzone klauzulą ostateczności miały być składane na etapie zawierania UoD. </w:t>
      </w:r>
    </w:p>
    <w:p w14:paraId="141E6EC9" w14:textId="77777777" w:rsidR="008711D0" w:rsidRDefault="008711D0" w:rsidP="008711D0">
      <w:pPr>
        <w:rPr>
          <w:rFonts w:cstheme="minorHAnsi"/>
        </w:rPr>
      </w:pPr>
      <w:r>
        <w:rPr>
          <w:rFonts w:cstheme="minorHAnsi"/>
        </w:rPr>
        <w:t xml:space="preserve">Z uwagi na problemy w spełnieniu tego kryterium, IZ FEdKP zdecydowała się na jego zmianę (złagodzenie). W efekcie modyfikacji, w ramach kryterium, sprawdzane jest: </w:t>
      </w:r>
    </w:p>
    <w:p w14:paraId="6E8CDA8D" w14:textId="71FD937F" w:rsidR="008711D0" w:rsidRPr="00672678" w:rsidRDefault="008711D0" w:rsidP="00103D76">
      <w:pPr>
        <w:pStyle w:val="Akapitzlist"/>
        <w:numPr>
          <w:ilvl w:val="0"/>
          <w:numId w:val="25"/>
        </w:numPr>
        <w:rPr>
          <w:rFonts w:cstheme="minorHAnsi"/>
        </w:rPr>
      </w:pPr>
      <w:r w:rsidRPr="47E09144">
        <w:rPr>
          <w:rFonts w:cstheme="minorBidi"/>
        </w:rPr>
        <w:lastRenderedPageBreak/>
        <w:t>„czy na moment złożenia wniosku o dofinansowanie wnioskodawca posiada prawo do dysponowania gruntami lub obiektami na cele inwestycji, posiada wymaganą dokumentację techniczną i projektową, wymagane prawem decyzje, uzgodnienia i pozwolenia administracyjne. Jeśli wydane pozwolenie zezwalające na realizację inwestycji (np. decyzja o pozwoleniu na budowę, zezwolenie na realizację inwestycji drogowej)</w:t>
      </w:r>
      <w:r w:rsidRPr="47E09144">
        <w:rPr>
          <w:rStyle w:val="Odwoanieprzypisudolnego"/>
          <w:rFonts w:cstheme="minorBidi"/>
        </w:rPr>
        <w:footnoteReference w:id="72"/>
      </w:r>
      <w:r w:rsidRPr="47E09144">
        <w:rPr>
          <w:rFonts w:cstheme="minorBidi"/>
        </w:rPr>
        <w:t xml:space="preserve"> nie jest prawomocne w momencie składania wniosku o dofinansowanie, należy przedłożyć decyzję opatrzoną klauzulą ostateczności najpóźniej na etapie podpisania umowy o dofinansowanie projektu. Jeśli na moment złożenia wniosku o dofinansowanie, wnioskodawca nie posiada pozwolenia administracyjnego zezwalającego na realizację inwestycji (np. decyzji o pozwoleniu na budowę, zezwolenia na realizację inwestycji drogowej), w przypadku zatwierdzenia projektu do dofinansowania zobowiązany będzie dostarczyć wymagane pozwolenie opatrzone klauzulą ostateczności w terminie wskazanym w umowie o dofinansowanie projektu</w:t>
      </w:r>
      <w:r w:rsidRPr="47E09144">
        <w:rPr>
          <w:rStyle w:val="Odwoanieprzypisudolnego"/>
          <w:rFonts w:cstheme="minorBidi"/>
        </w:rPr>
        <w:footnoteReference w:id="73"/>
      </w:r>
      <w:r w:rsidRPr="47E09144">
        <w:rPr>
          <w:rFonts w:cstheme="minorBidi"/>
        </w:rPr>
        <w:t>, jednakże nie później niż 12 m-</w:t>
      </w:r>
      <w:proofErr w:type="spellStart"/>
      <w:r w:rsidRPr="47E09144">
        <w:rPr>
          <w:rFonts w:cstheme="minorBidi"/>
        </w:rPr>
        <w:t>cy</w:t>
      </w:r>
      <w:proofErr w:type="spellEnd"/>
      <w:r w:rsidRPr="47E09144">
        <w:rPr>
          <w:rFonts w:cstheme="minorBidi"/>
        </w:rPr>
        <w:t xml:space="preserve"> od daty uchwały zarządu województwa o wyborze projektu do dofinansowania. W każdym przypadku pozwolenie nieostateczne posiadające klauzulę natychmiastowej wykonalności należy uznać za pozwolenie spełniające warunki kryterium”</w:t>
      </w:r>
      <w:r w:rsidR="0008705C">
        <w:rPr>
          <w:rFonts w:cstheme="minorBidi"/>
        </w:rPr>
        <w:t>.</w:t>
      </w:r>
    </w:p>
    <w:p w14:paraId="2CA942A4" w14:textId="6AD3A411" w:rsidR="008711D0" w:rsidRDefault="008711D0" w:rsidP="008711D0">
      <w:pPr>
        <w:rPr>
          <w:rFonts w:cstheme="minorHAnsi"/>
        </w:rPr>
      </w:pPr>
      <w:r>
        <w:rPr>
          <w:rFonts w:cstheme="minorHAnsi"/>
        </w:rPr>
        <w:t>Jak wynika z definicji zmienionego kryterium, wnioskodawcy uzyskali tym samym możliwość składania WoD bez kompletu pozwoleń, które to mogą dostarczyć do 12 m-</w:t>
      </w:r>
      <w:proofErr w:type="spellStart"/>
      <w:r>
        <w:rPr>
          <w:rFonts w:cstheme="minorHAnsi"/>
        </w:rPr>
        <w:t>cy</w:t>
      </w:r>
      <w:proofErr w:type="spellEnd"/>
      <w:r>
        <w:rPr>
          <w:rFonts w:cstheme="minorHAnsi"/>
        </w:rPr>
        <w:t xml:space="preserve"> od daty wyboru projektu do wsparcia. Jak jednak wynika z informacji od </w:t>
      </w:r>
      <w:r w:rsidRPr="000B679E">
        <w:t>przedstawiciel</w:t>
      </w:r>
      <w:r>
        <w:t>i</w:t>
      </w:r>
      <w:r w:rsidRPr="000B679E">
        <w:t xml:space="preserve"> UMWKP oraz IP ZIT BydOF zaangażowan</w:t>
      </w:r>
      <w:r>
        <w:t>y</w:t>
      </w:r>
      <w:r w:rsidR="00912F1A">
        <w:t xml:space="preserve">ch </w:t>
      </w:r>
      <w:r w:rsidRPr="000B679E">
        <w:t>w realizację FEdKP 2021-2027</w:t>
      </w:r>
      <w:r>
        <w:t>, do sierpnia 2025r. WoD</w:t>
      </w:r>
      <w:r w:rsidR="00D1199F">
        <w:t xml:space="preserve"> składane</w:t>
      </w:r>
      <w:r>
        <w:t xml:space="preserve"> bez pozwolenia na budowę stanowiły </w:t>
      </w:r>
      <w:r w:rsidR="00F60FF3">
        <w:t>mniejszość</w:t>
      </w:r>
      <w:r>
        <w:t xml:space="preserve">. W ocenie uczestników wywiadów, wynika to z faktu, że w dalszym ciągu na etapie składania WoD wnioskodawca musi dysponować kompletem dokumentów, które są </w:t>
      </w:r>
      <w:r w:rsidRPr="00673636">
        <w:t xml:space="preserve">wymagane do złożenia wniosku o wydanie </w:t>
      </w:r>
      <w:r w:rsidR="00771869">
        <w:t xml:space="preserve">takiego </w:t>
      </w:r>
      <w:r w:rsidRPr="00673636">
        <w:t>pozwolenia administracyjnego zezwalającego na realizację inwestycji</w:t>
      </w:r>
      <w:r>
        <w:t>. Można więc przypuszczać, że większość aplikujących i tak występuje i uzyskuje stosowne pozwolenia/ zezwolenia jeszcze na etapie składania wniosków.</w:t>
      </w:r>
    </w:p>
    <w:p w14:paraId="1ACDFBF9" w14:textId="77777777" w:rsidR="0034403B" w:rsidRPr="00743722" w:rsidRDefault="0034403B" w:rsidP="0034403B">
      <w:pPr>
        <w:rPr>
          <w:rFonts w:cstheme="minorHAnsi"/>
          <w:b/>
          <w:bCs/>
          <w:color w:val="640B68" w:themeColor="accent3" w:themeShade="BF"/>
        </w:rPr>
      </w:pPr>
      <w:r w:rsidRPr="00743722">
        <w:rPr>
          <w:rFonts w:cstheme="minorHAnsi"/>
          <w:b/>
          <w:bCs/>
          <w:color w:val="640B68" w:themeColor="accent3" w:themeShade="BF"/>
        </w:rPr>
        <w:t>Pytania i odpowiedzi (FAQ)</w:t>
      </w:r>
    </w:p>
    <w:p w14:paraId="6B484ECE" w14:textId="5219904E" w:rsidR="0034403B" w:rsidRPr="0005288A" w:rsidRDefault="0034403B" w:rsidP="0034403B">
      <w:pPr>
        <w:rPr>
          <w:rFonts w:cstheme="minorHAnsi"/>
        </w:rPr>
      </w:pPr>
      <w:r>
        <w:rPr>
          <w:rFonts w:cstheme="minorHAnsi"/>
        </w:rPr>
        <w:t>Jak pokazały analizy 47 naborów, w zdecydowanej większości przypadków nie publikowa</w:t>
      </w:r>
      <w:r w:rsidR="00B74D80">
        <w:rPr>
          <w:rFonts w:cstheme="minorHAnsi"/>
        </w:rPr>
        <w:t>no</w:t>
      </w:r>
      <w:r>
        <w:rPr>
          <w:rFonts w:cstheme="minorHAnsi"/>
        </w:rPr>
        <w:t xml:space="preserve"> na stronach naborów pytań wnioskodawców i odpowiedzi ze strony ION – odpowiedzi były wówczas przekazywane tylko do autorów zadawanych pytań. Informacje pozyskane od </w:t>
      </w:r>
      <w:r w:rsidRPr="000B679E">
        <w:t>przedstawiciel</w:t>
      </w:r>
      <w:r>
        <w:t>i</w:t>
      </w:r>
      <w:r w:rsidRPr="000B679E">
        <w:t xml:space="preserve"> UMWKP oraz IP (WUP i ZIT BydOF) zaangażowan</w:t>
      </w:r>
      <w:r>
        <w:t>y</w:t>
      </w:r>
      <w:r w:rsidR="0089287F">
        <w:t xml:space="preserve">ch </w:t>
      </w:r>
      <w:r w:rsidRPr="000B679E">
        <w:t>w realizację FEdKP 2021-2027</w:t>
      </w:r>
      <w:r>
        <w:t xml:space="preserve"> wskazują, że praktyka ta ulega już </w:t>
      </w:r>
      <w:r>
        <w:lastRenderedPageBreak/>
        <w:t xml:space="preserve">zmianie. Również analiza wybranych naborów z 2025 roku wskazuje, że w coraz większej ich liczbie zamieszczane są odpowiedzi na wszystkie zadane pytania. </w:t>
      </w:r>
    </w:p>
    <w:p w14:paraId="1F675BCD" w14:textId="77777777" w:rsidR="00834D09" w:rsidRPr="00743722" w:rsidRDefault="00834D09" w:rsidP="00834D09">
      <w:pPr>
        <w:rPr>
          <w:rFonts w:cstheme="minorHAnsi"/>
          <w:b/>
          <w:bCs/>
          <w:color w:val="640B68" w:themeColor="accent3" w:themeShade="BF"/>
        </w:rPr>
      </w:pPr>
      <w:r>
        <w:rPr>
          <w:rFonts w:cstheme="minorHAnsi"/>
          <w:b/>
          <w:bCs/>
          <w:color w:val="640B68" w:themeColor="accent3" w:themeShade="BF"/>
        </w:rPr>
        <w:t>Inne zmiany</w:t>
      </w:r>
    </w:p>
    <w:p w14:paraId="5B3985F6" w14:textId="77777777" w:rsidR="00834D09" w:rsidRDefault="00834D09" w:rsidP="00834D09">
      <w:pPr>
        <w:rPr>
          <w:rFonts w:cstheme="minorHAnsi"/>
        </w:rPr>
      </w:pPr>
      <w:r>
        <w:rPr>
          <w:rFonts w:cstheme="minorHAnsi"/>
        </w:rPr>
        <w:t>W ramach prowadzonych wywiadów zidentyfikowano także inne zmiany, które co prawda nie były bezpośrednio nastawione na wzrost zainteresowania naborami, a bardziej na zmniejszenie poziomu obciążeń administracyjnych dla wnioskodawców (ale także dla ION). Do takich zmian można zaliczyć np.:</w:t>
      </w:r>
    </w:p>
    <w:p w14:paraId="48D51AF0" w14:textId="77777777" w:rsidR="00834D09" w:rsidRDefault="00834D09" w:rsidP="00103D76">
      <w:pPr>
        <w:pStyle w:val="Akapitzlist"/>
        <w:numPr>
          <w:ilvl w:val="0"/>
          <w:numId w:val="27"/>
        </w:numPr>
        <w:rPr>
          <w:rFonts w:cstheme="minorHAnsi"/>
        </w:rPr>
      </w:pPr>
      <w:r>
        <w:rPr>
          <w:rFonts w:cstheme="minorHAnsi"/>
        </w:rPr>
        <w:t xml:space="preserve">Oświadczenia </w:t>
      </w:r>
      <w:r w:rsidRPr="00A841B1">
        <w:rPr>
          <w:rFonts w:cstheme="minorHAnsi"/>
        </w:rPr>
        <w:t>o kwalifikowalności podatku VAT</w:t>
      </w:r>
      <w:r>
        <w:rPr>
          <w:rFonts w:cstheme="minorHAnsi"/>
        </w:rPr>
        <w:t xml:space="preserve">. Przed zmianą, oświadczenia takie wymagane i weryfikowane były od wszystkich wnioskodawców (bez względu na wartość projektu – nawet jeśli było to poniżej kwoty granicznej). Po zmianie, ograniczono ten obowiązek tylko do </w:t>
      </w:r>
      <w:r w:rsidRPr="005933BE">
        <w:rPr>
          <w:rFonts w:cstheme="minorHAnsi"/>
        </w:rPr>
        <w:t>projekt</w:t>
      </w:r>
      <w:r>
        <w:rPr>
          <w:rFonts w:cstheme="minorHAnsi"/>
        </w:rPr>
        <w:t>ów</w:t>
      </w:r>
      <w:r w:rsidRPr="005933BE">
        <w:rPr>
          <w:rFonts w:cstheme="minorHAnsi"/>
        </w:rPr>
        <w:t>, któr</w:t>
      </w:r>
      <w:r>
        <w:rPr>
          <w:rFonts w:cstheme="minorHAnsi"/>
        </w:rPr>
        <w:t>ych</w:t>
      </w:r>
      <w:r w:rsidRPr="005933BE">
        <w:rPr>
          <w:rFonts w:cstheme="minorHAnsi"/>
        </w:rPr>
        <w:t xml:space="preserve"> łączny koszt wynosi co najmniej 5 mln EUR (włączając VAT).</w:t>
      </w:r>
    </w:p>
    <w:p w14:paraId="7C796F3E" w14:textId="3FCF322C" w:rsidR="003D4E47" w:rsidRPr="00834D09" w:rsidRDefault="00834D09" w:rsidP="00103D76">
      <w:pPr>
        <w:pStyle w:val="Akapitzlist"/>
        <w:numPr>
          <w:ilvl w:val="0"/>
          <w:numId w:val="27"/>
        </w:numPr>
      </w:pPr>
      <w:r>
        <w:rPr>
          <w:rFonts w:cstheme="minorHAnsi"/>
        </w:rPr>
        <w:t>Oświadczenia o zakończonych / niezakończonych postępowaniach przetargowych. Oświadczenia takie muszą być składane na etapie zawierania UoD. Przed zmianą, wszystkie niezakończone postępowania musiały być weryfikowane przed zawarciem UoD przez właściwą komórkę w UMWKP zajmującą się zamówieniami publicznymi. Powodowało to opóźnienia w zawieraniu UoD z uwagi na długotrwałość procesu weryfikacji (nierzadko w projektach było po kilka takich postępowań, a każde z nich obejmowało dużą liczbę dokumentów do weryfikacji). Po zmianie, wszystkie postępowania są weryfikowane już po podpisaniu umowy – nie wpływa to więc na termin jej zawarcia.</w:t>
      </w:r>
    </w:p>
    <w:p w14:paraId="3F7F5E6B" w14:textId="2E1775DF" w:rsidR="00322561" w:rsidRPr="009B27CA" w:rsidRDefault="002C1B8E" w:rsidP="00E13A52">
      <w:pPr>
        <w:pStyle w:val="Nagwek2"/>
        <w:spacing w:before="240" w:after="120"/>
        <w:ind w:left="578" w:hanging="578"/>
      </w:pPr>
      <w:bookmarkStart w:id="18" w:name="_Toc208593148"/>
      <w:r w:rsidRPr="00F34F97">
        <w:rPr>
          <w:rFonts w:cstheme="minorHAnsi"/>
        </w:rPr>
        <w:t>P</w:t>
      </w:r>
      <w:r w:rsidR="00F34F97" w:rsidRPr="00F34F97">
        <w:rPr>
          <w:rFonts w:cstheme="minorHAnsi"/>
        </w:rPr>
        <w:t>rop</w:t>
      </w:r>
      <w:r w:rsidRPr="00F34F97">
        <w:rPr>
          <w:rFonts w:cstheme="minorHAnsi"/>
        </w:rPr>
        <w:t xml:space="preserve">ozycje działań i </w:t>
      </w:r>
      <w:r w:rsidR="00A23201" w:rsidRPr="00F34F97">
        <w:rPr>
          <w:rFonts w:cstheme="minorHAnsi"/>
        </w:rPr>
        <w:t>zmian</w:t>
      </w:r>
      <w:r w:rsidRPr="00F34F97">
        <w:rPr>
          <w:rFonts w:cstheme="minorHAnsi"/>
        </w:rPr>
        <w:t xml:space="preserve"> na przyszłość</w:t>
      </w:r>
      <w:bookmarkEnd w:id="18"/>
    </w:p>
    <w:p w14:paraId="6B5FEF26" w14:textId="3B124AF1" w:rsidR="00571190" w:rsidRDefault="005B34A5">
      <w:pPr>
        <w:pStyle w:val="Nagwek3"/>
      </w:pPr>
      <w:bookmarkStart w:id="19" w:name="_Toc208593149"/>
      <w:r>
        <w:t>Z</w:t>
      </w:r>
      <w:r w:rsidR="00571190" w:rsidRPr="00B83F5C">
        <w:t xml:space="preserve">miany </w:t>
      </w:r>
      <w:r w:rsidR="00BF1CB0">
        <w:t>dotyczące polityki terytorialnej</w:t>
      </w:r>
      <w:bookmarkEnd w:id="19"/>
    </w:p>
    <w:p w14:paraId="50E5343C" w14:textId="28009846" w:rsidR="00187F39" w:rsidRPr="008D1F7D" w:rsidRDefault="00187F39" w:rsidP="002F62A2">
      <w:r>
        <w:t xml:space="preserve">Proponując zmiany w polityce terytorialnej, które mogłyby zwiększyć skuteczność </w:t>
      </w:r>
      <w:r w:rsidR="00D15753">
        <w:t xml:space="preserve">aplikowania, </w:t>
      </w:r>
      <w:r w:rsidR="008B49AD">
        <w:t>mamy</w:t>
      </w:r>
      <w:r>
        <w:t xml:space="preserve"> na uwadze fakt, że </w:t>
      </w:r>
      <w:r w:rsidR="00D15753">
        <w:t xml:space="preserve">– </w:t>
      </w:r>
      <w:r>
        <w:t xml:space="preserve">zgodnie z założeniami polityki terytorialnej w województwie </w:t>
      </w:r>
      <w:r w:rsidR="00D15753">
        <w:t xml:space="preserve">– </w:t>
      </w:r>
      <w:r>
        <w:t xml:space="preserve">wszystkie nabory </w:t>
      </w:r>
      <w:r w:rsidR="00D15753">
        <w:t xml:space="preserve">miały </w:t>
      </w:r>
      <w:r>
        <w:t>być zakończone do sierpnia 2025r. Oznaczałoby to, że w tej perspektywie nie będzie już ogłaszanych naborów w ramach polityki terytorialnej – ewentualne decyzje w tym zakresie będą podejmowane dopiero po zakończeniu wszystkich trwających w sierpniu naborów i analizie ich skuteczności. Z tego też względu i</w:t>
      </w:r>
      <w:r w:rsidRPr="008D1F7D">
        <w:t>nformacje i wnioski przedstawione w rozdziale 4.3.2</w:t>
      </w:r>
      <w:r>
        <w:t>,</w:t>
      </w:r>
      <w:r w:rsidRPr="008D1F7D">
        <w:t xml:space="preserve"> dotyczące przyczyn niskiej skuteczności naborów mających związek ze specyfiką polityki terytorialnej w ramach FEdKP 2021-2027</w:t>
      </w:r>
      <w:r>
        <w:t>,</w:t>
      </w:r>
      <w:r w:rsidRPr="008D1F7D">
        <w:t xml:space="preserve"> wskazują na </w:t>
      </w:r>
      <w:r w:rsidRPr="008D1F7D">
        <w:rPr>
          <w:b/>
          <w:bCs/>
        </w:rPr>
        <w:t>potrzebę podjęcia w przyszłości</w:t>
      </w:r>
      <w:r>
        <w:rPr>
          <w:b/>
          <w:bCs/>
        </w:rPr>
        <w:t xml:space="preserve"> (przede wszystkim w kolejnej perspektywie finansowej)</w:t>
      </w:r>
      <w:r w:rsidRPr="008D1F7D">
        <w:rPr>
          <w:b/>
          <w:bCs/>
        </w:rPr>
        <w:t xml:space="preserve"> działań zaradczych</w:t>
      </w:r>
      <w:r w:rsidRPr="008D1F7D">
        <w:t xml:space="preserve"> w zakresie:</w:t>
      </w:r>
    </w:p>
    <w:p w14:paraId="0411BF89" w14:textId="77777777" w:rsidR="00187F39" w:rsidRPr="008D1F7D" w:rsidRDefault="00187F39" w:rsidP="002F62A2">
      <w:pPr>
        <w:pStyle w:val="Akapitzlist"/>
        <w:numPr>
          <w:ilvl w:val="0"/>
          <w:numId w:val="49"/>
        </w:numPr>
      </w:pPr>
      <w:r w:rsidRPr="002F62A2">
        <w:rPr>
          <w:b/>
          <w:bCs/>
        </w:rPr>
        <w:t>Obszarów wsparcia</w:t>
      </w:r>
      <w:r w:rsidRPr="008D1F7D">
        <w:t xml:space="preserve"> w polityce terytorialnej (ZIT/OPPT)</w:t>
      </w:r>
      <w:r w:rsidR="00F733E6">
        <w:t>.</w:t>
      </w:r>
    </w:p>
    <w:p w14:paraId="37EDA72A" w14:textId="2E36214B" w:rsidR="00187F39" w:rsidRPr="008D1F7D" w:rsidRDefault="00187F39" w:rsidP="002F62A2">
      <w:r w:rsidRPr="008D1F7D">
        <w:t xml:space="preserve">Zidentyfikowano niskie zainteresowanie JST wsparciem dotyczącym infrastruktury biznesowej – obszar SZOP „wsparcie MŚP”. </w:t>
      </w:r>
      <w:r w:rsidR="00D15753">
        <w:rPr>
          <w:b/>
          <w:bCs/>
          <w:color w:val="0B0E9D"/>
        </w:rPr>
        <w:t>Zalecenie</w:t>
      </w:r>
      <w:r w:rsidR="00D15753" w:rsidRPr="008D1F7D">
        <w:rPr>
          <w:b/>
          <w:bCs/>
          <w:color w:val="0B0E9D"/>
        </w:rPr>
        <w:t xml:space="preserve">: </w:t>
      </w:r>
      <w:r w:rsidR="00D15753" w:rsidRPr="00077CA0">
        <w:t xml:space="preserve">Przegląd faktycznego </w:t>
      </w:r>
      <w:r w:rsidR="00D15753" w:rsidRPr="00077CA0">
        <w:lastRenderedPageBreak/>
        <w:t>zainteresowania poszczególnymi obszarami/ formami wsparcia ujętymi w ramach polityki terytorialnej i zrezygnowanie</w:t>
      </w:r>
      <w:r w:rsidR="00D15753" w:rsidRPr="008D1F7D">
        <w:t>, w nowej perspektywie finansowej</w:t>
      </w:r>
      <w:r w:rsidR="00D15753">
        <w:t>,</w:t>
      </w:r>
      <w:r w:rsidR="00D15753" w:rsidRPr="00077CA0">
        <w:t xml:space="preserve"> z tych obszarów/ form, które w praktyce nie cieszyły się zainteresowaniem ze strony partnerstw terytorialnych.</w:t>
      </w:r>
      <w:r w:rsidR="00D15753">
        <w:t xml:space="preserve"> Zalecamy m.in. w</w:t>
      </w:r>
      <w:r w:rsidR="00D15753" w:rsidRPr="008D1F7D">
        <w:t>yłączenie</w:t>
      </w:r>
      <w:r w:rsidRPr="008D1F7D">
        <w:t xml:space="preserve"> wsparcia dotyczącego rozwoju przedsiębiorczości / infrastruktury biznesowej z polityki terytorialnej.</w:t>
      </w:r>
    </w:p>
    <w:p w14:paraId="59E8D358" w14:textId="77777777" w:rsidR="00187F39" w:rsidRDefault="00187F39" w:rsidP="002F62A2">
      <w:pPr>
        <w:pStyle w:val="Akapitzlist"/>
        <w:numPr>
          <w:ilvl w:val="0"/>
          <w:numId w:val="49"/>
        </w:numPr>
      </w:pPr>
      <w:r w:rsidRPr="00077CA0">
        <w:rPr>
          <w:b/>
        </w:rPr>
        <w:t>Procesu identyfikacji, weryfikacji i wyboru</w:t>
      </w:r>
      <w:r w:rsidRPr="008D1F7D">
        <w:t xml:space="preserve"> projektów</w:t>
      </w:r>
      <w:r>
        <w:t xml:space="preserve"> do realizacji w polityce terytorialnej</w:t>
      </w:r>
      <w:r w:rsidR="00F733E6">
        <w:t>.</w:t>
      </w:r>
      <w:r>
        <w:t xml:space="preserve"> </w:t>
      </w:r>
    </w:p>
    <w:p w14:paraId="5400BE85" w14:textId="05415BD4" w:rsidR="00D15753" w:rsidRDefault="00187F39" w:rsidP="00D15753">
      <w:r w:rsidRPr="008D1F7D">
        <w:t xml:space="preserve">Skala </w:t>
      </w:r>
      <w:r>
        <w:t xml:space="preserve">zaangażowania pracowników IZ FEdKP 2021-2027 w proces weryfikacji, konsultowania, opiniowania i </w:t>
      </w:r>
      <w:r w:rsidR="00D15753">
        <w:t xml:space="preserve">akceptowania </w:t>
      </w:r>
      <w:r>
        <w:t xml:space="preserve">fiszek projektowych stanowiła istotne wyzwanie organizacyjne, nie przekładając się zarazem istotnie na sprawność wdrażania projektów w ramach polityki terytorialnej. Wsparcie to oraz sam proces </w:t>
      </w:r>
      <w:r w:rsidR="00D15753">
        <w:t xml:space="preserve">akceptowania </w:t>
      </w:r>
      <w:r>
        <w:t>list projektów do realizacji mogły być także czynnikiem osłabiającym znaczenie zastosowanego „konkurencyjnego</w:t>
      </w:r>
      <w:r w:rsidR="00D15753">
        <w:t xml:space="preserve"> sposobu wyboru</w:t>
      </w:r>
      <w:r>
        <w:t xml:space="preserve">” – potencjalni wnioskodawcy po </w:t>
      </w:r>
      <w:r w:rsidR="00D15753">
        <w:t xml:space="preserve">akceptacji </w:t>
      </w:r>
      <w:r>
        <w:t xml:space="preserve">ich projektów przez IZ mogli przyjąć za pewnik, że uzyskają dofinansowanie w sytuacji złożenia wniosków o dofinansowanie. W praktyce wnioskodawcy mogli odsuwać w czasie decyzje o aplikowaniu (czekając na ogłoszenie kolejnego naboru) mając świadomość, że dostępna alokacja na poszczególne nabory powinna zapewnić sfinansowanie wszystkich złożonych projektów spełniających kryteria wyboru. </w:t>
      </w:r>
      <w:r w:rsidR="00E052D8" w:rsidRPr="009E2684">
        <w:rPr>
          <w:b/>
          <w:bCs/>
          <w:color w:val="0B0E9D"/>
        </w:rPr>
        <w:t>Zalecenie</w:t>
      </w:r>
      <w:r w:rsidRPr="009E2684">
        <w:rPr>
          <w:b/>
          <w:bCs/>
          <w:color w:val="0B0E9D"/>
        </w:rPr>
        <w:t>:</w:t>
      </w:r>
      <w:r w:rsidRPr="002F62A2">
        <w:rPr>
          <w:color w:val="0B0E9D"/>
        </w:rPr>
        <w:t xml:space="preserve"> </w:t>
      </w:r>
      <w:r w:rsidRPr="00374E1A">
        <w:t>Przeprowadzenie</w:t>
      </w:r>
      <w:r>
        <w:t xml:space="preserve">, na potrzeby </w:t>
      </w:r>
      <w:r w:rsidR="00D15753">
        <w:t>perspektywy</w:t>
      </w:r>
      <w:r>
        <w:t xml:space="preserve"> </w:t>
      </w:r>
      <w:r w:rsidR="00BD6A2E">
        <w:t>20</w:t>
      </w:r>
      <w:r>
        <w:t>28+,</w:t>
      </w:r>
      <w:r w:rsidRPr="00374E1A">
        <w:t xml:space="preserve"> analizy</w:t>
      </w:r>
      <w:r>
        <w:t xml:space="preserve"> przyjętych w ramach FEdKP 2021-2027 założeń polityki terytorialnej w zakresie roli poszczególnych interesariuszy na etapie wyboru/ zatwierdzania list projektów do realizacji oraz możliwości wzmocnienia faktycznej konkurencji między wnioskodawcami na etapie wyboru projektów do dofinansowania. Jednym z rozwiązań mogłoby być np. ograniczenie roli IZ w procesie konsultowania, opiniowania fiszek projektowych. Zadania te mogłyby wówczas przejąć w większym stopniu same partnerstwa. Innym rozwiązaniem mogłoby być wprowadzenie mechanizmów zapewniających konieczność faktycznego konkurowania wnioskodawców między sobą pod względem jakości przedkładanych projektów – np. poprzez zastosowanie kryteriów punktowych pozwalających na tworzenie list rankingowych przy jednoczesnym wskazaniu, że dofinansowanie mogą uzyskać projekty, które uzyskały minimum określoną liczbę punktów lub założeniu, że dofinansowanie uzyskają projekty z listy rankingowej do momentu wyczerpania puli alokacji na nabór. </w:t>
      </w:r>
      <w:r w:rsidR="00BC6274">
        <w:t xml:space="preserve">Mechanizm konkurowania jakością mógłby wpłynąć także na jakość i tempo przygotowywania i zatwierdzania </w:t>
      </w:r>
      <w:r w:rsidR="00357DA2">
        <w:t>fiszek projektowych</w:t>
      </w:r>
      <w:r w:rsidR="00BD6A2E">
        <w:t xml:space="preserve"> </w:t>
      </w:r>
      <w:r w:rsidR="00357DA2">
        <w:t>- to z kolei</w:t>
      </w:r>
      <w:r w:rsidR="005F187D">
        <w:t xml:space="preserve"> </w:t>
      </w:r>
      <w:r w:rsidR="00357DA2">
        <w:t>pozwoliłoby</w:t>
      </w:r>
      <w:r w:rsidR="005F187D">
        <w:t xml:space="preserve"> na szybsze zawieranie/ zatwierdzanie stosownych dokumentów/ strategii niezbędnych w procesie aplikowania. </w:t>
      </w:r>
      <w:r>
        <w:t>Takie rozwiązani</w:t>
      </w:r>
      <w:r w:rsidR="00357DA2">
        <w:t>a</w:t>
      </w:r>
      <w:r>
        <w:t xml:space="preserve"> mogł</w:t>
      </w:r>
      <w:r w:rsidR="00357DA2">
        <w:t>y</w:t>
      </w:r>
      <w:r>
        <w:t xml:space="preserve">by </w:t>
      </w:r>
      <w:r w:rsidR="005F187D">
        <w:t xml:space="preserve">także </w:t>
      </w:r>
      <w:r>
        <w:t xml:space="preserve">bardziej motywować wnioskodawców do składania wniosków już w pierwszych naborach – wówczas </w:t>
      </w:r>
      <w:r w:rsidR="002A5DB5">
        <w:t xml:space="preserve">mieliby oni świadomość, że </w:t>
      </w:r>
      <w:r>
        <w:t xml:space="preserve">w sytuacji braku uzyskania dofinansowania w pierwszym naborze, mogliby </w:t>
      </w:r>
      <w:r w:rsidR="002A5DB5">
        <w:t xml:space="preserve">jeszcze </w:t>
      </w:r>
      <w:r>
        <w:t xml:space="preserve">starać się o </w:t>
      </w:r>
      <w:r w:rsidR="00D15753">
        <w:t xml:space="preserve">uzyskanie wsparcia w kolejnym. </w:t>
      </w:r>
    </w:p>
    <w:p w14:paraId="3B99CF34" w14:textId="77777777" w:rsidR="00D15753" w:rsidRDefault="00D15753" w:rsidP="00FE5ABE">
      <w:pPr>
        <w:pStyle w:val="Akapitzlist"/>
        <w:keepNext/>
        <w:numPr>
          <w:ilvl w:val="0"/>
          <w:numId w:val="49"/>
        </w:numPr>
        <w:ind w:left="714" w:hanging="357"/>
      </w:pPr>
      <w:r w:rsidRPr="00077CA0">
        <w:rPr>
          <w:b/>
          <w:bCs/>
        </w:rPr>
        <w:lastRenderedPageBreak/>
        <w:t>Ograniczenie roli fiszek</w:t>
      </w:r>
      <w:r>
        <w:t xml:space="preserve"> w procesie identyfikowania projektów do realizacji</w:t>
      </w:r>
    </w:p>
    <w:p w14:paraId="16AEE465" w14:textId="77777777" w:rsidR="00D15753" w:rsidRDefault="00D15753" w:rsidP="00D15753">
      <w:r>
        <w:rPr>
          <w:rFonts w:cstheme="minorHAnsi"/>
        </w:rPr>
        <w:t xml:space="preserve">Wpływ na tempo zawierania porozumień terytorialnych oraz przygotowywania i zatwierdzania strategii (a co za tym idzie – na skuteczność części naborów) miał proces identyfikowania i zatwierdzania fiszek projektów, które stanowią załącznik do porozumień terytorialnych i są podstawą do aplikowania w naborach. W ramach badania stwierdzono, że proces ten – z uwagi na zakres informacji przedstawianych w fiszkach oraz ich znaczenie na etapie aplikowania – trwał długo i opóźniał zawieranie porozumień. </w:t>
      </w:r>
      <w:r w:rsidRPr="009E2684">
        <w:rPr>
          <w:b/>
          <w:bCs/>
          <w:color w:val="0B0E9D"/>
        </w:rPr>
        <w:t>Zalecenie:</w:t>
      </w:r>
      <w:r w:rsidRPr="002F62A2">
        <w:rPr>
          <w:color w:val="0B0E9D"/>
        </w:rPr>
        <w:t xml:space="preserve"> </w:t>
      </w:r>
      <w:r w:rsidRPr="00374E1A">
        <w:t>Przeprowadzenie</w:t>
      </w:r>
      <w:r>
        <w:t>, na potrzeby perspektywy 2028+,</w:t>
      </w:r>
      <w:r w:rsidRPr="00374E1A">
        <w:t xml:space="preserve"> analizy</w:t>
      </w:r>
      <w:r>
        <w:t xml:space="preserve"> zasadności uwzględniania wykazu fiszek projektowych jako załącznika do porozumień terytorialnych. Należy rozważyć wszystkie zalety i wady tego rozwiązania. Alternatywnym rozwiązaniem mogłoby być zamieszczanie w załączniku wyłącznie listy/ wykazu projektów z ich krótkim opisem oraz informacją o tym jakie wskaźniki będą realizować.</w:t>
      </w:r>
    </w:p>
    <w:p w14:paraId="4E7CBCC0" w14:textId="77777777" w:rsidR="00D15753" w:rsidRDefault="00D15753" w:rsidP="00D15753">
      <w:pPr>
        <w:pStyle w:val="Akapitzlist"/>
        <w:numPr>
          <w:ilvl w:val="0"/>
          <w:numId w:val="49"/>
        </w:numPr>
      </w:pPr>
      <w:r w:rsidRPr="00077CA0">
        <w:rPr>
          <w:b/>
          <w:bCs/>
        </w:rPr>
        <w:t>Gotowości realizacyjnej przedsięwzięć wybieranych do realizacji</w:t>
      </w:r>
      <w:r>
        <w:t xml:space="preserve"> przez partnerstwa. </w:t>
      </w:r>
    </w:p>
    <w:p w14:paraId="2261E539" w14:textId="77777777" w:rsidR="00187F39" w:rsidRPr="008D1F7D" w:rsidRDefault="00D15753" w:rsidP="002F62A2">
      <w:r>
        <w:t xml:space="preserve">Jednym z istotnych problemów była niedostateczna gotowość projektów do realizacji w chwili ogłaszania naborów. W ramach badania zidentyfikowano jednak dobrą praktykę stosowaną przez część partnerstw. Polegała ona na tym, że już na etapie identyfikowania przedsięwzięć do realizacji w ramach porozumień/ strategii terytorialnych stosowano kryterium odnoszące się do gotowości technicznej zgłaszanych projektów – dzięki temu już na tak wczesnym etapie wybierano przedsięwzięcia cechujące się odpowiednim stopniem przygotowania i to te przedsięwzięcia przedstawiano IZ do opiniowania. </w:t>
      </w:r>
      <w:r w:rsidRPr="00077CA0">
        <w:rPr>
          <w:b/>
          <w:bCs/>
          <w:color w:val="0B0E9D"/>
        </w:rPr>
        <w:t>Zalecenie:</w:t>
      </w:r>
      <w:r>
        <w:t xml:space="preserve"> Wprowadzenie w przyszłości obowiązku stosowania przez partnerstwa tego typu kryterium już na etapie wczesnego identyfikowania projektów, które będą miały być później realizowane w ramach strategii terytorialnych.</w:t>
      </w:r>
      <w:r w:rsidR="00776243">
        <w:t xml:space="preserve"> </w:t>
      </w:r>
    </w:p>
    <w:p w14:paraId="4B07E39C" w14:textId="62F49C60" w:rsidR="00D15753" w:rsidRPr="00B8401F" w:rsidRDefault="00D15753" w:rsidP="00D15753">
      <w:pPr>
        <w:rPr>
          <w:rFonts w:cstheme="minorHAnsi"/>
        </w:rPr>
      </w:pPr>
      <w:r>
        <w:rPr>
          <w:rFonts w:cstheme="minorHAnsi"/>
        </w:rPr>
        <w:t xml:space="preserve">Ostateczny rodzaj i zakres podejmowanych zmian/ działań zaradczych w zakresie polityki terytorialnej </w:t>
      </w:r>
      <w:r w:rsidRPr="006F3A74">
        <w:rPr>
          <w:rFonts w:cstheme="minorHAnsi"/>
        </w:rPr>
        <w:t xml:space="preserve">będzie uzależniony od decyzji </w:t>
      </w:r>
      <w:r>
        <w:rPr>
          <w:rFonts w:cstheme="minorHAnsi"/>
        </w:rPr>
        <w:t>IZ FEdKP oraz od uwarunkowań prawnych, które będą regulowały w danej chwili ten konkretny obszar</w:t>
      </w:r>
      <w:r w:rsidRPr="006F3A74">
        <w:rPr>
          <w:rFonts w:cstheme="minorHAnsi"/>
        </w:rPr>
        <w:t>.</w:t>
      </w:r>
    </w:p>
    <w:p w14:paraId="7B26126B" w14:textId="5D1FF8E6" w:rsidR="00571190" w:rsidRDefault="005B34A5">
      <w:pPr>
        <w:pStyle w:val="Nagwek3"/>
      </w:pPr>
      <w:bookmarkStart w:id="20" w:name="_Toc208593150"/>
      <w:r>
        <w:t>Zmiany</w:t>
      </w:r>
      <w:r w:rsidR="00B83F5C">
        <w:t xml:space="preserve"> </w:t>
      </w:r>
      <w:r w:rsidR="00BF1CB0">
        <w:t xml:space="preserve">dotyczące </w:t>
      </w:r>
      <w:r w:rsidR="00FF46B4">
        <w:t>niekonkurencyjnego</w:t>
      </w:r>
      <w:r w:rsidR="00D76E97">
        <w:t xml:space="preserve"> sposobu wyboru projektów</w:t>
      </w:r>
      <w:bookmarkEnd w:id="20"/>
    </w:p>
    <w:p w14:paraId="5E5ECD76" w14:textId="75DBE365" w:rsidR="00AB50F6" w:rsidRDefault="00AB50F6" w:rsidP="00AB50F6">
      <w:r w:rsidRPr="54182A3B">
        <w:t xml:space="preserve">Informacje i wnioski przedstawione w rozdziale 4.3.3 </w:t>
      </w:r>
      <w:r>
        <w:t>wskazują na zasadność wprowadzenia</w:t>
      </w:r>
      <w:r w:rsidRPr="54182A3B">
        <w:t xml:space="preserve"> kilku zmian w zakresie niekonkurencyjnego</w:t>
      </w:r>
      <w:r>
        <w:t xml:space="preserve"> sposobu wyboru projektów. Zmiany takie mogą dotyczyć</w:t>
      </w:r>
      <w:r w:rsidRPr="54182A3B">
        <w:t xml:space="preserve">: </w:t>
      </w:r>
    </w:p>
    <w:p w14:paraId="75FD1DCD" w14:textId="49143014" w:rsidR="00AB50F6" w:rsidRPr="002F7B04" w:rsidRDefault="00AB50F6" w:rsidP="00AB50F6">
      <w:pPr>
        <w:pStyle w:val="Akapitzlist"/>
        <w:numPr>
          <w:ilvl w:val="0"/>
          <w:numId w:val="50"/>
        </w:numPr>
      </w:pPr>
      <w:r w:rsidRPr="00077CA0">
        <w:rPr>
          <w:b/>
          <w:bCs/>
        </w:rPr>
        <w:t xml:space="preserve">Procesu weryfikacji i zatwierdzania formularzy zgłoszeniowych </w:t>
      </w:r>
      <w:r w:rsidRPr="002F7B04">
        <w:t>(tzw. fiszek projektowych)</w:t>
      </w:r>
      <w:r w:rsidR="00A57FEB">
        <w:t xml:space="preserve"> </w:t>
      </w:r>
    </w:p>
    <w:p w14:paraId="1BEDA210" w14:textId="32EA2434" w:rsidR="00AB50F6" w:rsidRDefault="00A0458F" w:rsidP="00AB50F6">
      <w:r>
        <w:t>W</w:t>
      </w:r>
      <w:r w:rsidR="00AB50F6">
        <w:rPr>
          <w:rFonts w:eastAsia="Tahoma" w:cs="Tahoma"/>
          <w:szCs w:val="24"/>
        </w:rPr>
        <w:t xml:space="preserve">pływ na sprawność procesu weryfikowania i zatwierdzania fiszek projektowych miał także stopień </w:t>
      </w:r>
      <w:r w:rsidR="00AB50F6" w:rsidRPr="00F00F14">
        <w:rPr>
          <w:rFonts w:eastAsia="Tahoma" w:cs="Tahoma"/>
          <w:szCs w:val="24"/>
        </w:rPr>
        <w:t>zaangażowania pracowników departamentów merytorycznych w konsultowani</w:t>
      </w:r>
      <w:r w:rsidR="00AB50F6">
        <w:rPr>
          <w:rFonts w:eastAsia="Tahoma" w:cs="Tahoma"/>
          <w:szCs w:val="24"/>
        </w:rPr>
        <w:t>e</w:t>
      </w:r>
      <w:r w:rsidR="00AB50F6" w:rsidRPr="00F00F14">
        <w:rPr>
          <w:rFonts w:eastAsia="Tahoma" w:cs="Tahoma"/>
          <w:szCs w:val="24"/>
        </w:rPr>
        <w:t xml:space="preserve"> fiszek przygotowywanych przez jednostki podległe tym </w:t>
      </w:r>
      <w:r w:rsidR="00AB50F6" w:rsidRPr="00F00F14">
        <w:rPr>
          <w:rFonts w:eastAsia="Tahoma" w:cs="Tahoma"/>
          <w:szCs w:val="24"/>
        </w:rPr>
        <w:lastRenderedPageBreak/>
        <w:t>departamentom</w:t>
      </w:r>
      <w:r w:rsidR="00AB50F6">
        <w:rPr>
          <w:rFonts w:eastAsia="Tahoma" w:cs="Tahoma"/>
          <w:szCs w:val="24"/>
        </w:rPr>
        <w:t xml:space="preserve"> – stopień tego zaangażowania nie zawsze był adekwatny do potrzeb </w:t>
      </w:r>
      <w:r w:rsidR="00AB50F6" w:rsidRPr="00FD7C3E">
        <w:rPr>
          <w:rFonts w:eastAsia="Tahoma" w:cs="Tahoma"/>
          <w:szCs w:val="24"/>
        </w:rPr>
        <w:t>DKPUiI</w:t>
      </w:r>
      <w:r w:rsidR="00AB50F6" w:rsidRPr="00F00F14">
        <w:rPr>
          <w:rFonts w:eastAsia="Tahoma" w:cs="Tahoma"/>
          <w:szCs w:val="24"/>
        </w:rPr>
        <w:t>.</w:t>
      </w:r>
      <w:r w:rsidR="00AB50F6">
        <w:rPr>
          <w:rFonts w:eastAsia="Tahoma" w:cs="Tahoma"/>
          <w:szCs w:val="24"/>
        </w:rPr>
        <w:t xml:space="preserve"> </w:t>
      </w:r>
      <w:r w:rsidR="00AB50F6" w:rsidRPr="5D655FAF">
        <w:rPr>
          <w:b/>
          <w:bCs/>
          <w:color w:val="0F14D2" w:themeColor="accent1"/>
        </w:rPr>
        <w:t>Zalecenie</w:t>
      </w:r>
      <w:r w:rsidR="00AB50F6" w:rsidRPr="00CC351F">
        <w:rPr>
          <w:b/>
          <w:bCs/>
        </w:rPr>
        <w:t>:</w:t>
      </w:r>
      <w:r w:rsidR="00AB50F6" w:rsidRPr="54182A3B">
        <w:t xml:space="preserve"> </w:t>
      </w:r>
      <w:r w:rsidR="00AB50F6">
        <w:t xml:space="preserve">Zapewnienie większej dostępności i zaangażowania pracowników departamentów merytorycznych UMWKP w proces </w:t>
      </w:r>
      <w:r w:rsidR="00AB50F6" w:rsidRPr="00F00F14">
        <w:rPr>
          <w:rFonts w:eastAsia="Tahoma" w:cs="Tahoma"/>
          <w:szCs w:val="24"/>
        </w:rPr>
        <w:t>konsultowani</w:t>
      </w:r>
      <w:r w:rsidR="00AB50F6">
        <w:rPr>
          <w:rFonts w:eastAsia="Tahoma" w:cs="Tahoma"/>
          <w:szCs w:val="24"/>
        </w:rPr>
        <w:t>a/ weryfikowania</w:t>
      </w:r>
      <w:r w:rsidR="00AB50F6" w:rsidRPr="00F00F14">
        <w:rPr>
          <w:rFonts w:eastAsia="Tahoma" w:cs="Tahoma"/>
          <w:szCs w:val="24"/>
        </w:rPr>
        <w:t xml:space="preserve"> fiszek </w:t>
      </w:r>
      <w:r w:rsidR="00AB50F6">
        <w:rPr>
          <w:rFonts w:eastAsia="Tahoma" w:cs="Tahoma"/>
          <w:szCs w:val="24"/>
        </w:rPr>
        <w:t xml:space="preserve">projektowych </w:t>
      </w:r>
      <w:r w:rsidR="00AB50F6" w:rsidRPr="00F00F14">
        <w:rPr>
          <w:rFonts w:eastAsia="Tahoma" w:cs="Tahoma"/>
          <w:szCs w:val="24"/>
        </w:rPr>
        <w:t>przygotowywanych przez jednostki podległe tym departamentom</w:t>
      </w:r>
      <w:r w:rsidR="00AB50F6">
        <w:rPr>
          <w:rFonts w:eastAsia="Tahoma" w:cs="Tahoma"/>
          <w:szCs w:val="24"/>
        </w:rPr>
        <w:t xml:space="preserve">. </w:t>
      </w:r>
    </w:p>
    <w:p w14:paraId="2F1A7D11" w14:textId="157F5DF9" w:rsidR="00AB50F6" w:rsidRPr="00077CA0" w:rsidRDefault="00AB50F6" w:rsidP="00AB50F6">
      <w:pPr>
        <w:pStyle w:val="Akapitzlist"/>
        <w:numPr>
          <w:ilvl w:val="0"/>
          <w:numId w:val="50"/>
        </w:numPr>
        <w:rPr>
          <w:b/>
          <w:bCs/>
        </w:rPr>
      </w:pPr>
      <w:r w:rsidRPr="00077CA0">
        <w:rPr>
          <w:b/>
          <w:bCs/>
        </w:rPr>
        <w:t>Doświadczeni</w:t>
      </w:r>
      <w:r>
        <w:rPr>
          <w:b/>
          <w:bCs/>
        </w:rPr>
        <w:t>a części</w:t>
      </w:r>
      <w:r w:rsidRPr="00077CA0">
        <w:rPr>
          <w:b/>
          <w:bCs/>
        </w:rPr>
        <w:t xml:space="preserve"> wnioskodawców oraz ich dostępu do szkoleń</w:t>
      </w:r>
    </w:p>
    <w:p w14:paraId="263CC161" w14:textId="3D695C94" w:rsidR="00AB50F6" w:rsidRPr="00624102" w:rsidRDefault="00AB50F6" w:rsidP="00AB50F6">
      <w:r>
        <w:t xml:space="preserve">Wskazywane wyżej trudności mogą w praktyce mieć większe znaczenie m.in. </w:t>
      </w:r>
      <w:r w:rsidRPr="004B5526">
        <w:t xml:space="preserve">z braku doświadczenia części wnioskodawców w aplikowaniu/ realizacji projektów </w:t>
      </w:r>
      <w:r>
        <w:t>niekonkurencyjnych/ pozakonkursowych</w:t>
      </w:r>
      <w:r w:rsidRPr="004B5526">
        <w:t xml:space="preserve"> (</w:t>
      </w:r>
      <w:r>
        <w:t xml:space="preserve">np. w ramach RPO </w:t>
      </w:r>
      <w:r w:rsidR="004A08C7">
        <w:t>WK-P</w:t>
      </w:r>
      <w:r>
        <w:t xml:space="preserve"> 2014-2020</w:t>
      </w:r>
      <w:r w:rsidRPr="004B5526">
        <w:t>),</w:t>
      </w:r>
      <w:r>
        <w:t xml:space="preserve"> jak też z wskazywanych trudności w dostępie do </w:t>
      </w:r>
      <w:r w:rsidRPr="004C1DF2">
        <w:t xml:space="preserve">szkoleń </w:t>
      </w:r>
      <w:r>
        <w:t xml:space="preserve">(problem dotyczy </w:t>
      </w:r>
      <w:r w:rsidRPr="004C1DF2">
        <w:t>wnioskodawców, którymi są komórki organizacyjne UMWKP nienależące do struktur IZ FEdKP 2021-2027</w:t>
      </w:r>
      <w:r>
        <w:t>)</w:t>
      </w:r>
      <w:r w:rsidRPr="004B5526">
        <w:t>.</w:t>
      </w:r>
      <w:r>
        <w:t xml:space="preserve"> </w:t>
      </w:r>
      <w:r w:rsidR="7F91AE71" w:rsidRPr="54182A3B">
        <w:t xml:space="preserve">Pracownicy </w:t>
      </w:r>
      <w:r>
        <w:t>takich komórek organizacyjnych</w:t>
      </w:r>
      <w:r w:rsidR="006024CC">
        <w:t xml:space="preserve"> (</w:t>
      </w:r>
      <w:r w:rsidR="00AF7472">
        <w:t xml:space="preserve">wnioskodawcy/ </w:t>
      </w:r>
      <w:r w:rsidR="006024CC">
        <w:t>beneficjenci Programu)</w:t>
      </w:r>
      <w:r w:rsidR="7F91AE71" w:rsidRPr="54182A3B">
        <w:t>, których stanowiska nie są finansowane z Pomocy Technicznej, nie maj</w:t>
      </w:r>
      <w:r w:rsidR="006024CC">
        <w:t>ą</w:t>
      </w:r>
      <w:r w:rsidR="7F91AE71" w:rsidRPr="54182A3B">
        <w:t xml:space="preserve"> dostępu do szkoleń </w:t>
      </w:r>
      <w:r w:rsidR="006024CC">
        <w:t>z pomocy technicznej</w:t>
      </w:r>
      <w:r w:rsidR="7F91AE71" w:rsidRPr="54182A3B">
        <w:t xml:space="preserve">, np. z CST2021. Pracownicy ci nie są także </w:t>
      </w:r>
      <w:r>
        <w:t>dostatecznie</w:t>
      </w:r>
      <w:r w:rsidRPr="54182A3B">
        <w:t xml:space="preserve"> </w:t>
      </w:r>
      <w:r w:rsidR="7F91AE71" w:rsidRPr="54182A3B">
        <w:t xml:space="preserve">informowani o szkoleniach, które są kierowane dla </w:t>
      </w:r>
      <w:r>
        <w:t>pozostałych</w:t>
      </w:r>
      <w:r w:rsidRPr="54182A3B">
        <w:t xml:space="preserve"> </w:t>
      </w:r>
      <w:r w:rsidR="0083184E">
        <w:t xml:space="preserve">wnioskodawców/ </w:t>
      </w:r>
      <w:r w:rsidR="7F91AE71" w:rsidRPr="54182A3B">
        <w:t>beneficjentów Programu.</w:t>
      </w:r>
      <w:r w:rsidR="00776243">
        <w:t xml:space="preserve"> </w:t>
      </w:r>
      <w:r w:rsidR="7F91AE71" w:rsidRPr="00CC351F">
        <w:rPr>
          <w:b/>
          <w:bCs/>
          <w:color w:val="0F14D2" w:themeColor="accent1"/>
        </w:rPr>
        <w:t>Zalecenie</w:t>
      </w:r>
      <w:r w:rsidR="7F91AE71" w:rsidRPr="00CC351F">
        <w:rPr>
          <w:b/>
          <w:bCs/>
        </w:rPr>
        <w:t>:</w:t>
      </w:r>
      <w:r w:rsidR="7F91AE71" w:rsidRPr="54182A3B">
        <w:t xml:space="preserve"> </w:t>
      </w:r>
      <w:r w:rsidR="00EB5FC3">
        <w:t xml:space="preserve">Zapewnienie pracownikom </w:t>
      </w:r>
      <w:r w:rsidR="00EB5FC3" w:rsidRPr="54182A3B">
        <w:t xml:space="preserve">departamentów zaangażowanych w </w:t>
      </w:r>
      <w:r w:rsidR="00EB5FC3">
        <w:t>realizację</w:t>
      </w:r>
      <w:r w:rsidR="00EB5FC3" w:rsidRPr="54182A3B">
        <w:t xml:space="preserve"> projektów</w:t>
      </w:r>
      <w:r w:rsidR="00EB5FC3">
        <w:t xml:space="preserve"> niekonkurencyjnych (wnioskodawcy/ beneficjenci Programu)</w:t>
      </w:r>
      <w:r w:rsidR="00EB5FC3" w:rsidRPr="54182A3B">
        <w:t>, których stanowiska nie są finansowane z Pomocy Technicznej</w:t>
      </w:r>
      <w:r w:rsidR="00EB5FC3">
        <w:t>, dostępu do odpowiednich szkoleń. Ich zakres tematyczny powinien być adekwatny do specyfiki wykonywanych zadań związanych z przygotowaniem i realizacją projektów. Szkolenia takie mogły</w:t>
      </w:r>
      <w:r w:rsidR="00EB5FC3" w:rsidRPr="005453D6">
        <w:t>by</w:t>
      </w:r>
      <w:r w:rsidR="00EB5FC3">
        <w:t xml:space="preserve"> być</w:t>
      </w:r>
      <w:r w:rsidR="00EB5FC3" w:rsidRPr="005453D6">
        <w:t xml:space="preserve"> organizowane ze środków UMWKP</w:t>
      </w:r>
      <w:r w:rsidR="00EB5FC3">
        <w:t>; innym rozwiązaniem byłoby</w:t>
      </w:r>
      <w:r w:rsidR="00EB5FC3" w:rsidRPr="005453D6">
        <w:t xml:space="preserve"> uwzględnienie</w:t>
      </w:r>
      <w:r w:rsidR="00EB5FC3">
        <w:t xml:space="preserve"> tych</w:t>
      </w:r>
      <w:r w:rsidR="00EB5FC3" w:rsidRPr="005453D6">
        <w:t xml:space="preserve"> </w:t>
      </w:r>
      <w:r w:rsidR="00EB5FC3">
        <w:t>pracowników</w:t>
      </w:r>
      <w:r w:rsidR="00EB5FC3" w:rsidRPr="005453D6">
        <w:t xml:space="preserve"> wśród odbiorców szkoleń kierowanych d</w:t>
      </w:r>
      <w:r w:rsidR="00EB5FC3">
        <w:t>o</w:t>
      </w:r>
      <w:r w:rsidR="00EB5FC3" w:rsidRPr="005453D6">
        <w:t xml:space="preserve"> beneficjentów</w:t>
      </w:r>
      <w:r w:rsidR="7F91AE71" w:rsidRPr="54182A3B">
        <w:t>.</w:t>
      </w:r>
    </w:p>
    <w:p w14:paraId="03D375AB" w14:textId="77777777" w:rsidR="00AB50F6" w:rsidRPr="00077CA0" w:rsidRDefault="00AB50F6" w:rsidP="00AB50F6">
      <w:pPr>
        <w:pStyle w:val="Akapitzlist"/>
        <w:numPr>
          <w:ilvl w:val="0"/>
          <w:numId w:val="50"/>
        </w:numPr>
        <w:spacing w:before="0" w:after="160" w:line="259" w:lineRule="auto"/>
        <w:rPr>
          <w:b/>
          <w:bCs/>
        </w:rPr>
      </w:pPr>
      <w:r w:rsidRPr="00077CA0">
        <w:rPr>
          <w:b/>
          <w:bCs/>
        </w:rPr>
        <w:t xml:space="preserve">Etapu oceny WoD </w:t>
      </w:r>
      <w:r w:rsidRPr="002F7B04">
        <w:t>projektów niekonkurencyjnych</w:t>
      </w:r>
      <w:r w:rsidRPr="00077CA0">
        <w:rPr>
          <w:b/>
          <w:bCs/>
        </w:rPr>
        <w:t xml:space="preserve"> </w:t>
      </w:r>
    </w:p>
    <w:p w14:paraId="103491AB" w14:textId="6255C2E9" w:rsidR="47E09144" w:rsidRPr="00624102" w:rsidRDefault="00AB50F6" w:rsidP="00CC351F">
      <w:r>
        <w:t xml:space="preserve">Stwierdzono, że wpływ na skuteczność niekonkurencyjnego sposobu wyboru projektów może mieć obecny </w:t>
      </w:r>
      <w:r w:rsidRPr="00691369">
        <w:t>brak możliwości dwukrotnej poprawy błędów na etapie oceny</w:t>
      </w:r>
      <w:r>
        <w:t xml:space="preserve"> takich wniosków</w:t>
      </w:r>
      <w:r w:rsidRPr="00691369">
        <w:t>.</w:t>
      </w:r>
      <w:r>
        <w:t xml:space="preserve"> Okoliczność ta może zwiększać ryzyko negatywnej oceny niektórych projektów. </w:t>
      </w:r>
      <w:r w:rsidRPr="00077CA0">
        <w:rPr>
          <w:b/>
          <w:bCs/>
          <w:color w:val="0F14D2" w:themeColor="accent1"/>
        </w:rPr>
        <w:t>Zalecenie:</w:t>
      </w:r>
      <w:r>
        <w:t xml:space="preserve"> W</w:t>
      </w:r>
      <w:r w:rsidRPr="006F1DA3">
        <w:t>arto rozważyć wprowadzenie możliwości dwukrotnej poprawy błędów na etapie oceny projektów niekonkurencyjnych</w:t>
      </w:r>
      <w:r>
        <w:t xml:space="preserve">. </w:t>
      </w:r>
      <w:r w:rsidRPr="002D23FA">
        <w:t>Projekty niekonkurencyjne, ze względu na swoje istotne znaczenie dla rozwoju województwa, wysoką wartość oraz stopień skomplikowania, mogłyby w takim przypadku zyskać dodatkową szansę na ograniczenie ryzyka negatywnej oceny.</w:t>
      </w:r>
    </w:p>
    <w:p w14:paraId="164B0333" w14:textId="12096CF5" w:rsidR="00FF46B4" w:rsidRDefault="00FF46B4" w:rsidP="00FF46B4">
      <w:pPr>
        <w:pStyle w:val="Nagwek3"/>
      </w:pPr>
      <w:bookmarkStart w:id="21" w:name="_Toc208593151"/>
      <w:r>
        <w:t>U</w:t>
      </w:r>
      <w:r w:rsidRPr="00675D87">
        <w:t>proszczenie i optymalizacja procesu aplikacyjnego</w:t>
      </w:r>
      <w:bookmarkEnd w:id="21"/>
    </w:p>
    <w:p w14:paraId="0628CB63" w14:textId="77777777" w:rsidR="00771F38" w:rsidRPr="009265A3" w:rsidRDefault="00771F38" w:rsidP="009265A3">
      <w:pPr>
        <w:rPr>
          <w:rFonts w:asciiTheme="minorHAnsi" w:hAnsiTheme="minorHAnsi" w:cstheme="minorHAnsi"/>
          <w:b/>
          <w:bCs/>
        </w:rPr>
      </w:pPr>
      <w:r w:rsidRPr="009265A3">
        <w:rPr>
          <w:rFonts w:asciiTheme="minorHAnsi" w:hAnsiTheme="minorHAnsi" w:cstheme="minorHAnsi"/>
        </w:rPr>
        <w:t>Informacje i wnioski przedstawione w rozdziale 4.3.4 prowadzą do sformułowania następujących postulatów w zakresie usprawnienia systemu naborów i oceny projektów w FEdKP:</w:t>
      </w:r>
    </w:p>
    <w:p w14:paraId="660F3D59" w14:textId="77777777" w:rsidR="00771F38" w:rsidRPr="00771F38" w:rsidRDefault="00771F38" w:rsidP="00103D76">
      <w:pPr>
        <w:pStyle w:val="Akapitzlist"/>
        <w:numPr>
          <w:ilvl w:val="0"/>
          <w:numId w:val="29"/>
        </w:numPr>
        <w:rPr>
          <w:b/>
          <w:bCs/>
        </w:rPr>
      </w:pPr>
      <w:r w:rsidRPr="00771F38">
        <w:rPr>
          <w:b/>
          <w:bCs/>
        </w:rPr>
        <w:t>Rozbudowa bardziej proaktywnych kanałów komunikacji z mniejszymi gminami</w:t>
      </w:r>
    </w:p>
    <w:p w14:paraId="09B503A0" w14:textId="77777777" w:rsidR="00B45C96" w:rsidRPr="00B45C96" w:rsidRDefault="00B45C96" w:rsidP="00B45C96">
      <w:pPr>
        <w:spacing w:before="0" w:after="0"/>
      </w:pPr>
      <w:r w:rsidRPr="00B45C96">
        <w:lastRenderedPageBreak/>
        <w:t>Pomimo szerokiego wachlarza działań informacyjno-promocyjnych prowadzonych w ramach FEdKP, wciąż występują trudności z szybkim i pełnym dotarciem do mniejszych gmin, szczególnie tych o ograniczonych zasobach kadrowych. Obecny system komunikacji, oparty głównie na publikacji ogłoszeń na stronach internetowych, okazuje się niewystarczający dla części potencjalnych wnioskodawców, co skutkuje opóźnionym dostępem do informacji i rezygnacją z udziału w konkursach.</w:t>
      </w:r>
    </w:p>
    <w:p w14:paraId="0058C175" w14:textId="1111D557" w:rsidR="00B45C96" w:rsidRPr="00B45C96" w:rsidRDefault="00B45C96" w:rsidP="00077CA0">
      <w:pPr>
        <w:spacing w:before="0"/>
      </w:pPr>
      <w:r w:rsidRPr="00077CA0">
        <w:rPr>
          <w:b/>
          <w:bCs/>
          <w:color w:val="0F14D2" w:themeColor="accent1"/>
        </w:rPr>
        <w:t>Zalecenie</w:t>
      </w:r>
      <w:r w:rsidRPr="00B45C96">
        <w:t xml:space="preserve">: Należy w większym stopniu wprowadzać proaktywne i zróżnicowane kanały </w:t>
      </w:r>
      <w:r w:rsidRPr="00A8564D">
        <w:t>dotarcia do potencjalnych wnioskodawców, szczególnie mniejszych gmin</w:t>
      </w:r>
      <w:r w:rsidR="00522F5A">
        <w:t xml:space="preserve">, np. poprzez tworzenie list mailingowych w oparciu o dane z poprzednich naborów, kontakt telefoniczny w przypadku naborów o krótkim terminie trwania w ramach polityki terytorialnej. Warto rozważyć wdrożenie rozwiązań stosowanych przez inne regiony, np. cykliczne </w:t>
      </w:r>
      <w:r w:rsidRPr="00B45C96">
        <w:t>newslettery</w:t>
      </w:r>
      <w:r w:rsidR="00522F5A">
        <w:t xml:space="preserve"> informujące o naborach, zmianach</w:t>
      </w:r>
      <w:r w:rsidR="00E5150A">
        <w:t>, zbliżających się terminach</w:t>
      </w:r>
      <w:r w:rsidRPr="00B45C96">
        <w:t>, ad-hoc spotkania informacyjne w odpowiedzi na pojawiające się wątpliwości, możliwość indywidualnych konsultacji czy wskazywanie konkretnych osób kontaktowych dla poszczególnych naborów.</w:t>
      </w:r>
    </w:p>
    <w:p w14:paraId="40E9A2C7" w14:textId="77777777" w:rsidR="00771F38" w:rsidRDefault="00771F38" w:rsidP="00103D76">
      <w:pPr>
        <w:pStyle w:val="Akapitzlist"/>
        <w:numPr>
          <w:ilvl w:val="0"/>
          <w:numId w:val="29"/>
        </w:numPr>
      </w:pPr>
      <w:r w:rsidRPr="00A8564D">
        <w:rPr>
          <w:b/>
          <w:bCs/>
        </w:rPr>
        <w:t>Koordynacja i ujednolicenie działań informacyjno-promocyjnych w projektach wsparcia MŚP</w:t>
      </w:r>
      <w:r>
        <w:rPr>
          <w:b/>
          <w:bCs/>
        </w:rPr>
        <w:t xml:space="preserve"> </w:t>
      </w:r>
    </w:p>
    <w:p w14:paraId="5E168FDF" w14:textId="0D00EB4B" w:rsidR="00771F38" w:rsidRPr="00A8564D" w:rsidRDefault="00771F38" w:rsidP="00771F38">
      <w:pPr>
        <w:spacing w:before="0" w:after="0"/>
      </w:pPr>
      <w:r>
        <w:t>W projektach w zakresie promocji gospodarczej w Działaniu 1.3 Wsparcie MŚP, realizowanych zarówno przez Samorząd Województwa, jak też kilku beneficjentów wybranych w naborze konkurencyjnym, problemem jest r</w:t>
      </w:r>
      <w:r w:rsidRPr="00A8564D">
        <w:t>ozproszenie informacji, brak spójnych zasad uczestnictwa oraz ograniczona koordynacja działań operatorów</w:t>
      </w:r>
      <w:r>
        <w:t>. Utrudnia to</w:t>
      </w:r>
      <w:r w:rsidRPr="00A8564D">
        <w:t xml:space="preserve"> dotarcie do nowych firm i zniechęca mniej aktywnych przedsiębiorców do udziału w projektach.</w:t>
      </w:r>
      <w:r>
        <w:t xml:space="preserve"> </w:t>
      </w:r>
      <w:r w:rsidR="00F35C2D">
        <w:rPr>
          <w:b/>
          <w:bCs/>
          <w:color w:val="0F14D2" w:themeColor="accent1"/>
        </w:rPr>
        <w:t>Zalecenie</w:t>
      </w:r>
      <w:r w:rsidRPr="009265A3">
        <w:rPr>
          <w:b/>
          <w:bCs/>
          <w:color w:val="0F14D2" w:themeColor="accent1"/>
        </w:rPr>
        <w:t>:</w:t>
      </w:r>
      <w:r w:rsidRPr="009265A3">
        <w:rPr>
          <w:color w:val="0F14D2" w:themeColor="accent1"/>
        </w:rPr>
        <w:t xml:space="preserve"> </w:t>
      </w:r>
      <w:r w:rsidR="00F35C2D">
        <w:t>Zaleca</w:t>
      </w:r>
      <w:r w:rsidRPr="00A8564D">
        <w:t xml:space="preserve"> się utworzenie jednego, łatwo dostępnego punktu informacji prezentującego spójną ofertę wszystkich projektów wraz z ujednoliceniem kluczowych warunków uczestnictwa i wprowadzeniem mechanizmów koordynacji działań operatorów.</w:t>
      </w:r>
    </w:p>
    <w:p w14:paraId="229A4737" w14:textId="77777777" w:rsidR="00771F38" w:rsidRDefault="00771F38" w:rsidP="00103D76">
      <w:pPr>
        <w:pStyle w:val="Akapitzlist"/>
        <w:numPr>
          <w:ilvl w:val="0"/>
          <w:numId w:val="29"/>
        </w:numPr>
        <w:rPr>
          <w:b/>
          <w:bCs/>
        </w:rPr>
      </w:pPr>
      <w:r w:rsidRPr="00A8564D">
        <w:rPr>
          <w:b/>
          <w:bCs/>
        </w:rPr>
        <w:t>Czytelne oznaczanie zmian w regulaminach naborów</w:t>
      </w:r>
    </w:p>
    <w:p w14:paraId="13AABD5C" w14:textId="4CD226E5" w:rsidR="00771F38" w:rsidRDefault="00771F38" w:rsidP="00771F38">
      <w:pPr>
        <w:spacing w:before="0" w:after="0"/>
      </w:pPr>
      <w:r w:rsidRPr="00A8564D">
        <w:t xml:space="preserve">Modyfikacje regulaminu w trakcie trwania naboru, bez wyraźnego i jednoznacznego oznaczenia zmian, utrudniają </w:t>
      </w:r>
      <w:r w:rsidR="005012C4">
        <w:t>wnioskodawcom</w:t>
      </w:r>
      <w:r w:rsidR="005012C4" w:rsidRPr="00A8564D">
        <w:t xml:space="preserve"> </w:t>
      </w:r>
      <w:r w:rsidRPr="00A8564D">
        <w:t>zorientowanie się w aktualnych zasadach.</w:t>
      </w:r>
      <w:r>
        <w:t xml:space="preserve"> </w:t>
      </w:r>
      <w:r w:rsidR="00C3666A">
        <w:t>Informacja</w:t>
      </w:r>
      <w:r w:rsidR="00E5150A">
        <w:t xml:space="preserve"> w formie komunikatów</w:t>
      </w:r>
      <w:r w:rsidR="008D18ED">
        <w:t xml:space="preserve"> opisujących zmiany nie jest z punktu widzenia wnioskodawców wystarczająca; jest też czasem zbyt ogólnikowa (np. </w:t>
      </w:r>
      <w:r w:rsidR="00FE4292">
        <w:t xml:space="preserve">komunikat, </w:t>
      </w:r>
      <w:r w:rsidR="00C3666A">
        <w:t>że zaktualizowano kryteria oceny projektów bez szczegółowego wskazania, które).</w:t>
      </w:r>
      <w:r>
        <w:t xml:space="preserve"> </w:t>
      </w:r>
      <w:r w:rsidR="00F35C2D">
        <w:rPr>
          <w:b/>
          <w:bCs/>
          <w:color w:val="0F14D2" w:themeColor="accent1"/>
        </w:rPr>
        <w:t>Zalecenie</w:t>
      </w:r>
      <w:r w:rsidR="00F35C2D" w:rsidRPr="009265A3">
        <w:rPr>
          <w:b/>
          <w:bCs/>
          <w:color w:val="0F14D2" w:themeColor="accent1"/>
        </w:rPr>
        <w:t>:</w:t>
      </w:r>
      <w:r w:rsidR="00F35C2D" w:rsidRPr="009265A3">
        <w:rPr>
          <w:color w:val="0F14D2" w:themeColor="accent1"/>
        </w:rPr>
        <w:t xml:space="preserve"> </w:t>
      </w:r>
      <w:r w:rsidR="00F35C2D">
        <w:t>Zaleca</w:t>
      </w:r>
      <w:r w:rsidR="00F35C2D" w:rsidRPr="00A8564D">
        <w:t xml:space="preserve"> </w:t>
      </w:r>
      <w:r w:rsidRPr="00A8564D">
        <w:t>się, aby w przypadku konieczności wprowadzenia zmian w regulaminie</w:t>
      </w:r>
      <w:r w:rsidR="00C3666A">
        <w:t xml:space="preserve"> lub załącznikach</w:t>
      </w:r>
      <w:r w:rsidRPr="00A8564D">
        <w:t>, były one wyraźnie oznaczone w treści dokumentu (np. wyróżnieniem kolorem lub śledzeniem zmian).</w:t>
      </w:r>
    </w:p>
    <w:p w14:paraId="182F24A0" w14:textId="77777777" w:rsidR="00771F38" w:rsidRDefault="00771F38" w:rsidP="00103D76">
      <w:pPr>
        <w:pStyle w:val="Akapitzlist"/>
        <w:numPr>
          <w:ilvl w:val="0"/>
          <w:numId w:val="29"/>
        </w:numPr>
        <w:rPr>
          <w:b/>
          <w:bCs/>
        </w:rPr>
      </w:pPr>
      <w:r w:rsidRPr="00A8564D">
        <w:rPr>
          <w:b/>
          <w:bCs/>
        </w:rPr>
        <w:t>Usprawnienie procesu publikacji pytań i odpowiedzi (Q&amp;A)</w:t>
      </w:r>
    </w:p>
    <w:p w14:paraId="639CDC6C" w14:textId="4497DFC2" w:rsidR="00771F38" w:rsidRDefault="00DE580A" w:rsidP="00771F38">
      <w:pPr>
        <w:spacing w:before="0" w:after="0"/>
      </w:pPr>
      <w:r>
        <w:rPr>
          <w:rFonts w:asciiTheme="minorHAnsi" w:hAnsiTheme="minorHAnsi" w:cstheme="minorHAnsi"/>
          <w:szCs w:val="24"/>
        </w:rPr>
        <w:t>P</w:t>
      </w:r>
      <w:r w:rsidRPr="00D938E1">
        <w:rPr>
          <w:rFonts w:asciiTheme="minorHAnsi" w:hAnsiTheme="minorHAnsi" w:cstheme="minorHAnsi"/>
          <w:szCs w:val="24"/>
        </w:rPr>
        <w:t xml:space="preserve">roces ustalania </w:t>
      </w:r>
      <w:r>
        <w:rPr>
          <w:rFonts w:asciiTheme="minorHAnsi" w:hAnsiTheme="minorHAnsi" w:cstheme="minorHAnsi"/>
          <w:szCs w:val="24"/>
        </w:rPr>
        <w:t xml:space="preserve">i konsultacji </w:t>
      </w:r>
      <w:r w:rsidRPr="00D938E1">
        <w:rPr>
          <w:rFonts w:asciiTheme="minorHAnsi" w:hAnsiTheme="minorHAnsi" w:cstheme="minorHAnsi"/>
          <w:szCs w:val="24"/>
        </w:rPr>
        <w:t xml:space="preserve">odpowiedzi </w:t>
      </w:r>
      <w:r>
        <w:rPr>
          <w:rFonts w:asciiTheme="minorHAnsi" w:hAnsiTheme="minorHAnsi" w:cstheme="minorHAnsi"/>
          <w:szCs w:val="24"/>
        </w:rPr>
        <w:t xml:space="preserve">na pytania zadawane przez wnioskodawców </w:t>
      </w:r>
      <w:r w:rsidRPr="00D938E1">
        <w:rPr>
          <w:rFonts w:asciiTheme="minorHAnsi" w:hAnsiTheme="minorHAnsi" w:cstheme="minorHAnsi"/>
          <w:szCs w:val="24"/>
        </w:rPr>
        <w:t xml:space="preserve">w </w:t>
      </w:r>
      <w:r>
        <w:rPr>
          <w:rFonts w:asciiTheme="minorHAnsi" w:hAnsiTheme="minorHAnsi" w:cstheme="minorHAnsi"/>
          <w:szCs w:val="24"/>
        </w:rPr>
        <w:t>ramach komórek IZ</w:t>
      </w:r>
      <w:r w:rsidRPr="00D938E1">
        <w:rPr>
          <w:rFonts w:asciiTheme="minorHAnsi" w:hAnsiTheme="minorHAnsi" w:cstheme="minorHAnsi"/>
          <w:szCs w:val="24"/>
        </w:rPr>
        <w:t xml:space="preserve"> jest </w:t>
      </w:r>
      <w:r>
        <w:rPr>
          <w:rFonts w:asciiTheme="minorHAnsi" w:hAnsiTheme="minorHAnsi" w:cstheme="minorHAnsi"/>
          <w:szCs w:val="24"/>
        </w:rPr>
        <w:t>złożony</w:t>
      </w:r>
      <w:r w:rsidRPr="00D938E1">
        <w:rPr>
          <w:rFonts w:asciiTheme="minorHAnsi" w:hAnsiTheme="minorHAnsi" w:cstheme="minorHAnsi"/>
          <w:szCs w:val="24"/>
        </w:rPr>
        <w:t xml:space="preserve"> i </w:t>
      </w:r>
      <w:r>
        <w:rPr>
          <w:rFonts w:asciiTheme="minorHAnsi" w:hAnsiTheme="minorHAnsi" w:cstheme="minorHAnsi"/>
          <w:szCs w:val="24"/>
        </w:rPr>
        <w:t xml:space="preserve">z punktu widzenia niektórych komórek – </w:t>
      </w:r>
      <w:r w:rsidRPr="00D938E1">
        <w:rPr>
          <w:rFonts w:asciiTheme="minorHAnsi" w:hAnsiTheme="minorHAnsi" w:cstheme="minorHAnsi"/>
          <w:szCs w:val="24"/>
        </w:rPr>
        <w:t xml:space="preserve">nieoptymalny, co </w:t>
      </w:r>
      <w:r>
        <w:rPr>
          <w:rFonts w:asciiTheme="minorHAnsi" w:hAnsiTheme="minorHAnsi" w:cstheme="minorHAnsi"/>
          <w:szCs w:val="24"/>
        </w:rPr>
        <w:t>powoduje, że p</w:t>
      </w:r>
      <w:r w:rsidR="00C65B6C" w:rsidRPr="005D2FC4">
        <w:rPr>
          <w:rFonts w:asciiTheme="minorHAnsi" w:hAnsiTheme="minorHAnsi" w:cstheme="minorHAnsi"/>
          <w:szCs w:val="24"/>
        </w:rPr>
        <w:t xml:space="preserve">roces gromadzenia i publikowania pytań i </w:t>
      </w:r>
      <w:r w:rsidR="00C65B6C" w:rsidRPr="005D2FC4">
        <w:rPr>
          <w:rFonts w:asciiTheme="minorHAnsi" w:hAnsiTheme="minorHAnsi" w:cstheme="minorHAnsi"/>
          <w:szCs w:val="24"/>
        </w:rPr>
        <w:lastRenderedPageBreak/>
        <w:t xml:space="preserve">odpowiedzi </w:t>
      </w:r>
      <w:r w:rsidR="00C65B6C">
        <w:rPr>
          <w:rFonts w:asciiTheme="minorHAnsi" w:hAnsiTheme="minorHAnsi" w:cstheme="minorHAnsi"/>
          <w:szCs w:val="24"/>
        </w:rPr>
        <w:t>od wnioskodawców</w:t>
      </w:r>
      <w:r w:rsidR="00C65B6C" w:rsidRPr="005D2FC4">
        <w:rPr>
          <w:rFonts w:asciiTheme="minorHAnsi" w:hAnsiTheme="minorHAnsi" w:cstheme="minorHAnsi"/>
          <w:szCs w:val="24"/>
        </w:rPr>
        <w:t xml:space="preserve"> jest nie</w:t>
      </w:r>
      <w:r>
        <w:rPr>
          <w:rFonts w:asciiTheme="minorHAnsi" w:hAnsiTheme="minorHAnsi" w:cstheme="minorHAnsi"/>
          <w:szCs w:val="24"/>
        </w:rPr>
        <w:t>jednolity</w:t>
      </w:r>
      <w:r w:rsidR="00C65B6C" w:rsidRPr="005D2FC4">
        <w:rPr>
          <w:rFonts w:asciiTheme="minorHAnsi" w:hAnsiTheme="minorHAnsi" w:cstheme="minorHAnsi"/>
          <w:szCs w:val="24"/>
        </w:rPr>
        <w:t xml:space="preserve"> i często opóźniony</w:t>
      </w:r>
      <w:r w:rsidR="00C65B6C">
        <w:rPr>
          <w:rFonts w:asciiTheme="minorHAnsi" w:hAnsiTheme="minorHAnsi" w:cstheme="minorHAnsi"/>
          <w:szCs w:val="24"/>
        </w:rPr>
        <w:t>.</w:t>
      </w:r>
      <w:r w:rsidR="00C65B6C" w:rsidRPr="00D938E1">
        <w:rPr>
          <w:rFonts w:asciiTheme="minorHAnsi" w:hAnsiTheme="minorHAnsi" w:cstheme="minorBidi"/>
          <w:szCs w:val="24"/>
        </w:rPr>
        <w:t xml:space="preserve"> </w:t>
      </w:r>
      <w:r w:rsidR="00771F38" w:rsidRPr="00A8564D">
        <w:t>Brak systematycznej, szybkiej i powszechnie dostępnej publikacji pytań i odpowiedzi ogranicza dostęp wnioskodawców do istotnych informacji oraz powoduje powtarzanie się tych samych zapytań w kolejnych naborach.</w:t>
      </w:r>
      <w:r w:rsidR="00771F38">
        <w:t xml:space="preserve"> </w:t>
      </w:r>
      <w:r w:rsidR="00771F38" w:rsidRPr="009265A3">
        <w:rPr>
          <w:b/>
          <w:bCs/>
          <w:color w:val="0F14D2" w:themeColor="accent1"/>
        </w:rPr>
        <w:t>Rekomendacja:</w:t>
      </w:r>
      <w:r w:rsidR="00771F38" w:rsidRPr="009265A3">
        <w:rPr>
          <w:color w:val="0F14D2" w:themeColor="accent1"/>
        </w:rPr>
        <w:t xml:space="preserve"> </w:t>
      </w:r>
      <w:r w:rsidR="00771F38" w:rsidRPr="00A8564D">
        <w:t xml:space="preserve">Rekomenduje się </w:t>
      </w:r>
      <w:r w:rsidR="007126F2" w:rsidRPr="008C41E8">
        <w:t>zweryfikowanie „ścieżki” opracowywania odpowiedzi w strukturze IZ i podjęcie działań mających na celu</w:t>
      </w:r>
      <w:r w:rsidR="007126F2">
        <w:rPr>
          <w:color w:val="0F14D2" w:themeColor="accent1"/>
        </w:rPr>
        <w:t xml:space="preserve"> </w:t>
      </w:r>
      <w:r w:rsidR="00771F38" w:rsidRPr="00A8564D">
        <w:t>usprawnienie procesu tworzenia i publikowania Q&amp;A</w:t>
      </w:r>
      <w:r w:rsidR="00344E08">
        <w:t xml:space="preserve">, tj. </w:t>
      </w:r>
      <w:r w:rsidR="00771F38" w:rsidRPr="00A8564D">
        <w:t>ich niezwłoczne udostępnianie w formie aktualizowanej listy online.</w:t>
      </w:r>
    </w:p>
    <w:p w14:paraId="13C11452" w14:textId="77777777" w:rsidR="00771F38" w:rsidRDefault="00771F38" w:rsidP="00103D76">
      <w:pPr>
        <w:pStyle w:val="Akapitzlist"/>
        <w:numPr>
          <w:ilvl w:val="0"/>
          <w:numId w:val="29"/>
        </w:numPr>
        <w:rPr>
          <w:b/>
          <w:bCs/>
        </w:rPr>
      </w:pPr>
      <w:r w:rsidRPr="00A8564D">
        <w:rPr>
          <w:b/>
          <w:bCs/>
        </w:rPr>
        <w:t>Zwiększenie dostępności i praktycznego charakteru szkoleń dla wnioskodawców</w:t>
      </w:r>
    </w:p>
    <w:p w14:paraId="713555A5" w14:textId="116FF709" w:rsidR="00771F38" w:rsidRPr="00A8564D" w:rsidRDefault="00771F38" w:rsidP="00771F38">
      <w:pPr>
        <w:spacing w:before="0" w:after="0"/>
      </w:pPr>
      <w:r w:rsidRPr="00A8564D">
        <w:t>Brak cyklicznych szkoleń przy kolejnych edycjach naborów utrudnia nowym i mniej doświadczonym wnioskodawcom zdobycie wiedzy niezbędnej do przygotowania wysokiej jakości wniosków.</w:t>
      </w:r>
      <w:r>
        <w:t xml:space="preserve"> </w:t>
      </w:r>
      <w:r w:rsidRPr="009265A3">
        <w:rPr>
          <w:b/>
          <w:bCs/>
          <w:color w:val="0F14D2" w:themeColor="accent1"/>
        </w:rPr>
        <w:t>Zalecenie:</w:t>
      </w:r>
      <w:r w:rsidRPr="009265A3">
        <w:rPr>
          <w:color w:val="0F14D2" w:themeColor="accent1"/>
        </w:rPr>
        <w:t xml:space="preserve"> </w:t>
      </w:r>
      <w:r w:rsidRPr="00352A7A">
        <w:t>Zaleca się rozważ</w:t>
      </w:r>
      <w:r>
        <w:t>enie</w:t>
      </w:r>
      <w:r w:rsidRPr="00352A7A">
        <w:t xml:space="preserve"> na poziomie poszczególnych instytucji organizujących nabory, na ile ich potencjał i możliwości organizacyjne pozwalają na zapewnienie cykliczności szkoleń przy każdej edycji naboru, rozszerzenie formy warsztatowej, udostępnianie materiałów poglądowych (w tym wzorcowo wypełnionych wniosków o dofinansowanie) oraz zapewnienie dodatkowych, spersonalizowanych konsultacji dla mniejszych JST i nowych wnioskodawców.</w:t>
      </w:r>
    </w:p>
    <w:p w14:paraId="26237C33" w14:textId="77777777" w:rsidR="00771F38" w:rsidRDefault="00771F38" w:rsidP="00077CA0">
      <w:pPr>
        <w:pStyle w:val="Akapitzlist"/>
        <w:numPr>
          <w:ilvl w:val="0"/>
          <w:numId w:val="29"/>
        </w:numPr>
        <w:ind w:left="714" w:hanging="357"/>
        <w:contextualSpacing w:val="0"/>
        <w:rPr>
          <w:b/>
          <w:bCs/>
        </w:rPr>
      </w:pPr>
      <w:r w:rsidRPr="00352A7A">
        <w:rPr>
          <w:b/>
          <w:bCs/>
        </w:rPr>
        <w:t>Optymalizacja harmonogramu naborów</w:t>
      </w:r>
    </w:p>
    <w:p w14:paraId="3A6081AD" w14:textId="2B29DB36" w:rsidR="00771F38" w:rsidRPr="00352A7A" w:rsidRDefault="00771F38" w:rsidP="00771F38">
      <w:pPr>
        <w:spacing w:before="0" w:after="0"/>
      </w:pPr>
      <w:r w:rsidRPr="00352A7A">
        <w:t xml:space="preserve">Nakładanie się terminów składania wniosków w ramach </w:t>
      </w:r>
      <w:r w:rsidR="00FA36E0">
        <w:t>polityki terytorialnej</w:t>
      </w:r>
      <w:r w:rsidRPr="00352A7A">
        <w:t xml:space="preserve"> </w:t>
      </w:r>
      <w:r w:rsidR="002B024B">
        <w:t xml:space="preserve">(nawet uwzględniając </w:t>
      </w:r>
      <w:r w:rsidR="005460DA">
        <w:t>długi czas trwania naborów</w:t>
      </w:r>
      <w:r w:rsidR="002B024B">
        <w:t>)</w:t>
      </w:r>
      <w:r w:rsidRPr="00352A7A">
        <w:t xml:space="preserve"> powoduje nadmierne obciążenie </w:t>
      </w:r>
      <w:r>
        <w:t>wnioskodawców</w:t>
      </w:r>
      <w:r w:rsidRPr="00352A7A">
        <w:t xml:space="preserve">, ogranicza możliwość udziału w </w:t>
      </w:r>
      <w:r>
        <w:t>naborach</w:t>
      </w:r>
      <w:r w:rsidRPr="00352A7A">
        <w:t xml:space="preserve"> i obniża jakość przygotowywanych wniosków.</w:t>
      </w:r>
      <w:r>
        <w:t xml:space="preserve"> </w:t>
      </w:r>
      <w:r w:rsidRPr="00A23494">
        <w:rPr>
          <w:b/>
          <w:bCs/>
          <w:color w:val="0F14D2" w:themeColor="accent1"/>
        </w:rPr>
        <w:t>Zalecenie:</w:t>
      </w:r>
      <w:r w:rsidRPr="00A23494">
        <w:rPr>
          <w:color w:val="0F14D2" w:themeColor="accent1"/>
        </w:rPr>
        <w:t xml:space="preserve"> </w:t>
      </w:r>
      <w:r>
        <w:t>Zaleca</w:t>
      </w:r>
      <w:r w:rsidRPr="00352A7A">
        <w:t xml:space="preserve"> się weryfikację harmonogramu naborów w celu unikania nakładania się terminów składania wniosków.</w:t>
      </w:r>
    </w:p>
    <w:p w14:paraId="5B0F07EA" w14:textId="77777777" w:rsidR="00771F38" w:rsidRDefault="00771F38" w:rsidP="00077CA0">
      <w:pPr>
        <w:pStyle w:val="Akapitzlist"/>
        <w:numPr>
          <w:ilvl w:val="0"/>
          <w:numId w:val="29"/>
        </w:numPr>
        <w:ind w:left="714" w:hanging="357"/>
        <w:contextualSpacing w:val="0"/>
        <w:rPr>
          <w:b/>
          <w:bCs/>
        </w:rPr>
      </w:pPr>
      <w:r w:rsidRPr="00352A7A">
        <w:rPr>
          <w:b/>
          <w:bCs/>
        </w:rPr>
        <w:t>Dostosowanie alokacji i typów projektów do realnych potrzeb w sektorze edukacji</w:t>
      </w:r>
    </w:p>
    <w:p w14:paraId="6AAF80A2" w14:textId="60490D2F" w:rsidR="00771F38" w:rsidRDefault="001A3D8D" w:rsidP="00771F38">
      <w:pPr>
        <w:spacing w:before="0" w:after="0"/>
      </w:pPr>
      <w:r w:rsidRPr="001A3D8D">
        <w:t>Pomimo utrzymujących się w regionie potrzeb w zakresie wyrównywania szans edukacyjnych i podnoszenia jakości wychowania przedszkolnego, zainteresowanie wsparciem na tworzenie nowych miejsc okazało się niskie – wnioskodawcy rzadko składają projekty w tym obszarze. Wynika to z faktu, że obecna dostępność miejsc w przedszkolach zasadniczo zaspokaja potrzeby lokalnych społeczności, a większe zapotrzebowanie dotyczy modernizacji i doposażenia istniejących placówek, co nie jest samodzielnym typem projektu w ramach Programu</w:t>
      </w:r>
      <w:r w:rsidR="00771F38" w:rsidRPr="00352A7A">
        <w:t>.</w:t>
      </w:r>
      <w:r w:rsidR="00771F38">
        <w:t xml:space="preserve"> </w:t>
      </w:r>
      <w:r w:rsidR="00F35C2D">
        <w:rPr>
          <w:b/>
          <w:bCs/>
          <w:color w:val="0F14D2" w:themeColor="accent1"/>
        </w:rPr>
        <w:t>Zalecenie</w:t>
      </w:r>
      <w:r w:rsidR="00F35C2D" w:rsidRPr="009265A3">
        <w:rPr>
          <w:b/>
          <w:bCs/>
          <w:color w:val="0F14D2" w:themeColor="accent1"/>
        </w:rPr>
        <w:t>:</w:t>
      </w:r>
      <w:r w:rsidR="00F35C2D" w:rsidRPr="009265A3">
        <w:rPr>
          <w:color w:val="0F14D2" w:themeColor="accent1"/>
        </w:rPr>
        <w:t xml:space="preserve"> </w:t>
      </w:r>
      <w:r w:rsidR="00F35C2D">
        <w:t>Zaleca</w:t>
      </w:r>
      <w:r w:rsidR="00F35C2D" w:rsidRPr="00A8564D">
        <w:t xml:space="preserve"> </w:t>
      </w:r>
      <w:r w:rsidR="00771F38" w:rsidRPr="00352A7A">
        <w:t>się przeznaczenie niewykorzystanej alokacji z naborów na nowe miejsca wychowania przedszkolnego na działania wspierające edukację ogólną i zawodową</w:t>
      </w:r>
      <w:r>
        <w:t xml:space="preserve">, w której potrzeby </w:t>
      </w:r>
      <w:r w:rsidR="00A247E8">
        <w:t>samorządów są nadal bardzo wysokie</w:t>
      </w:r>
      <w:r w:rsidR="00F35C2D">
        <w:t>.</w:t>
      </w:r>
    </w:p>
    <w:p w14:paraId="685B0D6D" w14:textId="77777777" w:rsidR="00771F38" w:rsidRDefault="00771F38" w:rsidP="008C2EDC">
      <w:pPr>
        <w:pStyle w:val="Akapitzlist"/>
        <w:keepNext/>
        <w:numPr>
          <w:ilvl w:val="0"/>
          <w:numId w:val="29"/>
        </w:numPr>
        <w:ind w:left="714" w:hanging="357"/>
        <w:contextualSpacing w:val="0"/>
        <w:rPr>
          <w:b/>
          <w:bCs/>
        </w:rPr>
      </w:pPr>
      <w:r w:rsidRPr="001F4A97">
        <w:rPr>
          <w:b/>
          <w:bCs/>
        </w:rPr>
        <w:lastRenderedPageBreak/>
        <w:t>Rozbudowa merytorycznej części instrukcji wypełniania wniosku o dofinansowanie</w:t>
      </w:r>
    </w:p>
    <w:p w14:paraId="3C633F01" w14:textId="1009CEDF" w:rsidR="00E31954" w:rsidRDefault="00A247E8" w:rsidP="00077CA0">
      <w:pPr>
        <w:spacing w:before="0" w:after="0"/>
      </w:pPr>
      <w:r w:rsidRPr="001F4A97">
        <w:t>Obecn</w:t>
      </w:r>
      <w:r>
        <w:t>e</w:t>
      </w:r>
      <w:r w:rsidRPr="001F4A97">
        <w:t xml:space="preserve"> instrukcj</w:t>
      </w:r>
      <w:r>
        <w:t>e</w:t>
      </w:r>
      <w:r w:rsidRPr="001F4A97">
        <w:t xml:space="preserve"> </w:t>
      </w:r>
      <w:r w:rsidR="00771F38" w:rsidRPr="001F4A97">
        <w:t xml:space="preserve">wypełniania wniosku </w:t>
      </w:r>
      <w:r>
        <w:t xml:space="preserve">o dofinansowanie projektu EFRR i EFS+ </w:t>
      </w:r>
      <w:r w:rsidR="00A96427">
        <w:t xml:space="preserve">(bazujące na wzorze MFiPR) </w:t>
      </w:r>
      <w:r w:rsidR="00A96427" w:rsidRPr="001F4A97">
        <w:t>koncentruj</w:t>
      </w:r>
      <w:r w:rsidR="00A96427">
        <w:t>ą</w:t>
      </w:r>
      <w:r w:rsidR="00A96427" w:rsidRPr="001F4A97">
        <w:t xml:space="preserve"> </w:t>
      </w:r>
      <w:r w:rsidR="00771F38" w:rsidRPr="001F4A97">
        <w:t>się głównie na aspektach technicznych obsługi systemu CST2021</w:t>
      </w:r>
      <w:r>
        <w:t xml:space="preserve"> oraz SOWA</w:t>
      </w:r>
      <w:r w:rsidR="00771F38" w:rsidRPr="001F4A97">
        <w:t xml:space="preserve">, co utrudnia wnioskodawcom prawidłowe przygotowanie treści merytorycznej i zwiększa potrzebę dodatkowych wyjaśnień ze strony </w:t>
      </w:r>
      <w:r>
        <w:t>pracowników IZ/IP</w:t>
      </w:r>
      <w:r w:rsidR="00771F38" w:rsidRPr="001F4A97">
        <w:t>.</w:t>
      </w:r>
      <w:r w:rsidR="00771F38">
        <w:t xml:space="preserve"> </w:t>
      </w:r>
      <w:r w:rsidR="00E31954">
        <w:t xml:space="preserve">Jako dobrą praktykę przywoływano rozwiązania w </w:t>
      </w:r>
      <w:r w:rsidR="00E31954" w:rsidRPr="002747A9">
        <w:t>poprzedniej perspektywie (2014</w:t>
      </w:r>
      <w:r w:rsidR="00E31954">
        <w:t>-</w:t>
      </w:r>
      <w:r w:rsidR="00E31954" w:rsidRPr="002747A9">
        <w:t>2020)</w:t>
      </w:r>
      <w:r w:rsidR="00E31954">
        <w:t>, gdzie</w:t>
      </w:r>
      <w:r w:rsidR="00E31954" w:rsidRPr="002747A9">
        <w:t xml:space="preserve"> instrukcja zawierała bogatsze opisy dotyczące wymogów formalnych i </w:t>
      </w:r>
      <w:r w:rsidR="00E31954">
        <w:t>merytorycznych</w:t>
      </w:r>
      <w:r w:rsidR="00E31954" w:rsidRPr="002747A9">
        <w:t xml:space="preserve">. </w:t>
      </w:r>
      <w:r w:rsidR="00A96427">
        <w:t xml:space="preserve">W </w:t>
      </w:r>
      <w:r w:rsidR="00A40A14">
        <w:t>niektórych</w:t>
      </w:r>
      <w:r w:rsidR="00A96427">
        <w:t xml:space="preserve"> regionach poza </w:t>
      </w:r>
      <w:r w:rsidR="00A40A14">
        <w:t>instrukcjami opracowanymi przez MFiPR przygotowano także dodatkowe instrukcje</w:t>
      </w:r>
      <w:r w:rsidR="00C611B2">
        <w:t>.</w:t>
      </w:r>
    </w:p>
    <w:p w14:paraId="4674E7B3" w14:textId="5B1D0D4E" w:rsidR="00E31954" w:rsidRDefault="00E31954" w:rsidP="00E31954">
      <w:r w:rsidRPr="004C0417">
        <w:rPr>
          <w:b/>
          <w:bCs/>
          <w:color w:val="0F14D2" w:themeColor="accent1"/>
        </w:rPr>
        <w:t>Zalecenie</w:t>
      </w:r>
      <w:r>
        <w:t xml:space="preserve">: </w:t>
      </w:r>
      <w:r w:rsidR="00850927" w:rsidRPr="00850927">
        <w:t>Wskazane jest opracowanie bardziej kompleksowych i horyzontalnych instrukcji merytorycznych, przy czym ze względu na stopień zaawansowania wdrażania perspektywy 2021–2027, ich wprowadzenie powinno być rozważone w kolejnej perspektywie finansowej 2027+.</w:t>
      </w:r>
      <w:r>
        <w:t xml:space="preserve"> </w:t>
      </w:r>
    </w:p>
    <w:p w14:paraId="76F01C22" w14:textId="77777777" w:rsidR="00771F38" w:rsidRDefault="00771F38" w:rsidP="00103D76">
      <w:pPr>
        <w:pStyle w:val="Akapitzlist"/>
        <w:numPr>
          <w:ilvl w:val="0"/>
          <w:numId w:val="29"/>
        </w:numPr>
        <w:rPr>
          <w:b/>
          <w:bCs/>
        </w:rPr>
      </w:pPr>
      <w:r w:rsidRPr="008E140A">
        <w:rPr>
          <w:b/>
          <w:bCs/>
        </w:rPr>
        <w:t>Uproszczenie i doprecyzowanie kryteriów oceny projektów</w:t>
      </w:r>
    </w:p>
    <w:p w14:paraId="747430C5" w14:textId="153F8FE9" w:rsidR="00771F38" w:rsidRPr="008E140A" w:rsidRDefault="00771F38" w:rsidP="00771F38">
      <w:pPr>
        <w:spacing w:before="0" w:after="0"/>
      </w:pPr>
      <w:r w:rsidRPr="008E140A">
        <w:t>Rozbudowane, zawiłe i niejednoznaczne</w:t>
      </w:r>
      <w:r>
        <w:t xml:space="preserve"> niektóre</w:t>
      </w:r>
      <w:r w:rsidRPr="008E140A">
        <w:t xml:space="preserve"> kryteria oceny projektów utrudniają przygotowanie wniosków oraz proces ich oceny, a w niektórych przypadkach są niespójne z innymi dokumentami.</w:t>
      </w:r>
      <w:r>
        <w:t xml:space="preserve"> </w:t>
      </w:r>
      <w:r w:rsidR="00F26DE9">
        <w:rPr>
          <w:b/>
          <w:bCs/>
          <w:color w:val="0F14D2" w:themeColor="accent1"/>
        </w:rPr>
        <w:t>Zalecenie</w:t>
      </w:r>
      <w:r w:rsidRPr="007D7C31">
        <w:rPr>
          <w:b/>
          <w:bCs/>
          <w:color w:val="0F14D2" w:themeColor="accent1"/>
        </w:rPr>
        <w:t>:</w:t>
      </w:r>
      <w:r w:rsidRPr="007D7C31">
        <w:rPr>
          <w:color w:val="0F14D2" w:themeColor="accent1"/>
        </w:rPr>
        <w:t xml:space="preserve"> </w:t>
      </w:r>
      <w:r w:rsidRPr="008E140A">
        <w:t xml:space="preserve">Rekomenduje się prowadzenie dalszych prac nad uproszczeniem i doprecyzowaniem definicji kryteriów oceny projektów, </w:t>
      </w:r>
      <w:r w:rsidR="003D16DA">
        <w:t>z uwzględnieniem jednocześnie wymagań wynikających z dokumentów nadrzędnych np. rozporządzenia ogólnego lub</w:t>
      </w:r>
      <w:r w:rsidR="00ED6DBA" w:rsidRPr="00ED6DBA">
        <w:t xml:space="preserve"> </w:t>
      </w:r>
      <w:r w:rsidR="00ED6DBA">
        <w:t xml:space="preserve">np. rekomendacji </w:t>
      </w:r>
      <w:r w:rsidR="00ED6DBA" w:rsidRPr="00ED6DBA">
        <w:t>Komitet</w:t>
      </w:r>
      <w:r w:rsidR="00ED6DBA">
        <w:t>u</w:t>
      </w:r>
      <w:r w:rsidR="00ED6DBA" w:rsidRPr="00ED6DBA">
        <w:t xml:space="preserve"> Sterując</w:t>
      </w:r>
      <w:r w:rsidR="00ED6DBA">
        <w:t>ego</w:t>
      </w:r>
      <w:r w:rsidR="00ED6DBA" w:rsidRPr="00ED6DBA">
        <w:t xml:space="preserve"> do spraw koordynacji wsparcia w sektorze zdrowia</w:t>
      </w:r>
      <w:r w:rsidRPr="008E140A">
        <w:t>.</w:t>
      </w:r>
    </w:p>
    <w:p w14:paraId="287FEF7A" w14:textId="17E52279" w:rsidR="00771F38" w:rsidRDefault="00771F38" w:rsidP="00103D76">
      <w:pPr>
        <w:pStyle w:val="Akapitzlist"/>
        <w:numPr>
          <w:ilvl w:val="0"/>
          <w:numId w:val="29"/>
        </w:numPr>
        <w:rPr>
          <w:b/>
          <w:bCs/>
        </w:rPr>
      </w:pPr>
      <w:r w:rsidRPr="008E140A">
        <w:rPr>
          <w:b/>
          <w:bCs/>
        </w:rPr>
        <w:t>Dostosowanie warunków finansowych w Działaniu 8.24 dla projektów mieszkań treningowych i wspomaganych</w:t>
      </w:r>
    </w:p>
    <w:p w14:paraId="4F12E32D" w14:textId="328EA8D9" w:rsidR="00771F38" w:rsidRPr="008E140A" w:rsidRDefault="0029588A" w:rsidP="00771F38">
      <w:pPr>
        <w:spacing w:before="0" w:after="0"/>
      </w:pPr>
      <w:r w:rsidRPr="0029588A">
        <w:t>Kryteria finansowe zastosowane w naborze w ramach Działania 8.24 istotnie ograniczyły grono potencjalnych wnioskodawców – maksymalna wartość projektu ustalona na poziomie 3 mln zł okazała się niewystarczająca do realizacji przedsięwzięć obejmujących zarówno inwestycje infrastrukturalne, jak i bieżące koszty funkcjonowania mieszkań. Dodatkowo limit średniego kosztu dofinansowania na jedno miejsce świadczenia usług w wysokości 104 tys. zł był zbyt niski w stosunku do realnych wydatków, ponieważ samo roczne utrzymanie mieszkania, w tym wynagrodzenia pracowników świadczących usługi (np. pracownika socjalnego, asystenta, psychologa czy trenera pracy), często przekraczało ten pułap. W efekcie wsparcie w obecnej formule mogły pozyskać głównie podmioty posiadające już dostosowaną infrastrukturę, a zainteresowanie naborem ze strony pozostałych wnioskodawców było bardzo ograniczone</w:t>
      </w:r>
      <w:r w:rsidR="00771F38" w:rsidRPr="008E140A">
        <w:t>.</w:t>
      </w:r>
      <w:r w:rsidR="00771F38">
        <w:t xml:space="preserve"> </w:t>
      </w:r>
      <w:r w:rsidR="00771F38" w:rsidRPr="003172EE">
        <w:rPr>
          <w:b/>
          <w:bCs/>
          <w:color w:val="0F14D2" w:themeColor="accent1"/>
        </w:rPr>
        <w:t>Rekomendacja:</w:t>
      </w:r>
      <w:r w:rsidR="00771F38" w:rsidRPr="003172EE">
        <w:rPr>
          <w:color w:val="0F14D2" w:themeColor="accent1"/>
        </w:rPr>
        <w:t xml:space="preserve"> </w:t>
      </w:r>
      <w:r w:rsidR="00771F38" w:rsidRPr="008E140A">
        <w:t>Rekomenduje się zmianę warunków finansowych w Działaniu 8.24 poprzez zwiększenie maksymalnej wartości projektu oraz podniesienie limitu kosztu dofinansowania na jedno miejsce.</w:t>
      </w:r>
    </w:p>
    <w:p w14:paraId="22A2169B" w14:textId="77777777" w:rsidR="00771F38" w:rsidRDefault="00771F38" w:rsidP="00103D76">
      <w:pPr>
        <w:pStyle w:val="Akapitzlist"/>
        <w:numPr>
          <w:ilvl w:val="0"/>
          <w:numId w:val="29"/>
        </w:numPr>
        <w:rPr>
          <w:b/>
          <w:bCs/>
        </w:rPr>
      </w:pPr>
      <w:r w:rsidRPr="001F4A97">
        <w:rPr>
          <w:b/>
          <w:bCs/>
        </w:rPr>
        <w:lastRenderedPageBreak/>
        <w:t>Modyfikacja systemu SOWA w zakresie prezentacji i kalkulacji budżetu</w:t>
      </w:r>
    </w:p>
    <w:p w14:paraId="3F4A094E" w14:textId="77777777" w:rsidR="00771F38" w:rsidRPr="001F4A97" w:rsidRDefault="00771F38" w:rsidP="00771F38">
      <w:pPr>
        <w:spacing w:before="0" w:after="0"/>
      </w:pPr>
      <w:r w:rsidRPr="001F4A97">
        <w:t>Obecny sposób prezentacji budżetu w systemie SOWA, oparty na ogólnych pozycjach zbiorczych, utrudnia przygotowanie i ocenę wniosków, zwiększa ryzyko błędów oraz wydłuża proces aplikacji i oceny.</w:t>
      </w:r>
      <w:r>
        <w:t xml:space="preserve"> </w:t>
      </w:r>
      <w:r w:rsidRPr="003172EE">
        <w:rPr>
          <w:b/>
          <w:bCs/>
          <w:color w:val="0F14D2" w:themeColor="accent1"/>
        </w:rPr>
        <w:t>Zalecenie:</w:t>
      </w:r>
      <w:r w:rsidRPr="003172EE">
        <w:rPr>
          <w:color w:val="0F14D2" w:themeColor="accent1"/>
        </w:rPr>
        <w:t xml:space="preserve"> </w:t>
      </w:r>
      <w:r w:rsidRPr="001F4A97">
        <w:t>Rekomenduje się modyfikację systemu SOWA tak, aby umożliwiał wprowadzanie szczegółowych pozycji budżetowych z automatycznym wyliczaniem kosztów oraz przypisaniem ich do poszczególnych działań i zadań projektowych.</w:t>
      </w:r>
      <w:r>
        <w:t xml:space="preserve"> Rekomendacja skierowana na operatora systemu tj. </w:t>
      </w:r>
      <w:r w:rsidRPr="008E140A">
        <w:t>Ministerstwa Funduszy i Polityki Regionalnej</w:t>
      </w:r>
      <w:r>
        <w:t>.</w:t>
      </w:r>
    </w:p>
    <w:p w14:paraId="1653DCBD" w14:textId="77777777" w:rsidR="00771F38" w:rsidRDefault="00771F38" w:rsidP="00103D76">
      <w:pPr>
        <w:pStyle w:val="Akapitzlist"/>
        <w:numPr>
          <w:ilvl w:val="0"/>
          <w:numId w:val="29"/>
        </w:numPr>
        <w:rPr>
          <w:b/>
          <w:bCs/>
        </w:rPr>
      </w:pPr>
      <w:r w:rsidRPr="008E140A">
        <w:rPr>
          <w:b/>
          <w:bCs/>
        </w:rPr>
        <w:t>Ograniczenie obowiązku uwzględniania nieadekwatnych wskaźników wspólnych w systemie SOWA</w:t>
      </w:r>
    </w:p>
    <w:p w14:paraId="767046C1" w14:textId="25F06300" w:rsidR="475641A2" w:rsidRDefault="00771F38" w:rsidP="475641A2">
      <w:pPr>
        <w:spacing w:before="0" w:after="0"/>
      </w:pPr>
      <w:r w:rsidRPr="008E140A">
        <w:t>Obowiązek wprowadzania wszystkich wskaźników wspólnych, nawet tych nieadekwatnych do zakresu projektu, generuje zbędne obciążenie administracyjne, wydłuża przygotowanie wniosku i powoduje niepotrzebne wątpliwości wśród wnioskodawców.</w:t>
      </w:r>
      <w:r>
        <w:t xml:space="preserve"> </w:t>
      </w:r>
      <w:r w:rsidRPr="003172EE">
        <w:rPr>
          <w:b/>
          <w:bCs/>
          <w:color w:val="0F14D2" w:themeColor="accent1"/>
        </w:rPr>
        <w:t>Zalecenie:</w:t>
      </w:r>
      <w:r w:rsidRPr="003172EE">
        <w:rPr>
          <w:color w:val="0F14D2" w:themeColor="accent1"/>
        </w:rPr>
        <w:t xml:space="preserve"> </w:t>
      </w:r>
      <w:r>
        <w:t>Zaleca</w:t>
      </w:r>
      <w:r w:rsidRPr="008E140A">
        <w:t xml:space="preserve"> się ograniczenie obowiązku wprowadzania wskaźników </w:t>
      </w:r>
      <w:r w:rsidR="0029588A">
        <w:t>w</w:t>
      </w:r>
      <w:r w:rsidRPr="008E140A">
        <w:t xml:space="preserve">spólnych wyłącznie do projektów, których zakres i grupa docelowa faktycznie obejmują dane zagadnienie, tak aby wnioskodawca widział tylko wskaźniki adekwatne do swojego przedsięwzięcia. </w:t>
      </w:r>
      <w:r>
        <w:t xml:space="preserve">Rekomendacja skierowana na operatora systemu tj. </w:t>
      </w:r>
      <w:r w:rsidRPr="008E140A">
        <w:t>Ministerstwa Funduszy i Polityki Regionalnej</w:t>
      </w:r>
      <w:r>
        <w:t>.</w:t>
      </w:r>
    </w:p>
    <w:p w14:paraId="70979A9C" w14:textId="33AED079" w:rsidR="00002869" w:rsidRPr="00CA4F88" w:rsidRDefault="00F34F97" w:rsidP="00053161">
      <w:pPr>
        <w:pStyle w:val="Nagwek3"/>
        <w:rPr>
          <w:rFonts w:cstheme="minorHAnsi"/>
        </w:rPr>
      </w:pPr>
      <w:bookmarkStart w:id="22" w:name="_Toc208593152"/>
      <w:r>
        <w:t>K</w:t>
      </w:r>
      <w:r w:rsidR="00A448CA" w:rsidRPr="00A448CA">
        <w:t>luczowe wyzwania strategiczne</w:t>
      </w:r>
      <w:r>
        <w:t>, które należałoby uwzględnić w</w:t>
      </w:r>
      <w:r w:rsidRPr="00B83F5C">
        <w:t xml:space="preserve"> Program</w:t>
      </w:r>
      <w:r>
        <w:t>ie</w:t>
      </w:r>
      <w:bookmarkEnd w:id="22"/>
    </w:p>
    <w:p w14:paraId="1F824421" w14:textId="763BE146" w:rsidR="5EFE1B4C" w:rsidRDefault="5EFE1B4C" w:rsidP="003172EE">
      <w:r w:rsidRPr="47E09144">
        <w:t xml:space="preserve">Analiza problemu niskiego zainteresowania niektórymi naborami FEdKP </w:t>
      </w:r>
      <w:r w:rsidR="003C5087">
        <w:t xml:space="preserve">2021-2027 </w:t>
      </w:r>
      <w:r w:rsidRPr="47E09144">
        <w:t xml:space="preserve">nie dostarczyła jednoznacznych wskazówek na temat potrzeby podjęcia nowych wyzwań strategicznych w realizacji Programu. W badaniu przyjęto założenie, że przyczyną niskiego zainteresowania wsparciem może być niedostateczna trafność wsparcia </w:t>
      </w:r>
      <w:r w:rsidR="45872AB7">
        <w:t>wobec</w:t>
      </w:r>
      <w:r w:rsidRPr="47E09144">
        <w:t xml:space="preserve"> potrzeb </w:t>
      </w:r>
      <w:r w:rsidR="00A20BCC">
        <w:t>(potencjalnych) wnioskodawców</w:t>
      </w:r>
      <w:r w:rsidR="00A20BCC" w:rsidRPr="47E09144">
        <w:t xml:space="preserve"> </w:t>
      </w:r>
      <w:r w:rsidRPr="47E09144">
        <w:t>lub grup odbiorców, ale z drugiej strony mogą pojawić się też nowe potrzeby i wyzwania, wobec których należałoby ukierunkować wsparcie w przyszłości. Badanie wykazało, że badany problem w większej mierze odnosi się do pierwszego z tych założeń.</w:t>
      </w:r>
    </w:p>
    <w:p w14:paraId="2E2EF4F7" w14:textId="723E4305" w:rsidR="00941B50" w:rsidRPr="00941B50" w:rsidRDefault="45DF8609" w:rsidP="00941B50">
      <w:r>
        <w:t xml:space="preserve">Rozdział ten identyfikuje wyzwania i potrzeby, które można wstępnie uznać za istotne </w:t>
      </w:r>
      <w:r w:rsidR="007360B7">
        <w:t xml:space="preserve">– uwzględniając, że niniejsze badanie skupiało się na niewielkim wycinku Programu, tj. wybranych naborach o niskiej skuteczności. </w:t>
      </w:r>
      <w:r w:rsidR="00941B50" w:rsidRPr="00941B50">
        <w:t>Należy również brać pod uwagę, że zakres ewentualnych modyfikacji FEdKP 2021</w:t>
      </w:r>
      <w:r w:rsidR="00941B50">
        <w:t>-</w:t>
      </w:r>
      <w:r w:rsidR="00941B50" w:rsidRPr="00941B50">
        <w:t xml:space="preserve">2027 dotyczy przede wszystkim warstwy operacyjnej (np. harmonogramów i </w:t>
      </w:r>
      <w:r w:rsidR="00634EC9">
        <w:t>sposobu wyboru</w:t>
      </w:r>
      <w:r w:rsidR="00941B50" w:rsidRPr="00941B50">
        <w:t>, konstrukcji instrumentów wsparcia). Natomiast poniższe obszary – ze względu na ich nadrzędny i regulacyjny charakter</w:t>
      </w:r>
      <w:r w:rsidR="00941B50" w:rsidRPr="00713046">
        <w:t xml:space="preserve"> – </w:t>
      </w:r>
      <w:r w:rsidR="00941B50" w:rsidRPr="00077CA0">
        <w:t>co do zasady pozostają poza zakresem modyfikacji na poziomie Programu</w:t>
      </w:r>
      <w:r w:rsidR="00941B50" w:rsidRPr="00713046">
        <w:t>:</w:t>
      </w:r>
    </w:p>
    <w:p w14:paraId="5A786F10" w14:textId="77777777" w:rsidR="00941B50" w:rsidRPr="00941B50" w:rsidRDefault="00941B50" w:rsidP="00941B50">
      <w:pPr>
        <w:numPr>
          <w:ilvl w:val="0"/>
          <w:numId w:val="58"/>
        </w:numPr>
      </w:pPr>
      <w:r w:rsidRPr="00941B50">
        <w:t>strategiczne cele polityki UE oraz postanowienia Umowy Partnerstwa,</w:t>
      </w:r>
    </w:p>
    <w:p w14:paraId="59498FA7" w14:textId="77777777" w:rsidR="00941B50" w:rsidRPr="00941B50" w:rsidRDefault="00941B50" w:rsidP="00941B50">
      <w:pPr>
        <w:numPr>
          <w:ilvl w:val="0"/>
          <w:numId w:val="58"/>
        </w:numPr>
      </w:pPr>
      <w:r w:rsidRPr="00941B50">
        <w:lastRenderedPageBreak/>
        <w:t>linia demarkacyjna między poziomem krajowym a regionalnym,</w:t>
      </w:r>
    </w:p>
    <w:p w14:paraId="7618E783" w14:textId="77777777" w:rsidR="00941B50" w:rsidRPr="00941B50" w:rsidRDefault="00941B50" w:rsidP="00941B50">
      <w:pPr>
        <w:numPr>
          <w:ilvl w:val="0"/>
          <w:numId w:val="58"/>
        </w:numPr>
      </w:pPr>
      <w:r w:rsidRPr="00941B50">
        <w:t>zasady horyzontalne (m.in. DNSH, deinstytucjonalizacja, niedyskryminacja, partnerstwo),</w:t>
      </w:r>
    </w:p>
    <w:p w14:paraId="3476715F" w14:textId="07AA6843" w:rsidR="00941B50" w:rsidRPr="00941B50" w:rsidRDefault="00941B50" w:rsidP="00941B50">
      <w:pPr>
        <w:numPr>
          <w:ilvl w:val="0"/>
          <w:numId w:val="58"/>
        </w:numPr>
      </w:pPr>
      <w:r w:rsidRPr="00941B50">
        <w:t>warunki podstawowe określone przez Komisję Europejską.</w:t>
      </w:r>
    </w:p>
    <w:p w14:paraId="3EE808D4" w14:textId="77777777" w:rsidR="00941B50" w:rsidRPr="00941B50" w:rsidRDefault="00941B50" w:rsidP="00941B50">
      <w:r w:rsidRPr="00941B50">
        <w:t>W konsekwencji ustalenia z badania odnoszą się w pierwszej kolejności do możliwych usprawnień wdrożeniowych i doprecyzowania instrumentów w ramach obowiązujących ram programowych.</w:t>
      </w:r>
    </w:p>
    <w:p w14:paraId="1E0D77DE" w14:textId="3B0D9AF2" w:rsidR="00713046" w:rsidRDefault="00713046">
      <w:r>
        <w:t xml:space="preserve">Większość potencjalnych </w:t>
      </w:r>
      <w:r w:rsidR="00FE0AAD">
        <w:t>wnioskodawc</w:t>
      </w:r>
      <w:r>
        <w:t xml:space="preserve">ów Programu, odpowiadających na ankietę ilościową (57,7% respondentów) nie dostrzega braku w Programie ważnych dla nich obszarów i form wsparcia. Przeciwnego zdania jest jednak 33,5% respondentów. W tej grupie dominują przedsiębiorcy, co jest ważne dla wyjaśnienia, z czego wynikają opinie o niedopasowaniu zakresu Programu do potrzeb. W </w:t>
      </w:r>
      <w:r w:rsidRPr="00713046">
        <w:t xml:space="preserve">FEdKP 2021–2027 przyjęto model wsparcia dla MŚP oparty w większym stopniu na instrumentach pośrednich, a w mniejszym na klasycznych dotacjach kierowanych bezpośrednio do przedsiębiorców, stąd zainteresowane firmy mogą dostrzegać brak naborów odpowiadających ich potrzebom w ramach wsparcia bezpośredniego. Jednocześnie w obecnej perspektywie wsparcie dla przedsiębiorców z funduszy polityki spójności zostało </w:t>
      </w:r>
      <w:r>
        <w:t xml:space="preserve">przez KE </w:t>
      </w:r>
      <w:r w:rsidRPr="00713046">
        <w:t>znacząco zawężone i ukierunkowane na określone cele rozwojowe. Odeszło się od szerokiego, uniwersalnego dofinansowania inwestycji na rzecz projektów związanych z badaniami, rozwojem i innowacjami, cyfryzacją, automatyzacją, zieloną transformacją, gospodarką o obiegu zamkniętym czy internacjonalizacją. Preferowane są mikro, małe i średnie przedsiębiorstwa realizujące innowacyjne wdrożenia, podczas gdy tradycyjne inwestycje w produkcję czy zakup sprzętu zostały istotnie ograniczone.</w:t>
      </w:r>
    </w:p>
    <w:p w14:paraId="22D467CB" w14:textId="0553C223" w:rsidR="005D2E95" w:rsidRDefault="734F1B35">
      <w:r>
        <w:t xml:space="preserve">W kontekście </w:t>
      </w:r>
      <w:r w:rsidR="001E2E14">
        <w:t>postulowanych zmian w mechanizmach wdrażania Programu</w:t>
      </w:r>
      <w:r>
        <w:t xml:space="preserve"> </w:t>
      </w:r>
      <w:r w:rsidR="45DF8609">
        <w:t xml:space="preserve">wartym uwagi i dalszej analizy wyzwaniem strategicznym jest </w:t>
      </w:r>
      <w:r w:rsidR="45DF8609" w:rsidRPr="5D655FAF">
        <w:rPr>
          <w:b/>
          <w:bCs/>
        </w:rPr>
        <w:t xml:space="preserve">konieczność rozważenia, czy wystarczająca część alokacji Programu oferowana jest w </w:t>
      </w:r>
      <w:r w:rsidR="00DD7FEE">
        <w:rPr>
          <w:b/>
          <w:bCs/>
        </w:rPr>
        <w:t>ramach</w:t>
      </w:r>
      <w:r w:rsidR="00DD7FEE" w:rsidRPr="5D655FAF">
        <w:rPr>
          <w:b/>
          <w:bCs/>
        </w:rPr>
        <w:t xml:space="preserve"> konkurencyjn</w:t>
      </w:r>
      <w:r w:rsidR="00DD7FEE">
        <w:rPr>
          <w:b/>
          <w:bCs/>
        </w:rPr>
        <w:t>ego sposobu wyboru</w:t>
      </w:r>
      <w:r w:rsidR="45DF8609" w:rsidRPr="5D655FAF">
        <w:rPr>
          <w:b/>
          <w:bCs/>
        </w:rPr>
        <w:t>.</w:t>
      </w:r>
      <w:r w:rsidR="45DF8609">
        <w:t xml:space="preserve"> Wskazali na to </w:t>
      </w:r>
      <w:r w:rsidR="009043CC">
        <w:t xml:space="preserve">zarówno </w:t>
      </w:r>
      <w:r w:rsidR="00FE0AAD">
        <w:t>wnioskodawcy</w:t>
      </w:r>
      <w:r w:rsidR="45DF8609">
        <w:t xml:space="preserve"> ubiegający się o dofinansowanie w tym trybie</w:t>
      </w:r>
      <w:r w:rsidR="009043CC">
        <w:t>, jak też przedstawiciele instytucji zaangażowanych w zarządzanie i wdrażanie Programu</w:t>
      </w:r>
      <w:r w:rsidR="45DF8609">
        <w:t xml:space="preserve">. Zbyt szerokie stosowanie niekonkurencyjnego </w:t>
      </w:r>
      <w:r w:rsidR="005A6242">
        <w:t>sposobu wyboru</w:t>
      </w:r>
      <w:r w:rsidR="45DF8609">
        <w:t xml:space="preserve"> ograniczać może dopływ nowych grup interesariuszy do Programu; może mieć także wpływ na jego innowacyjność. </w:t>
      </w:r>
      <w:r w:rsidR="005A6242">
        <w:t>N</w:t>
      </w:r>
      <w:r w:rsidR="45DF8609">
        <w:t>iekonkurencyjny</w:t>
      </w:r>
      <w:r w:rsidR="005A6242">
        <w:t xml:space="preserve"> sposób wyboru</w:t>
      </w:r>
      <w:r w:rsidR="45DF8609">
        <w:t xml:space="preserve"> zapewnia co prawda większ</w:t>
      </w:r>
      <w:r w:rsidR="72A177CE">
        <w:t>ą</w:t>
      </w:r>
      <w:r w:rsidR="45DF8609">
        <w:t xml:space="preserve"> kontrol</w:t>
      </w:r>
      <w:r w:rsidR="72A177CE">
        <w:t>ę</w:t>
      </w:r>
      <w:r w:rsidR="45DF8609">
        <w:t xml:space="preserve"> nad realizacją strategicznych założeń Programu, ale właśnie dzięki konkurencyjnemu </w:t>
      </w:r>
      <w:r w:rsidR="00142097">
        <w:t>sposobowi wyboru</w:t>
      </w:r>
      <w:r w:rsidR="45DF8609">
        <w:t xml:space="preserve"> mogą ujawniać się nowe potrzeby regionu, a zatem konieczność modyfikacji tych założeń. Należy przyjąć, że konkurencyjny</w:t>
      </w:r>
      <w:r w:rsidR="00142097">
        <w:t xml:space="preserve"> sposób wyboru</w:t>
      </w:r>
      <w:r w:rsidR="45DF8609">
        <w:t xml:space="preserve"> jest swego rodzaju „badaniem rynku” – gdy okazuje się, że pewne obszary interwencji czy działania cieszą się większym a inne mniejszym zainteresowaniem – w wyniku którego weryfikowana jest strategiczna diagnoza Programu.</w:t>
      </w:r>
      <w:r w:rsidR="47B3616D">
        <w:t xml:space="preserve"> </w:t>
      </w:r>
      <w:r w:rsidR="01A93506">
        <w:t xml:space="preserve">Celowym jest zatem </w:t>
      </w:r>
      <w:r w:rsidR="01A93506" w:rsidRPr="00077CA0">
        <w:rPr>
          <w:b/>
          <w:bCs/>
        </w:rPr>
        <w:t xml:space="preserve">zwiększenie otwartości Programu poprzez odpowiednie ukierunkowanie </w:t>
      </w:r>
      <w:r w:rsidR="01A93506" w:rsidRPr="00077CA0">
        <w:rPr>
          <w:b/>
          <w:bCs/>
        </w:rPr>
        <w:lastRenderedPageBreak/>
        <w:t xml:space="preserve">kryteriów </w:t>
      </w:r>
      <w:r w:rsidR="000903CA">
        <w:rPr>
          <w:b/>
          <w:bCs/>
        </w:rPr>
        <w:t>punktowych</w:t>
      </w:r>
      <w:r w:rsidR="01A93506" w:rsidRPr="00077CA0">
        <w:rPr>
          <w:b/>
          <w:bCs/>
        </w:rPr>
        <w:t xml:space="preserve"> i generalnie zwiększenie liczby naborów </w:t>
      </w:r>
      <w:r w:rsidR="000903CA">
        <w:rPr>
          <w:b/>
          <w:bCs/>
        </w:rPr>
        <w:t>konkurencyjnych</w:t>
      </w:r>
      <w:r w:rsidR="01A93506" w:rsidRPr="00077CA0">
        <w:rPr>
          <w:b/>
          <w:bCs/>
        </w:rPr>
        <w:t>.</w:t>
      </w:r>
      <w:r w:rsidR="01A93506">
        <w:t xml:space="preserve"> Taka zmiana mogłaby </w:t>
      </w:r>
      <w:r w:rsidR="1AB60D8A">
        <w:t>poprawić dostępność</w:t>
      </w:r>
      <w:r w:rsidR="01A93506">
        <w:t xml:space="preserve"> wsparcia i odpowiadać na potrzeby mieszkańców, którzy nie kwalifikują się do obecnych kryteriów, a mają potencjał do realizacji wartościowych projektów. </w:t>
      </w:r>
    </w:p>
    <w:p w14:paraId="04656B46" w14:textId="4280AA99" w:rsidR="001D2207" w:rsidRDefault="5404D4F7" w:rsidP="00716AFB">
      <w:pPr>
        <w:rPr>
          <w:rFonts w:cstheme="minorBidi"/>
        </w:rPr>
      </w:pPr>
      <w:r>
        <w:t>Na podstawie przeprowadzonych badań jakościowych stwierdzono także potrzebę</w:t>
      </w:r>
      <w:r w:rsidR="6136A88A" w:rsidRPr="54182A3B">
        <w:t xml:space="preserve"> </w:t>
      </w:r>
      <w:r w:rsidR="6136A88A" w:rsidRPr="00077CA0">
        <w:rPr>
          <w:b/>
        </w:rPr>
        <w:t>poprawy jakości komunikowania Programu</w:t>
      </w:r>
      <w:r w:rsidR="007343F7">
        <w:rPr>
          <w:b/>
        </w:rPr>
        <w:t>.</w:t>
      </w:r>
      <w:r w:rsidR="6136A88A" w:rsidRPr="54182A3B">
        <w:t xml:space="preserve"> </w:t>
      </w:r>
      <w:r w:rsidR="7062292D">
        <w:t>Z uwagi na deklarowane niedo</w:t>
      </w:r>
      <w:r w:rsidR="1F640CE1">
        <w:t>s</w:t>
      </w:r>
      <w:r w:rsidR="7062292D">
        <w:t>tatki informacji, kierowanej do ogółu społeczeństwa</w:t>
      </w:r>
      <w:r w:rsidR="37BE355A" w:rsidRPr="54182A3B">
        <w:t xml:space="preserve"> n</w:t>
      </w:r>
      <w:r w:rsidR="37BE355A" w:rsidRPr="54182A3B">
        <w:rPr>
          <w:rFonts w:cstheme="minorBidi"/>
        </w:rPr>
        <w:t xml:space="preserve">ależałoby zwiększyć skalę zainteresowania konsultacjami społecznymi Programu – co również może </w:t>
      </w:r>
      <w:r w:rsidR="318076B8" w:rsidRPr="54182A3B">
        <w:rPr>
          <w:rFonts w:cstheme="minorBidi"/>
        </w:rPr>
        <w:t>służyć</w:t>
      </w:r>
      <w:r w:rsidR="37BE355A" w:rsidRPr="54182A3B">
        <w:rPr>
          <w:rFonts w:cstheme="minorBidi"/>
        </w:rPr>
        <w:t xml:space="preserve"> dostosowaniu</w:t>
      </w:r>
      <w:r w:rsidR="00776243">
        <w:rPr>
          <w:rFonts w:cstheme="minorBidi"/>
        </w:rPr>
        <w:t xml:space="preserve"> </w:t>
      </w:r>
      <w:r w:rsidR="37BE355A" w:rsidRPr="54182A3B">
        <w:rPr>
          <w:rFonts w:cstheme="minorBidi"/>
        </w:rPr>
        <w:t>zakres</w:t>
      </w:r>
      <w:r w:rsidR="0F737AF5" w:rsidRPr="54182A3B">
        <w:rPr>
          <w:rFonts w:cstheme="minorBidi"/>
        </w:rPr>
        <w:t xml:space="preserve">u </w:t>
      </w:r>
      <w:r w:rsidR="37BE355A" w:rsidRPr="54182A3B">
        <w:rPr>
          <w:rFonts w:cstheme="minorBidi"/>
        </w:rPr>
        <w:t>wsparcia do realnych potrzeb</w:t>
      </w:r>
      <w:r w:rsidR="1DFEB251" w:rsidRPr="54182A3B">
        <w:rPr>
          <w:rFonts w:cstheme="minorBidi"/>
        </w:rPr>
        <w:t xml:space="preserve">. </w:t>
      </w:r>
      <w:r w:rsidR="00716AFB" w:rsidRPr="00716AFB">
        <w:rPr>
          <w:rFonts w:cstheme="minorBidi"/>
        </w:rPr>
        <w:t xml:space="preserve">Uczestnicy </w:t>
      </w:r>
      <w:r w:rsidR="00716AFB">
        <w:rPr>
          <w:rFonts w:cstheme="minorBidi"/>
        </w:rPr>
        <w:t>wywiadu grupowego w obszarze rozwoju gospodarczego</w:t>
      </w:r>
      <w:r w:rsidR="00716AFB" w:rsidRPr="00716AFB">
        <w:rPr>
          <w:rFonts w:cstheme="minorBidi"/>
        </w:rPr>
        <w:t xml:space="preserve"> podkreślali potrzebę zwiększenia i poprawy skali oraz jakości konsultacji społecznych na różnych etapach procesu wdrażania </w:t>
      </w:r>
      <w:r w:rsidR="00716AFB">
        <w:rPr>
          <w:rFonts w:cstheme="minorBidi"/>
        </w:rPr>
        <w:t xml:space="preserve">Programu – nie tylko </w:t>
      </w:r>
      <w:r w:rsidR="00716AFB" w:rsidRPr="00716AFB">
        <w:rPr>
          <w:rFonts w:cstheme="minorBidi"/>
        </w:rPr>
        <w:t>programowania</w:t>
      </w:r>
      <w:r w:rsidR="00716AFB">
        <w:rPr>
          <w:rFonts w:cstheme="minorBidi"/>
        </w:rPr>
        <w:t xml:space="preserve">, ale też wdrażania. </w:t>
      </w:r>
      <w:r w:rsidR="001D2207">
        <w:rPr>
          <w:rFonts w:cstheme="minorBidi"/>
        </w:rPr>
        <w:t xml:space="preserve">Nawiązano w tym kontekście </w:t>
      </w:r>
      <w:r w:rsidR="00E404BE">
        <w:rPr>
          <w:rFonts w:cstheme="minorBidi"/>
        </w:rPr>
        <w:t>d</w:t>
      </w:r>
      <w:r w:rsidR="001D2207">
        <w:rPr>
          <w:rFonts w:cstheme="minorBidi"/>
        </w:rPr>
        <w:t xml:space="preserve">o kwestii zbyt małej skali </w:t>
      </w:r>
      <w:r w:rsidR="00AD27E3">
        <w:rPr>
          <w:rFonts w:cstheme="minorBidi"/>
        </w:rPr>
        <w:t xml:space="preserve">naborów konkurencyjnych na rzecz podejścia </w:t>
      </w:r>
      <w:r w:rsidR="00197D12">
        <w:rPr>
          <w:rFonts w:cstheme="minorBidi"/>
        </w:rPr>
        <w:t>nie</w:t>
      </w:r>
      <w:r w:rsidR="00AD27E3">
        <w:rPr>
          <w:rFonts w:cstheme="minorBidi"/>
        </w:rPr>
        <w:t xml:space="preserve">konkurencyjnego oraz wsparcia pośredniego kierowanego do przedsiębiorców, </w:t>
      </w:r>
      <w:r w:rsidR="00AD27E3" w:rsidRPr="00716AFB">
        <w:rPr>
          <w:rFonts w:cstheme="minorBidi"/>
        </w:rPr>
        <w:t xml:space="preserve">co ogranicza dostęp do funduszy dla szerszej grupy </w:t>
      </w:r>
      <w:r w:rsidR="00FF2010">
        <w:rPr>
          <w:rFonts w:cstheme="minorBidi"/>
        </w:rPr>
        <w:t>wnioskodawców</w:t>
      </w:r>
      <w:r w:rsidR="00AD27E3" w:rsidRPr="00716AFB">
        <w:rPr>
          <w:rFonts w:cstheme="minorBidi"/>
        </w:rPr>
        <w:t xml:space="preserve">. </w:t>
      </w:r>
      <w:r w:rsidR="00484217">
        <w:rPr>
          <w:rFonts w:cstheme="minorBidi"/>
        </w:rPr>
        <w:t xml:space="preserve">Uczestnicy postulowali również </w:t>
      </w:r>
      <w:r w:rsidR="009146F6">
        <w:rPr>
          <w:rFonts w:cstheme="minorBidi"/>
        </w:rPr>
        <w:t>potrzebę konsultowania ze środowiskiem przedsiębiorców</w:t>
      </w:r>
      <w:r w:rsidR="00484217">
        <w:rPr>
          <w:rFonts w:cstheme="minorBidi"/>
        </w:rPr>
        <w:t xml:space="preserve"> </w:t>
      </w:r>
      <w:r w:rsidR="0028274A" w:rsidRPr="00716AFB">
        <w:rPr>
          <w:rFonts w:cstheme="minorBidi"/>
        </w:rPr>
        <w:t>kształt regulaminów naborów i kryteriów wyboru projektów</w:t>
      </w:r>
      <w:r w:rsidR="0028274A">
        <w:rPr>
          <w:rFonts w:cstheme="minorBidi"/>
        </w:rPr>
        <w:t>, które dotyczą obszaru rozwoju przedsiębiorczości</w:t>
      </w:r>
      <w:r w:rsidR="0028274A" w:rsidRPr="00716AFB">
        <w:rPr>
          <w:rFonts w:cstheme="minorBidi"/>
        </w:rPr>
        <w:t>.</w:t>
      </w:r>
      <w:r w:rsidR="0028274A">
        <w:rPr>
          <w:rFonts w:cstheme="minorBidi"/>
        </w:rPr>
        <w:t xml:space="preserve"> Zdaniem</w:t>
      </w:r>
      <w:r w:rsidR="00E87A1A">
        <w:rPr>
          <w:rFonts w:cstheme="minorBidi"/>
        </w:rPr>
        <w:t xml:space="preserve"> przedstawiciela środowiska przedsiębiorców, to mogło być jedną z przyczyn niskiego zainteresowania MŚP wsparciem w ramach projektów grantowych</w:t>
      </w:r>
      <w:r w:rsidR="00980498">
        <w:rPr>
          <w:rStyle w:val="Odwoanieprzypisudolnego"/>
          <w:rFonts w:cstheme="minorBidi"/>
        </w:rPr>
        <w:footnoteReference w:id="74"/>
      </w:r>
      <w:r w:rsidR="00980498">
        <w:rPr>
          <w:rFonts w:cstheme="minorBidi"/>
        </w:rPr>
        <w:t>.</w:t>
      </w:r>
    </w:p>
    <w:p w14:paraId="1C541E03" w14:textId="1BFDAB2D" w:rsidR="00E71AB9" w:rsidRPr="00E71AB9" w:rsidRDefault="00E71AB9" w:rsidP="00E71AB9">
      <w:pPr>
        <w:rPr>
          <w:rFonts w:cstheme="minorBidi"/>
        </w:rPr>
      </w:pPr>
      <w:r w:rsidRPr="00E71AB9">
        <w:rPr>
          <w:rFonts w:cstheme="minorBidi"/>
        </w:rPr>
        <w:t>Innym obszarem, w którym zidentyfikowano problem niewystarczającego uwzględnienia opinii społecznej, jest polityka terytorialna. Z wywiadów z przedstawicielami ZIT i OPPT wynika, że proces tworzenia porozumień terytorialnych przebiegał przy partnerskiej i bardzo aktywnej współpracy wszystkich samorządów. Należy jednak podkreślić, że działania te miały charakter ogólny, natomiast szczegółowe wymagania wobec projektów ujawniały się dopiero na etapie poszczególnych naborów</w:t>
      </w:r>
      <w:r w:rsidR="00084603">
        <w:rPr>
          <w:rFonts w:cstheme="minorBidi"/>
        </w:rPr>
        <w:t>, co powod</w:t>
      </w:r>
      <w:r w:rsidR="00101DC3">
        <w:rPr>
          <w:rFonts w:cstheme="minorBidi"/>
        </w:rPr>
        <w:t>owało, że część zainteresowanych samorządów jednak nie decydowała się na składanie wniosków</w:t>
      </w:r>
      <w:r w:rsidRPr="00E71AB9">
        <w:rPr>
          <w:rFonts w:cstheme="minorBidi"/>
        </w:rPr>
        <w:t>.</w:t>
      </w:r>
      <w:r>
        <w:rPr>
          <w:rFonts w:cstheme="minorBidi"/>
        </w:rPr>
        <w:t xml:space="preserve"> </w:t>
      </w:r>
      <w:r w:rsidRPr="00E71AB9">
        <w:rPr>
          <w:rFonts w:cstheme="minorBidi"/>
        </w:rPr>
        <w:t xml:space="preserve">Przedstawiciele Instytucji Zarządzającej zwracali jednocześnie uwagę na problem niskiej frekwencji w konsultacjach społecznych. Choć są one organizowane i formalnie wymagane (np. przy opracowywaniu porozumień terytorialnych), w praktyce często brakuje w nich aktywnego udziału potencjalnych </w:t>
      </w:r>
      <w:r w:rsidR="005F5FDD">
        <w:rPr>
          <w:rFonts w:cstheme="minorBidi"/>
        </w:rPr>
        <w:t>wnioskodawców</w:t>
      </w:r>
      <w:r w:rsidRPr="00E71AB9">
        <w:rPr>
          <w:rFonts w:cstheme="minorBidi"/>
        </w:rPr>
        <w:t xml:space="preserve">. W konsekwencji osoby zainteresowane wsparciem nie dysponują pełną wiedzą na temat szczegółów Programu i jego ograniczeń, co prowadzi do trudności w skutecznym ubieganiu się o dofinansowanie w konkretnych konkursach. </w:t>
      </w:r>
    </w:p>
    <w:p w14:paraId="2A972F37" w14:textId="642F8D03" w:rsidR="5EFE1B4C" w:rsidRDefault="1DFEB251" w:rsidP="003172EE">
      <w:r w:rsidRPr="54182A3B">
        <w:t xml:space="preserve">W tym kontekście można uznać za zasadne </w:t>
      </w:r>
      <w:r w:rsidRPr="54182A3B">
        <w:rPr>
          <w:b/>
          <w:bCs/>
        </w:rPr>
        <w:t xml:space="preserve">wprowadzenie mechanizmów umożliwiających aktualizację niektórych elementów Programu </w:t>
      </w:r>
      <w:r w:rsidRPr="54182A3B">
        <w:t>(niewymagających procesu długotrwałego zatwierdzenia, a</w:t>
      </w:r>
      <w:r w:rsidR="00A57FEB">
        <w:t xml:space="preserve"> </w:t>
      </w:r>
      <w:r w:rsidR="70B39D16">
        <w:t>więc</w:t>
      </w:r>
      <w:r w:rsidR="28A44768">
        <w:t xml:space="preserve"> </w:t>
      </w:r>
      <w:r w:rsidRPr="54182A3B">
        <w:t xml:space="preserve">raczej nie </w:t>
      </w:r>
      <w:r w:rsidRPr="54182A3B">
        <w:lastRenderedPageBreak/>
        <w:t>kluczowych) w odpowiedzi na zmiany otoczenia społeczno-gospodarczego. Procedura konkursowa może stanowić tutaj główne pole dokonywania zmian</w:t>
      </w:r>
      <w:r w:rsidR="5EFE1B4C" w:rsidRPr="47E09144">
        <w:t>.</w:t>
      </w:r>
    </w:p>
    <w:p w14:paraId="43037118" w14:textId="03CDE30E" w:rsidR="47E09144" w:rsidRDefault="47E09144"/>
    <w:p w14:paraId="6B7960EB" w14:textId="77777777" w:rsidR="005B3680" w:rsidRDefault="005B3680" w:rsidP="000B731F">
      <w:pPr>
        <w:pStyle w:val="Nagwek1"/>
        <w:spacing w:before="360"/>
        <w:rPr>
          <w:rStyle w:val="normaltextrun"/>
          <w:rFonts w:asciiTheme="minorHAnsi" w:hAnsiTheme="minorHAnsi" w:cstheme="minorHAnsi"/>
          <w:color w:val="0B0E9D" w:themeColor="accent1" w:themeShade="BF"/>
          <w:sz w:val="40"/>
          <w:szCs w:val="40"/>
        </w:rPr>
        <w:sectPr w:rsidR="005B3680" w:rsidSect="005D11A3">
          <w:pgSz w:w="11906" w:h="16838"/>
          <w:pgMar w:top="1417" w:right="1417" w:bottom="1417" w:left="1417" w:header="708" w:footer="708" w:gutter="0"/>
          <w:cols w:space="708"/>
          <w:docGrid w:linePitch="360"/>
        </w:sectPr>
      </w:pPr>
    </w:p>
    <w:p w14:paraId="7684817C" w14:textId="3886C240" w:rsidR="00A40060" w:rsidRDefault="00BF69A6" w:rsidP="00D0675E">
      <w:pPr>
        <w:pStyle w:val="Nagwek1"/>
        <w:spacing w:before="360"/>
        <w:rPr>
          <w:color w:val="auto"/>
        </w:rPr>
      </w:pPr>
      <w:bookmarkStart w:id="23" w:name="_Toc208593153"/>
      <w:r>
        <w:rPr>
          <w:rStyle w:val="normaltextrun"/>
          <w:rFonts w:asciiTheme="minorHAnsi" w:hAnsiTheme="minorHAnsi" w:cstheme="minorHAnsi"/>
          <w:color w:val="0B0E9D" w:themeColor="accent1" w:themeShade="BF"/>
          <w:sz w:val="40"/>
          <w:szCs w:val="40"/>
        </w:rPr>
        <w:lastRenderedPageBreak/>
        <w:t>WNIOSKI I REKOMENDACJE</w:t>
      </w:r>
      <w:bookmarkEnd w:id="23"/>
    </w:p>
    <w:tbl>
      <w:tblPr>
        <w:tblStyle w:val="Tabelasiatki4akcent11"/>
        <w:tblW w:w="0" w:type="auto"/>
        <w:tblInd w:w="-147" w:type="dxa"/>
        <w:tblLook w:val="04A0" w:firstRow="1" w:lastRow="0" w:firstColumn="1" w:lastColumn="0" w:noHBand="0" w:noVBand="1"/>
        <w:tblCaption w:val="Wnioski i rekomendacje"/>
        <w:tblDescription w:val="Tabela przedstawia wnioski i rekomendacje z realizacji badania ewaluacyjnego"/>
      </w:tblPr>
      <w:tblGrid>
        <w:gridCol w:w="569"/>
        <w:gridCol w:w="2009"/>
        <w:gridCol w:w="2009"/>
        <w:gridCol w:w="1819"/>
        <w:gridCol w:w="2064"/>
        <w:gridCol w:w="1637"/>
        <w:gridCol w:w="2017"/>
        <w:gridCol w:w="2017"/>
      </w:tblGrid>
      <w:tr w:rsidR="00C60240" w:rsidRPr="00F467B9" w14:paraId="67DC61EF" w14:textId="77777777" w:rsidTr="00EF50AB">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13" w:type="dxa"/>
            <w:vAlign w:val="center"/>
          </w:tcPr>
          <w:p w14:paraId="0085E2D6" w14:textId="77777777" w:rsidR="00C60240" w:rsidRPr="00370293" w:rsidRDefault="00C60240" w:rsidP="003F69DD">
            <w:pPr>
              <w:spacing w:before="0"/>
              <w:rPr>
                <w:rFonts w:cs="Tahoma"/>
                <w:szCs w:val="24"/>
              </w:rPr>
            </w:pPr>
            <w:r w:rsidRPr="00370293">
              <w:rPr>
                <w:rFonts w:cs="Tahoma"/>
              </w:rPr>
              <w:t>Lp.</w:t>
            </w:r>
          </w:p>
        </w:tc>
        <w:tc>
          <w:tcPr>
            <w:tcW w:w="1988" w:type="dxa"/>
            <w:vAlign w:val="center"/>
          </w:tcPr>
          <w:p w14:paraId="2B5BD4F5"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Treść wniosku</w:t>
            </w:r>
          </w:p>
          <w:p w14:paraId="7D0581BA"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(z podaniem numeru strony)</w:t>
            </w:r>
          </w:p>
        </w:tc>
        <w:tc>
          <w:tcPr>
            <w:tcW w:w="1988" w:type="dxa"/>
            <w:vAlign w:val="center"/>
          </w:tcPr>
          <w:p w14:paraId="574EBB9C"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Treść rekomendacji</w:t>
            </w:r>
          </w:p>
        </w:tc>
        <w:tc>
          <w:tcPr>
            <w:tcW w:w="1800" w:type="dxa"/>
            <w:vAlign w:val="center"/>
          </w:tcPr>
          <w:p w14:paraId="02803BA6"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Sposób wdrożenia rekomendacji</w:t>
            </w:r>
          </w:p>
        </w:tc>
        <w:tc>
          <w:tcPr>
            <w:tcW w:w="2042" w:type="dxa"/>
            <w:vAlign w:val="center"/>
          </w:tcPr>
          <w:p w14:paraId="0C7CF8F8"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Adresat rekomendacji</w:t>
            </w:r>
          </w:p>
        </w:tc>
        <w:tc>
          <w:tcPr>
            <w:tcW w:w="1620" w:type="dxa"/>
            <w:vAlign w:val="center"/>
          </w:tcPr>
          <w:p w14:paraId="3167F546"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Termin wdrożenia</w:t>
            </w:r>
            <w:r w:rsidRPr="00370293">
              <w:rPr>
                <w:rStyle w:val="Odwoanieprzypisudolnego"/>
                <w:rFonts w:cs="Tahoma"/>
              </w:rPr>
              <w:footnoteReference w:id="75"/>
            </w:r>
          </w:p>
        </w:tc>
        <w:tc>
          <w:tcPr>
            <w:tcW w:w="1995" w:type="dxa"/>
            <w:vAlign w:val="center"/>
          </w:tcPr>
          <w:p w14:paraId="7C394B38"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Klasa rekomendacji</w:t>
            </w:r>
            <w:r w:rsidRPr="00370293">
              <w:rPr>
                <w:rStyle w:val="Odwoanieprzypisudolnego"/>
                <w:rFonts w:cs="Tahoma"/>
              </w:rPr>
              <w:footnoteReference w:id="76"/>
            </w:r>
          </w:p>
        </w:tc>
        <w:tc>
          <w:tcPr>
            <w:tcW w:w="1995" w:type="dxa"/>
            <w:vAlign w:val="center"/>
          </w:tcPr>
          <w:p w14:paraId="3D079B44" w14:textId="77777777" w:rsidR="00C60240" w:rsidRPr="00370293" w:rsidRDefault="00C60240" w:rsidP="003F69DD">
            <w:pPr>
              <w:spacing w:before="0"/>
              <w:cnfStyle w:val="100000000000" w:firstRow="1" w:lastRow="0" w:firstColumn="0" w:lastColumn="0" w:oddVBand="0" w:evenVBand="0" w:oddHBand="0" w:evenHBand="0" w:firstRowFirstColumn="0" w:firstRowLastColumn="0" w:lastRowFirstColumn="0" w:lastRowLastColumn="0"/>
              <w:rPr>
                <w:rFonts w:cs="Tahoma"/>
                <w:szCs w:val="24"/>
              </w:rPr>
            </w:pPr>
            <w:r w:rsidRPr="00370293">
              <w:rPr>
                <w:rFonts w:cs="Tahoma"/>
              </w:rPr>
              <w:t>Status rekomendacji</w:t>
            </w:r>
            <w:r w:rsidRPr="00370293">
              <w:rPr>
                <w:rStyle w:val="Odwoanieprzypisudolnego"/>
                <w:rFonts w:cs="Tahoma"/>
              </w:rPr>
              <w:footnoteReference w:id="77"/>
            </w:r>
          </w:p>
        </w:tc>
      </w:tr>
      <w:tr w:rsidR="00C60240" w:rsidRPr="00F467B9" w14:paraId="66C88439" w14:textId="77777777" w:rsidTr="00EF50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3" w:type="dxa"/>
          </w:tcPr>
          <w:p w14:paraId="0CA5ECB0" w14:textId="77777777" w:rsidR="00C60240" w:rsidRPr="00370293" w:rsidRDefault="00C60240" w:rsidP="00C60240">
            <w:pPr>
              <w:pStyle w:val="Akapitzlist"/>
              <w:numPr>
                <w:ilvl w:val="0"/>
                <w:numId w:val="30"/>
              </w:numPr>
              <w:rPr>
                <w:rFonts w:cs="Tahoma"/>
                <w:szCs w:val="24"/>
              </w:rPr>
            </w:pPr>
          </w:p>
        </w:tc>
        <w:tc>
          <w:tcPr>
            <w:tcW w:w="1988" w:type="dxa"/>
          </w:tcPr>
          <w:p w14:paraId="5475CDC4" w14:textId="35F65872"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 xml:space="preserve">Proces gromadzenia i publikowania pytań i odpowiedzi dotyczących naborów jest niespójny i często opóźniony. Dodatkowo proces ustalania i konsultacji odpowiedzi w ramach komórek </w:t>
            </w:r>
            <w:r w:rsidRPr="00370293">
              <w:rPr>
                <w:rFonts w:cs="Tahoma"/>
              </w:rPr>
              <w:lastRenderedPageBreak/>
              <w:t xml:space="preserve">IZ jest złożony i nieoptymalny, co dodatkowo wydłuża czas publikacji. Brak szybkiego i powszechnego dostępu do tych informacji ogranicza możliwość korzystania z wiedzy innych wnioskodawców oraz zwiększa liczbę powtarzających się pytań kierowanych do </w:t>
            </w:r>
            <w:r w:rsidRPr="00D9242D">
              <w:rPr>
                <w:rFonts w:cs="Tahoma"/>
              </w:rPr>
              <w:t>instytucji. (</w:t>
            </w:r>
            <w:r w:rsidRPr="008C41E8">
              <w:rPr>
                <w:rFonts w:cs="Tahoma"/>
              </w:rPr>
              <w:t xml:space="preserve">str. </w:t>
            </w:r>
            <w:r w:rsidR="00F27EE4" w:rsidRPr="008C41E8">
              <w:rPr>
                <w:rFonts w:cs="Tahoma"/>
              </w:rPr>
              <w:fldChar w:fldCharType="begin"/>
            </w:r>
            <w:r w:rsidR="00F27EE4" w:rsidRPr="008C41E8">
              <w:rPr>
                <w:rFonts w:cs="Tahoma"/>
              </w:rPr>
              <w:instrText xml:space="preserve"> PAGEREF FAQ1 \h </w:instrText>
            </w:r>
            <w:r w:rsidR="00F27EE4" w:rsidRPr="008C41E8">
              <w:rPr>
                <w:rFonts w:cs="Tahoma"/>
              </w:rPr>
            </w:r>
            <w:r w:rsidR="00F27EE4" w:rsidRPr="008C41E8">
              <w:rPr>
                <w:rFonts w:cs="Tahoma"/>
              </w:rPr>
              <w:fldChar w:fldCharType="separate"/>
            </w:r>
            <w:r w:rsidR="00541DFA">
              <w:rPr>
                <w:rFonts w:cs="Tahoma"/>
                <w:noProof/>
              </w:rPr>
              <w:t>97</w:t>
            </w:r>
            <w:r w:rsidR="00F27EE4" w:rsidRPr="008C41E8">
              <w:rPr>
                <w:rFonts w:cs="Tahoma"/>
              </w:rPr>
              <w:fldChar w:fldCharType="end"/>
            </w:r>
            <w:r w:rsidR="00F27EE4" w:rsidRPr="00EF50AB">
              <w:rPr>
                <w:rFonts w:cs="Tahoma"/>
              </w:rPr>
              <w:t xml:space="preserve">, </w:t>
            </w:r>
            <w:r w:rsidR="00F27EE4" w:rsidRPr="008C41E8">
              <w:rPr>
                <w:rFonts w:cs="Tahoma"/>
              </w:rPr>
              <w:fldChar w:fldCharType="begin"/>
            </w:r>
            <w:r w:rsidR="00F27EE4" w:rsidRPr="00EF50AB">
              <w:rPr>
                <w:rFonts w:cs="Tahoma"/>
              </w:rPr>
              <w:instrText xml:space="preserve"> PAGEREF FAQ2 \h </w:instrText>
            </w:r>
            <w:r w:rsidR="00F27EE4" w:rsidRPr="008C41E8">
              <w:rPr>
                <w:rFonts w:cs="Tahoma"/>
              </w:rPr>
            </w:r>
            <w:r w:rsidR="00F27EE4" w:rsidRPr="008C41E8">
              <w:rPr>
                <w:rFonts w:cs="Tahoma"/>
              </w:rPr>
              <w:fldChar w:fldCharType="separate"/>
            </w:r>
            <w:r w:rsidR="00541DFA">
              <w:rPr>
                <w:rFonts w:cs="Tahoma"/>
                <w:noProof/>
              </w:rPr>
              <w:t>98</w:t>
            </w:r>
            <w:r w:rsidR="00F27EE4" w:rsidRPr="008C41E8">
              <w:rPr>
                <w:rFonts w:cs="Tahoma"/>
              </w:rPr>
              <w:fldChar w:fldCharType="end"/>
            </w:r>
            <w:r w:rsidRPr="00D9242D">
              <w:rPr>
                <w:rFonts w:cs="Tahoma"/>
              </w:rPr>
              <w:t>)</w:t>
            </w:r>
          </w:p>
        </w:tc>
        <w:tc>
          <w:tcPr>
            <w:tcW w:w="1988" w:type="dxa"/>
          </w:tcPr>
          <w:p w14:paraId="4663AA06"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lastRenderedPageBreak/>
              <w:t>Rekomenduje się usprawnienie procesu tworzenia i publikowania pytań i odpowiedzi.</w:t>
            </w:r>
          </w:p>
        </w:tc>
        <w:tc>
          <w:tcPr>
            <w:tcW w:w="1800" w:type="dxa"/>
          </w:tcPr>
          <w:p w14:paraId="787E8F81"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Zweryfikowanie „ścieżki” opracowywania odpowiedzi w strukturze IZ i identyfikacja możliwych usprawnień.</w:t>
            </w:r>
          </w:p>
          <w:p w14:paraId="2A543436"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 xml:space="preserve">Publikowanie pytań i odpowiedzi natychmiast po ich zatwierdzeniu </w:t>
            </w:r>
            <w:r w:rsidRPr="00370293">
              <w:rPr>
                <w:rFonts w:cs="Tahoma"/>
              </w:rPr>
              <w:lastRenderedPageBreak/>
              <w:t>w formie aktualizowanej listy online.</w:t>
            </w:r>
          </w:p>
          <w:p w14:paraId="7B63C844"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Stworzenie repozytorium pytań i odpowiedzi dla każdego Działania/ typu projektu, które będzie bazą wiedzy dla kolejnych naborów.</w:t>
            </w:r>
          </w:p>
        </w:tc>
        <w:tc>
          <w:tcPr>
            <w:tcW w:w="2042" w:type="dxa"/>
          </w:tcPr>
          <w:p w14:paraId="3E06D1F0"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lastRenderedPageBreak/>
              <w:t xml:space="preserve">PIFE – w zakresie odpowiedzialności za opracowanie odpowiedzi </w:t>
            </w:r>
          </w:p>
          <w:p w14:paraId="26B0BA22"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proofErr w:type="spellStart"/>
            <w:r w:rsidRPr="00370293">
              <w:rPr>
                <w:rFonts w:cs="Tahoma"/>
              </w:rPr>
              <w:t>DWFEdKP</w:t>
            </w:r>
            <w:proofErr w:type="spellEnd"/>
            <w:r w:rsidRPr="00370293">
              <w:rPr>
                <w:rFonts w:cs="Tahoma"/>
              </w:rPr>
              <w:t xml:space="preserve"> – w zakresie odpowiedzialności za publikację Q&amp;A</w:t>
            </w:r>
          </w:p>
        </w:tc>
        <w:tc>
          <w:tcPr>
            <w:tcW w:w="1620" w:type="dxa"/>
          </w:tcPr>
          <w:p w14:paraId="64E16AF0"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31.12.2027</w:t>
            </w:r>
          </w:p>
        </w:tc>
        <w:tc>
          <w:tcPr>
            <w:tcW w:w="1995" w:type="dxa"/>
          </w:tcPr>
          <w:p w14:paraId="36D0690E" w14:textId="77777777" w:rsidR="00C60240" w:rsidRPr="00370293" w:rsidRDefault="00C60240" w:rsidP="003F69DD">
            <w:pPr>
              <w:cnfStyle w:val="000000100000" w:firstRow="0" w:lastRow="0" w:firstColumn="0" w:lastColumn="0" w:oddVBand="0" w:evenVBand="0" w:oddHBand="1" w:evenHBand="0" w:firstRowFirstColumn="0" w:firstRowLastColumn="0" w:lastRowFirstColumn="0" w:lastRowLastColumn="0"/>
              <w:rPr>
                <w:rFonts w:cs="Tahoma"/>
                <w:szCs w:val="24"/>
              </w:rPr>
            </w:pPr>
            <w:r w:rsidRPr="00370293">
              <w:rPr>
                <w:rFonts w:cs="Tahoma"/>
              </w:rPr>
              <w:t>Rekomendacja programowa operacyjna</w:t>
            </w:r>
          </w:p>
        </w:tc>
        <w:tc>
          <w:tcPr>
            <w:tcW w:w="1995" w:type="dxa"/>
          </w:tcPr>
          <w:p w14:paraId="745B1F31" w14:textId="7546D43F" w:rsidR="00C60240" w:rsidRPr="00370293" w:rsidRDefault="00F63A53" w:rsidP="003F69DD">
            <w:pPr>
              <w:cnfStyle w:val="000000100000" w:firstRow="0" w:lastRow="0" w:firstColumn="0" w:lastColumn="0" w:oddVBand="0" w:evenVBand="0" w:oddHBand="1" w:evenHBand="0" w:firstRowFirstColumn="0" w:firstRowLastColumn="0" w:lastRowFirstColumn="0" w:lastRowLastColumn="0"/>
              <w:rPr>
                <w:rFonts w:cs="Tahoma"/>
                <w:szCs w:val="24"/>
              </w:rPr>
            </w:pPr>
            <w:r>
              <w:rPr>
                <w:rFonts w:cs="Tahoma"/>
                <w:szCs w:val="24"/>
              </w:rPr>
              <w:t>Rekomendacja zatwierdzona w całości</w:t>
            </w:r>
          </w:p>
        </w:tc>
      </w:tr>
      <w:tr w:rsidR="00C60240" w:rsidRPr="00F467B9" w14:paraId="22A88A0B" w14:textId="77777777" w:rsidTr="00EF50AB">
        <w:tc>
          <w:tcPr>
            <w:cnfStyle w:val="001000000000" w:firstRow="0" w:lastRow="0" w:firstColumn="1" w:lastColumn="0" w:oddVBand="0" w:evenVBand="0" w:oddHBand="0" w:evenHBand="0" w:firstRowFirstColumn="0" w:firstRowLastColumn="0" w:lastRowFirstColumn="0" w:lastRowLastColumn="0"/>
            <w:tcW w:w="713" w:type="dxa"/>
          </w:tcPr>
          <w:p w14:paraId="35856E6D" w14:textId="77777777" w:rsidR="00C60240" w:rsidRPr="00370293" w:rsidRDefault="00C60240" w:rsidP="00C60240">
            <w:pPr>
              <w:pStyle w:val="Akapitzlist"/>
              <w:numPr>
                <w:ilvl w:val="0"/>
                <w:numId w:val="30"/>
              </w:numPr>
              <w:rPr>
                <w:rFonts w:cs="Tahoma"/>
                <w:szCs w:val="24"/>
              </w:rPr>
            </w:pPr>
          </w:p>
        </w:tc>
        <w:tc>
          <w:tcPr>
            <w:tcW w:w="1988" w:type="dxa"/>
          </w:tcPr>
          <w:p w14:paraId="5AEA1EC4" w14:textId="48A8DEC1" w:rsidR="00C60240" w:rsidRPr="002A7511"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2A7511">
              <w:rPr>
                <w:rFonts w:cs="Tahoma"/>
              </w:rPr>
              <w:t xml:space="preserve">W Działaniu 8.24 w typie projektów ukierunkowanych na wsparcie mieszkań treningowych i wspomaganych ograniczenia finansowe – w tym niski limit maksymalnej wartości projektu i limit kosztu dofinansowania na jedno miejsce – znacząco ograniczały popyt na wsparcie, a w </w:t>
            </w:r>
            <w:r w:rsidRPr="002A7511">
              <w:rPr>
                <w:rFonts w:cs="Tahoma"/>
              </w:rPr>
              <w:lastRenderedPageBreak/>
              <w:t xml:space="preserve">praktyce umożliwiały udział głównie podmiotom dysponującym gotową infrastrukturą. (str. </w:t>
            </w:r>
            <w:r w:rsidR="00F27EE4" w:rsidRPr="002A7511">
              <w:rPr>
                <w:rFonts w:cs="Tahoma"/>
              </w:rPr>
              <w:fldChar w:fldCharType="begin"/>
            </w:r>
            <w:r w:rsidR="00F27EE4" w:rsidRPr="002A7511">
              <w:rPr>
                <w:rFonts w:cs="Tahoma"/>
              </w:rPr>
              <w:instrText xml:space="preserve"> PAGEREF Dz824 \h </w:instrText>
            </w:r>
            <w:r w:rsidR="00F27EE4" w:rsidRPr="002A7511">
              <w:rPr>
                <w:rFonts w:cs="Tahoma"/>
              </w:rPr>
            </w:r>
            <w:r w:rsidR="00F27EE4" w:rsidRPr="002A7511">
              <w:rPr>
                <w:rFonts w:cs="Tahoma"/>
              </w:rPr>
              <w:fldChar w:fldCharType="separate"/>
            </w:r>
            <w:r w:rsidR="00541DFA">
              <w:rPr>
                <w:rFonts w:cs="Tahoma"/>
                <w:noProof/>
              </w:rPr>
              <w:t>119</w:t>
            </w:r>
            <w:r w:rsidR="00F27EE4" w:rsidRPr="002A7511">
              <w:rPr>
                <w:rFonts w:cs="Tahoma"/>
              </w:rPr>
              <w:fldChar w:fldCharType="end"/>
            </w:r>
            <w:r w:rsidRPr="002A7511">
              <w:rPr>
                <w:rFonts w:cs="Tahoma"/>
              </w:rPr>
              <w:t>)</w:t>
            </w:r>
          </w:p>
        </w:tc>
        <w:tc>
          <w:tcPr>
            <w:tcW w:w="1988" w:type="dxa"/>
          </w:tcPr>
          <w:p w14:paraId="62AB36DE"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lastRenderedPageBreak/>
              <w:t>Rekomenduje się zmianę warunków wsparcia w Działaniu 8.24 w typie projektów ukierunkowanych na wsparcie mieszkań treningowych i wspomaganych.</w:t>
            </w:r>
          </w:p>
        </w:tc>
        <w:tc>
          <w:tcPr>
            <w:tcW w:w="1800" w:type="dxa"/>
          </w:tcPr>
          <w:p w14:paraId="5D64D18A" w14:textId="77777777"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Podniesienie limitu maksymalnej wartości projektu powyżej obecnych 3 mln zł.</w:t>
            </w:r>
          </w:p>
          <w:p w14:paraId="7FC794BD" w14:textId="4E90040A"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p>
          <w:p w14:paraId="26A20F4C" w14:textId="3F3DB39E" w:rsidR="00C60240" w:rsidRPr="00370293" w:rsidRDefault="00C60240" w:rsidP="003F69DD">
            <w:pPr>
              <w:spacing w:after="120"/>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 xml:space="preserve">Podniesienie limitu kosztu dofinansowania na jedno miejsce (obecnie 104 tys. </w:t>
            </w:r>
            <w:r w:rsidR="0003177C">
              <w:rPr>
                <w:rFonts w:cs="Tahoma"/>
              </w:rPr>
              <w:t>z</w:t>
            </w:r>
            <w:r w:rsidRPr="00370293">
              <w:rPr>
                <w:rFonts w:cs="Tahoma"/>
              </w:rPr>
              <w:t>ł.</w:t>
            </w:r>
            <w:r w:rsidR="00CB35F6">
              <w:rPr>
                <w:rFonts w:cs="Tahoma"/>
              </w:rPr>
              <w:t>).</w:t>
            </w:r>
            <w:r w:rsidRPr="00370293">
              <w:rPr>
                <w:rFonts w:cs="Tahoma"/>
              </w:rPr>
              <w:t xml:space="preserve"> </w:t>
            </w:r>
          </w:p>
          <w:p w14:paraId="32319B2C"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p>
        </w:tc>
        <w:tc>
          <w:tcPr>
            <w:tcW w:w="2042" w:type="dxa"/>
          </w:tcPr>
          <w:p w14:paraId="341AA22E"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IZ FEdKP/ Departament Zarządzania Funduszami Europejskimi dla Kujaw i Pomorza</w:t>
            </w:r>
          </w:p>
        </w:tc>
        <w:tc>
          <w:tcPr>
            <w:tcW w:w="1620" w:type="dxa"/>
          </w:tcPr>
          <w:p w14:paraId="7CCC8537"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31.12.2027</w:t>
            </w:r>
          </w:p>
        </w:tc>
        <w:tc>
          <w:tcPr>
            <w:tcW w:w="1995" w:type="dxa"/>
          </w:tcPr>
          <w:p w14:paraId="4D1F8C43" w14:textId="77777777" w:rsidR="00C60240" w:rsidRPr="00370293" w:rsidRDefault="00C60240" w:rsidP="003F69DD">
            <w:pPr>
              <w:cnfStyle w:val="000000000000" w:firstRow="0" w:lastRow="0" w:firstColumn="0" w:lastColumn="0" w:oddVBand="0" w:evenVBand="0" w:oddHBand="0" w:evenHBand="0" w:firstRowFirstColumn="0" w:firstRowLastColumn="0" w:lastRowFirstColumn="0" w:lastRowLastColumn="0"/>
              <w:rPr>
                <w:rFonts w:cs="Tahoma"/>
                <w:szCs w:val="24"/>
              </w:rPr>
            </w:pPr>
            <w:r w:rsidRPr="00370293">
              <w:rPr>
                <w:rFonts w:cs="Tahoma"/>
              </w:rPr>
              <w:t>Rekomendacja programowa operacyjna</w:t>
            </w:r>
          </w:p>
        </w:tc>
        <w:tc>
          <w:tcPr>
            <w:tcW w:w="1995" w:type="dxa"/>
          </w:tcPr>
          <w:p w14:paraId="4E54B4CA" w14:textId="755A84B1" w:rsidR="00C60240" w:rsidRPr="00370293" w:rsidRDefault="00F63A53" w:rsidP="003F69DD">
            <w:pPr>
              <w:cnfStyle w:val="000000000000" w:firstRow="0" w:lastRow="0" w:firstColumn="0" w:lastColumn="0" w:oddVBand="0" w:evenVBand="0" w:oddHBand="0" w:evenHBand="0" w:firstRowFirstColumn="0" w:firstRowLastColumn="0" w:lastRowFirstColumn="0" w:lastRowLastColumn="0"/>
              <w:rPr>
                <w:rFonts w:cs="Tahoma"/>
                <w:szCs w:val="24"/>
              </w:rPr>
            </w:pPr>
            <w:r>
              <w:rPr>
                <w:rFonts w:cs="Tahoma"/>
                <w:szCs w:val="24"/>
              </w:rPr>
              <w:t>Rekomendacja zatwierdzona w całości</w:t>
            </w:r>
          </w:p>
        </w:tc>
      </w:tr>
    </w:tbl>
    <w:p w14:paraId="111F5568" w14:textId="77777777" w:rsidR="005B3680" w:rsidRDefault="005B3680" w:rsidP="00D0675E">
      <w:pPr>
        <w:pStyle w:val="Nagwek1"/>
        <w:spacing w:before="360"/>
        <w:rPr>
          <w:rStyle w:val="normaltextrun"/>
          <w:rFonts w:asciiTheme="minorHAnsi" w:hAnsiTheme="minorHAnsi" w:cstheme="minorHAnsi"/>
          <w:color w:val="0B0E9D" w:themeColor="accent1" w:themeShade="BF"/>
          <w:sz w:val="40"/>
          <w:szCs w:val="40"/>
        </w:rPr>
        <w:sectPr w:rsidR="005B3680" w:rsidSect="005B3680">
          <w:pgSz w:w="16838" w:h="11906" w:orient="landscape"/>
          <w:pgMar w:top="1417" w:right="1417" w:bottom="1417" w:left="1417" w:header="708" w:footer="708" w:gutter="0"/>
          <w:cols w:space="708"/>
          <w:docGrid w:linePitch="360"/>
        </w:sectPr>
      </w:pPr>
    </w:p>
    <w:p w14:paraId="7732E70E" w14:textId="44CC8F80" w:rsidR="00CE55E4" w:rsidRPr="00EC5C41" w:rsidRDefault="00563DDA" w:rsidP="00D0675E">
      <w:pPr>
        <w:pStyle w:val="Nagwek1"/>
        <w:spacing w:before="360"/>
        <w:rPr>
          <w:rFonts w:asciiTheme="minorHAnsi" w:hAnsiTheme="minorHAnsi" w:cstheme="minorHAnsi"/>
          <w:color w:val="0B0E9D" w:themeColor="accent1" w:themeShade="BF"/>
          <w:sz w:val="40"/>
          <w:szCs w:val="40"/>
        </w:rPr>
      </w:pPr>
      <w:bookmarkStart w:id="24" w:name="_Toc208593154"/>
      <w:r>
        <w:rPr>
          <w:rStyle w:val="normaltextrun"/>
          <w:rFonts w:asciiTheme="minorHAnsi" w:hAnsiTheme="minorHAnsi" w:cstheme="minorHAnsi"/>
          <w:color w:val="0B0E9D" w:themeColor="accent1" w:themeShade="BF"/>
          <w:sz w:val="40"/>
          <w:szCs w:val="40"/>
        </w:rPr>
        <w:lastRenderedPageBreak/>
        <w:t>SYNTETYCZNE ODPOWIEDZI NA PYTANIA BADAWCZE</w:t>
      </w:r>
      <w:bookmarkEnd w:id="24"/>
    </w:p>
    <w:tbl>
      <w:tblPr>
        <w:tblStyle w:val="Tabelasiatki4akcent11"/>
        <w:tblW w:w="0" w:type="auto"/>
        <w:tblLook w:val="04A0" w:firstRow="1" w:lastRow="0" w:firstColumn="1" w:lastColumn="0" w:noHBand="0" w:noVBand="1"/>
        <w:tblCaption w:val="Syntetyczne odpowiedzi na pytania badawcze"/>
        <w:tblDescription w:val="Tabela przedstawia syntetyczne odpowiedzi na pytania badawcze"/>
      </w:tblPr>
      <w:tblGrid>
        <w:gridCol w:w="2547"/>
        <w:gridCol w:w="6515"/>
      </w:tblGrid>
      <w:tr w:rsidR="006735E8" w:rsidRPr="005D2FC4" w14:paraId="3EDC6063" w14:textId="77777777" w:rsidTr="00D4503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47" w:type="dxa"/>
            <w:tcBorders>
              <w:right w:val="single" w:sz="4" w:space="0" w:color="FFFFFF" w:themeColor="background1"/>
            </w:tcBorders>
          </w:tcPr>
          <w:p w14:paraId="27B0E5A9" w14:textId="77777777" w:rsidR="006735E8" w:rsidRPr="005D2FC4" w:rsidRDefault="006735E8" w:rsidP="00787228">
            <w:pPr>
              <w:jc w:val="center"/>
              <w:rPr>
                <w:rFonts w:asciiTheme="minorHAnsi" w:eastAsia="Calibri" w:hAnsiTheme="minorHAnsi" w:cstheme="minorHAnsi"/>
                <w:szCs w:val="24"/>
              </w:rPr>
            </w:pPr>
            <w:r w:rsidRPr="005D2FC4">
              <w:rPr>
                <w:rFonts w:asciiTheme="minorHAnsi" w:eastAsia="Calibri" w:hAnsiTheme="minorHAnsi" w:cstheme="minorHAnsi"/>
                <w:szCs w:val="24"/>
              </w:rPr>
              <w:t>Pytanie badawcze</w:t>
            </w:r>
          </w:p>
        </w:tc>
        <w:tc>
          <w:tcPr>
            <w:tcW w:w="6515" w:type="dxa"/>
            <w:tcBorders>
              <w:left w:val="single" w:sz="4" w:space="0" w:color="FFFFFF" w:themeColor="background1"/>
            </w:tcBorders>
          </w:tcPr>
          <w:p w14:paraId="486752B2" w14:textId="77777777" w:rsidR="006735E8" w:rsidRPr="005D2FC4" w:rsidRDefault="006735E8" w:rsidP="00787228">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Syntetyczna odpowiedź</w:t>
            </w:r>
          </w:p>
        </w:tc>
      </w:tr>
      <w:tr w:rsidR="006735E8" w:rsidRPr="005D2FC4" w14:paraId="50E5011B"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276A9B1F" w14:textId="2D387D48" w:rsidR="004E43C5" w:rsidRPr="005D2FC4" w:rsidRDefault="006735E8" w:rsidP="00787228">
            <w:pPr>
              <w:rPr>
                <w:rFonts w:asciiTheme="minorHAnsi" w:eastAsia="Calibri" w:hAnsiTheme="minorHAnsi" w:cstheme="minorHAnsi"/>
                <w:b w:val="0"/>
                <w:bCs w:val="0"/>
                <w:szCs w:val="24"/>
              </w:rPr>
            </w:pPr>
            <w:r w:rsidRPr="005D2FC4">
              <w:rPr>
                <w:rFonts w:asciiTheme="minorHAnsi" w:hAnsiTheme="minorHAnsi" w:cstheme="minorHAnsi"/>
                <w:b w:val="0"/>
                <w:bCs w:val="0"/>
                <w:color w:val="000000" w:themeColor="text1"/>
                <w:szCs w:val="24"/>
              </w:rPr>
              <w:t>Jakie są cechy charakterystyczne naborów z niskim zainteresowaniem? Jaka jest ich specyfika pod względem: obszaru tematycznego wsparcia, typu projektu, funduszu (EFS+ vs EFRR), sposobu wyboru projektów (konkurencyjny/ niekonkurencyjny), realizacji wsparcia w ramach polityki terytorialnej lub poza nią, warunków finansowych oraz warunków dotyczących beneficjentów (typy podmiotów uprawnionych do składania wniosków) i rodzaju projektów, które mogą być finansowane w ramach tych naborów?</w:t>
            </w:r>
          </w:p>
        </w:tc>
        <w:tc>
          <w:tcPr>
            <w:tcW w:w="6515" w:type="dxa"/>
          </w:tcPr>
          <w:p w14:paraId="502B7BFB" w14:textId="77777777" w:rsidR="00EA2F7E" w:rsidRDefault="0016289D" w:rsidP="00787228">
            <w:pPr>
              <w:cnfStyle w:val="000000100000" w:firstRow="0" w:lastRow="0" w:firstColumn="0" w:lastColumn="0" w:oddVBand="0" w:evenVBand="0" w:oddHBand="1" w:evenHBand="0" w:firstRowFirstColumn="0" w:firstRowLastColumn="0" w:lastRowFirstColumn="0" w:lastRowLastColumn="0"/>
            </w:pPr>
            <w:r>
              <w:t>Przedmiotowym badaniem objęto 47 naborów</w:t>
            </w:r>
            <w:r w:rsidR="008D778A">
              <w:t>, w tym</w:t>
            </w:r>
            <w:r w:rsidR="008D778A" w:rsidRPr="008D778A">
              <w:t xml:space="preserve"> zarówno postępowania z konkurencyjnym (41 naborów), jak i niekonkurencyjnym (6 naborów) sposobem wyboru projektów</w:t>
            </w:r>
            <w:r w:rsidR="00EA2F7E">
              <w:t xml:space="preserve">. </w:t>
            </w:r>
          </w:p>
          <w:p w14:paraId="75FD381E" w14:textId="5B43B960" w:rsidR="001C2C77" w:rsidRDefault="00EA2F7E" w:rsidP="00787228">
            <w:pPr>
              <w:cnfStyle w:val="000000100000" w:firstRow="0" w:lastRow="0" w:firstColumn="0" w:lastColumn="0" w:oddVBand="0" w:evenVBand="0" w:oddHBand="1" w:evenHBand="0" w:firstRowFirstColumn="0" w:firstRowLastColumn="0" w:lastRowFirstColumn="0" w:lastRowLastColumn="0"/>
            </w:pPr>
            <w:r>
              <w:t>Z</w:t>
            </w:r>
            <w:r w:rsidR="008D778A" w:rsidRPr="008D778A">
              <w:t xml:space="preserve">decydowaną większość stanowiły nabory finansowane z EFRR (42 nabory). W ich przypadku dominowały przedsięwzięcia o charakterze infrastrukturalnym i środowiskowym, wymagające wysokiego poziomu przygotowania merytorycznego i formalnego oraz znacznych nakładów inwestycyjnych. </w:t>
            </w:r>
            <w:r w:rsidR="001C2C77">
              <w:t>5 n</w:t>
            </w:r>
            <w:r w:rsidR="008D778A" w:rsidRPr="008D778A">
              <w:t>abor</w:t>
            </w:r>
            <w:r w:rsidR="001C2C77">
              <w:t>ów</w:t>
            </w:r>
            <w:r w:rsidR="008D778A" w:rsidRPr="008D778A">
              <w:t xml:space="preserve"> EFS+ dotyczył</w:t>
            </w:r>
            <w:r w:rsidR="001C2C77">
              <w:t>o</w:t>
            </w:r>
            <w:r w:rsidR="008D778A" w:rsidRPr="008D778A">
              <w:t xml:space="preserve"> głównie działań z zakresu edukacji i włączenia społecznego. </w:t>
            </w:r>
          </w:p>
          <w:p w14:paraId="374FB3E1" w14:textId="14181786" w:rsidR="008D778A" w:rsidRDefault="008D778A" w:rsidP="00787228">
            <w:pPr>
              <w:cnfStyle w:val="000000100000" w:firstRow="0" w:lastRow="0" w:firstColumn="0" w:lastColumn="0" w:oddVBand="0" w:evenVBand="0" w:oddHBand="1" w:evenHBand="0" w:firstRowFirstColumn="0" w:firstRowLastColumn="0" w:lastRowFirstColumn="0" w:lastRowLastColumn="0"/>
            </w:pPr>
            <w:r w:rsidRPr="008D778A">
              <w:t xml:space="preserve">Ponad połowa analizowanych naborów (27) była realizowana w ramach polityki terytorialnej </w:t>
            </w:r>
            <w:r w:rsidR="001C2C77">
              <w:rPr>
                <w:rFonts w:asciiTheme="minorHAnsi" w:eastAsia="Calibri" w:hAnsiTheme="minorHAnsi" w:cstheme="minorHAnsi"/>
                <w:szCs w:val="24"/>
              </w:rPr>
              <w:t>(</w:t>
            </w:r>
            <w:r w:rsidR="001C2C77" w:rsidRPr="005D2FC4">
              <w:rPr>
                <w:rFonts w:asciiTheme="minorHAnsi" w:eastAsia="Calibri" w:hAnsiTheme="minorHAnsi" w:cstheme="minorHAnsi"/>
                <w:szCs w:val="24"/>
              </w:rPr>
              <w:t xml:space="preserve">ZIT, OPPT i </w:t>
            </w:r>
            <w:r w:rsidR="001C2C77">
              <w:rPr>
                <w:rFonts w:asciiTheme="minorHAnsi" w:eastAsia="Calibri" w:hAnsiTheme="minorHAnsi" w:cstheme="minorHAnsi"/>
                <w:szCs w:val="24"/>
              </w:rPr>
              <w:t xml:space="preserve">ZIT </w:t>
            </w:r>
            <w:r w:rsidR="001C2C77" w:rsidRPr="005D2FC4">
              <w:rPr>
                <w:rFonts w:asciiTheme="minorHAnsi" w:eastAsia="Calibri" w:hAnsiTheme="minorHAnsi" w:cstheme="minorHAnsi"/>
                <w:szCs w:val="24"/>
              </w:rPr>
              <w:t>BydOF</w:t>
            </w:r>
            <w:r w:rsidR="001C2C77">
              <w:rPr>
                <w:rFonts w:asciiTheme="minorHAnsi" w:eastAsia="Calibri" w:hAnsiTheme="minorHAnsi" w:cstheme="minorHAnsi"/>
                <w:szCs w:val="24"/>
              </w:rPr>
              <w:t>)</w:t>
            </w:r>
            <w:r w:rsidRPr="008D778A">
              <w:t xml:space="preserve">, wszystkie w </w:t>
            </w:r>
            <w:r w:rsidR="00142097">
              <w:t>ramach</w:t>
            </w:r>
            <w:r w:rsidRPr="008D778A">
              <w:t xml:space="preserve"> konkurencyjn</w:t>
            </w:r>
            <w:r w:rsidR="00142097">
              <w:t>ego sposobu wyboru</w:t>
            </w:r>
            <w:r w:rsidRPr="008D778A">
              <w:t>.</w:t>
            </w:r>
            <w:r>
              <w:t xml:space="preserve"> </w:t>
            </w:r>
          </w:p>
          <w:p w14:paraId="4B040D34" w14:textId="5E31D72E" w:rsidR="00005479" w:rsidRDefault="00992E7A"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t>Wnioskodawcami</w:t>
            </w:r>
            <w:r w:rsidRPr="00E658B7">
              <w:t xml:space="preserve"> by</w:t>
            </w:r>
            <w:r>
              <w:t>ły</w:t>
            </w:r>
            <w:r w:rsidRPr="00E658B7">
              <w:t xml:space="preserve"> przede wszystkim </w:t>
            </w:r>
            <w:r>
              <w:t>JST</w:t>
            </w:r>
            <w:r w:rsidRPr="00E658B7">
              <w:t xml:space="preserve">, ale także podmioty świadczące usługi </w:t>
            </w:r>
            <w:r>
              <w:t>publiczne</w:t>
            </w:r>
            <w:r w:rsidRPr="00E658B7">
              <w:t>, przedsiębiorstwa, organizacje pozarządowe, spółdzielnie mieszkaniowe</w:t>
            </w:r>
            <w:r>
              <w:t xml:space="preserve"> i TBS</w:t>
            </w:r>
            <w:r w:rsidRPr="00E658B7">
              <w:t>, kościoły i związki wyznaniowe, instytucje kultury oraz podmioty edukacyjne</w:t>
            </w:r>
            <w:r>
              <w:t xml:space="preserve"> </w:t>
            </w:r>
            <w:r w:rsidRPr="000F5293">
              <w:t>czy podmioty ekonomii społecznej</w:t>
            </w:r>
            <w:r w:rsidRPr="00E658B7">
              <w:t>.</w:t>
            </w:r>
            <w:r w:rsidR="00697571" w:rsidRPr="005D2FC4">
              <w:rPr>
                <w:rFonts w:asciiTheme="minorHAnsi" w:eastAsia="Calibri" w:hAnsiTheme="minorHAnsi" w:cstheme="minorHAnsi"/>
                <w:szCs w:val="24"/>
              </w:rPr>
              <w:t xml:space="preserve"> </w:t>
            </w:r>
          </w:p>
          <w:p w14:paraId="33B1D1C3" w14:textId="60A1C2C9" w:rsidR="00172CDE" w:rsidRDefault="00AA2ADD"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E658B7">
              <w:t>Zakres wspieranych</w:t>
            </w:r>
            <w:r>
              <w:t>, w tych 47 naborach,</w:t>
            </w:r>
            <w:r w:rsidRPr="00E658B7">
              <w:t xml:space="preserve"> projektów obejmował zarówno inwestycje infrastrukturalne, w tym</w:t>
            </w:r>
            <w:r>
              <w:t xml:space="preserve"> np.:</w:t>
            </w:r>
            <w:r w:rsidRPr="00E658B7">
              <w:t xml:space="preserve"> modernizacje </w:t>
            </w:r>
            <w:r>
              <w:t>systemów ciepłowniczych</w:t>
            </w:r>
            <w:r w:rsidRPr="00E658B7">
              <w:t>, rozwój systemów transportu publicznego, rozbudowę infrastruktury rowerowej</w:t>
            </w:r>
            <w:r>
              <w:t>,</w:t>
            </w:r>
            <w:r w:rsidRPr="00E658B7">
              <w:t xml:space="preserve"> działania w zakresie </w:t>
            </w:r>
            <w:r>
              <w:t xml:space="preserve">rozwoju małej </w:t>
            </w:r>
            <w:r w:rsidRPr="00E658B7">
              <w:t xml:space="preserve">retencji wodnej, </w:t>
            </w:r>
            <w:r>
              <w:t xml:space="preserve">działania z zakresu poprawy dostępności szkół, </w:t>
            </w:r>
            <w:r w:rsidRPr="00E658B7">
              <w:t>jak i przedsięwzięcia</w:t>
            </w:r>
            <w:r>
              <w:t xml:space="preserve"> miękkie</w:t>
            </w:r>
            <w:r w:rsidRPr="00E658B7">
              <w:t xml:space="preserve">, </w:t>
            </w:r>
            <w:r>
              <w:t>w tym np.</w:t>
            </w:r>
            <w:r w:rsidRPr="00E658B7">
              <w:t xml:space="preserve"> tworzenie miejsc przedszkolnych, rozwój usług społecznych czy integracj</w:t>
            </w:r>
            <w:r>
              <w:t>a</w:t>
            </w:r>
            <w:r w:rsidRPr="00E658B7">
              <w:t xml:space="preserve"> cudzoziemców.</w:t>
            </w:r>
            <w:r w:rsidR="00A57FEB">
              <w:t xml:space="preserve"> </w:t>
            </w:r>
          </w:p>
          <w:p w14:paraId="3FCDAFFB" w14:textId="4D8EAB8C" w:rsidR="004E43C5" w:rsidRPr="005D2FC4" w:rsidRDefault="00C65BA8" w:rsidP="008A7EA4">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C65BA8">
              <w:rPr>
                <w:rFonts w:asciiTheme="minorHAnsi" w:eastAsia="Calibri" w:hAnsiTheme="minorHAnsi" w:cstheme="minorHAnsi"/>
                <w:szCs w:val="24"/>
              </w:rPr>
              <w:t xml:space="preserve">Warunki finansowe zakładały najczęściej dofinansowanie na poziomie 85%, rzadziej 95%, a w pojedynczych przypadkach przewidziano dofinansowanie na poziomie 90%, 65% lub 50%. Minimalne i maksymalne wartości </w:t>
            </w:r>
            <w:r w:rsidRPr="00C65BA8">
              <w:rPr>
                <w:rFonts w:asciiTheme="minorHAnsi" w:eastAsia="Calibri" w:hAnsiTheme="minorHAnsi" w:cstheme="minorHAnsi"/>
                <w:szCs w:val="24"/>
              </w:rPr>
              <w:lastRenderedPageBreak/>
              <w:t>projektów były wskazywane sporadycznie, a ich wysokość znacząco różniła się w zależności od funduszu i obszaru wsparcia.</w:t>
            </w:r>
          </w:p>
        </w:tc>
      </w:tr>
      <w:tr w:rsidR="00E63542" w:rsidRPr="005D2FC4" w14:paraId="5CF3D5BD"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7C68493D" w14:textId="37423F7F"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Czy procedury naboru w ramach FEdKP 2021-2027 są zgodne z przyjętymi założeniami i celami Programu oraz zasadami polityk horyzontalnych?</w:t>
            </w:r>
          </w:p>
        </w:tc>
        <w:tc>
          <w:tcPr>
            <w:tcW w:w="6515" w:type="dxa"/>
          </w:tcPr>
          <w:p w14:paraId="47CEA099" w14:textId="4B4C5EC4"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W FEdKP 2021-2027 przyjęto w sumie osiem priorytetów odpowiadających różnym obszarom wsparcia oraz dwa priorytety odnoszące się do pomocy technicznej. W ramach każdego z priorytetów tematycznych szczegółowo opisano założenia i cele udzielanego wsparcia – w tym preferencje czy zakładane efekty, które powinny być brane pod uwagę przy wyborze projektów do dofinansowania. W Programie uwzględniono także konieczność uwzględnienia (we wszystkich etapach wdrażania Programu) zasad horyzontalnych wskazanych w art. 9 rozporządzenia ogólnego UE. Przeprowadzone analizy potwierdziły, że stosowane procedury naborów są w pełni zgodne z założeniami i celami samego Programu oraz zasadami horyzontalnymi. Z jednej strony w regulaminach wyboru projektów za każdym razem szczegółowo wskazywany jest m.in. </w:t>
            </w:r>
            <w:r w:rsidR="00AF014E">
              <w:rPr>
                <w:rFonts w:asciiTheme="minorHAnsi" w:eastAsia="Calibri" w:hAnsiTheme="minorHAnsi" w:cstheme="minorHAnsi"/>
                <w:szCs w:val="24"/>
              </w:rPr>
              <w:t>sposób</w:t>
            </w:r>
            <w:r w:rsidRPr="005D2FC4">
              <w:rPr>
                <w:rFonts w:asciiTheme="minorHAnsi" w:eastAsia="Calibri" w:hAnsiTheme="minorHAnsi" w:cstheme="minorHAnsi"/>
                <w:szCs w:val="24"/>
              </w:rPr>
              <w:t xml:space="preserve"> wyboru projektów, możliwy zakres wsparcia (typy projektów, jakie mogą zostać dofinansowane), maksymalny okres realizacji projektów, miejsce realizacji, typy wnioskodawców czy grupy docelowe wynikające z treści Programu oraz SZOP. W regulaminach, instrukcji wypełniania WoD oraz samej strukturze WoD uwzględnione są także odniesienia do wszystkich zasad horyzontalnych. Z drugiej strony, bezpośredniej realizacji założeń i celów Programu oraz zapewnieniu wdrażania zasad horyzontalnych służą kryteria wyboru projektów.</w:t>
            </w:r>
          </w:p>
        </w:tc>
      </w:tr>
      <w:tr w:rsidR="00E63542" w:rsidRPr="005D2FC4" w14:paraId="776730DB"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115B8A6E" w14:textId="32B0F5B0"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t>Dlaczego niektóre nabory ogłaszane w ramach FEdKP 2021-2027 charakteryzowały się niskim zainteresowaniem?</w:t>
            </w:r>
          </w:p>
        </w:tc>
        <w:tc>
          <w:tcPr>
            <w:tcW w:w="6515" w:type="dxa"/>
          </w:tcPr>
          <w:p w14:paraId="4201039E" w14:textId="77777777" w:rsidR="009E7B29"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Do niskiego zainteresowania niektórymi naborami w ramach FEdKP 2021–2027 przyczyniły się głównie czynniki związane z niewystarczającym potencjałem aplikacyjnym wnioskodawców, w tym brak gotowości technicznej projektów. </w:t>
            </w:r>
          </w:p>
          <w:p w14:paraId="253CF1BB" w14:textId="319E4C07" w:rsidR="00E63542"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t xml:space="preserve">Problematyczne było także kumulowanie wielu naborów w jednym czasie, co obciążało te same zasoby kadrowe w JST. Złożoność dokumentacji naborów, rozbudowane kryteria dodatkowo stanowiły utrudnienie. Wpływ miały także ograniczenia wynikające z kryteriów i przepisów, </w:t>
            </w:r>
            <w:r w:rsidRPr="266D73ED">
              <w:rPr>
                <w:rFonts w:asciiTheme="minorHAnsi" w:eastAsia="Calibri" w:hAnsiTheme="minorHAnsi" w:cstheme="minorBidi"/>
              </w:rPr>
              <w:lastRenderedPageBreak/>
              <w:t xml:space="preserve">które zawężały katalog potencjalnych </w:t>
            </w:r>
            <w:r w:rsidR="00236EBC">
              <w:rPr>
                <w:rFonts w:asciiTheme="minorHAnsi" w:eastAsia="Calibri" w:hAnsiTheme="minorHAnsi" w:cstheme="minorBidi"/>
              </w:rPr>
              <w:t>wnioskodawców</w:t>
            </w:r>
            <w:r w:rsidR="00236EBC" w:rsidRPr="266D73ED">
              <w:rPr>
                <w:rFonts w:asciiTheme="minorHAnsi" w:eastAsia="Calibri" w:hAnsiTheme="minorHAnsi" w:cstheme="minorBidi"/>
              </w:rPr>
              <w:t xml:space="preserve"> </w:t>
            </w:r>
            <w:r w:rsidRPr="266D73ED">
              <w:rPr>
                <w:rFonts w:asciiTheme="minorHAnsi" w:eastAsia="Calibri" w:hAnsiTheme="minorHAnsi" w:cstheme="minorBidi"/>
              </w:rPr>
              <w:t>lub utrudniały spełnienie warunków aplikowania.</w:t>
            </w:r>
          </w:p>
          <w:p w14:paraId="20B241E5" w14:textId="20D77C3D" w:rsidR="001D052E" w:rsidRPr="005D2FC4" w:rsidRDefault="001D052E" w:rsidP="001D052E">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1D052E">
              <w:rPr>
                <w:rFonts w:asciiTheme="minorHAnsi" w:eastAsia="Calibri" w:hAnsiTheme="minorHAnsi" w:cstheme="minorHAnsi"/>
                <w:szCs w:val="24"/>
              </w:rPr>
              <w:t xml:space="preserve">W przypadku naborów z polityki terytorialnej wpływ na skuteczność aplikowania miały także specyficzne uwarunkowania tejże polityki, w tym: przyjęte obszary wsparcia, przedłużający się proces przygotowania i zatwierdzania strategii oraz zawierania porozumień terytorialnych wraz z kompletnymi listami zatwierdzonych przedsięwzięć (fiszek projektowych), </w:t>
            </w:r>
            <w:r w:rsidRPr="001D052E">
              <w:rPr>
                <w:rFonts w:asciiTheme="minorHAnsi" w:hAnsiTheme="minorHAnsi" w:cstheme="minorHAnsi"/>
                <w:szCs w:val="24"/>
              </w:rPr>
              <w:t>brak dostatecznej synchronizacji między datami ogłaszania naborów a datami zawierania porozumień terytorialnych,</w:t>
            </w:r>
            <w:r w:rsidRPr="001D052E">
              <w:rPr>
                <w:rFonts w:asciiTheme="minorHAnsi" w:eastAsia="Calibri" w:hAnsiTheme="minorHAnsi" w:cstheme="minorHAnsi"/>
                <w:szCs w:val="24"/>
              </w:rPr>
              <w:t xml:space="preserve"> brak dostatecznej gotowości realizacyjnej projektów w chwili ogłaszania części naborów, czynniki natury politycznej (w tym dokonywane zmiany fiszek projektowych), konkurencyjne źródła finansowania przedsięwzięć inwestycyjnych JST na szczeblu krajowym wymuszające konieczność sprawnego aplikowania w okresie, kiedy były również ogłaszane pierwsze nabory PT.</w:t>
            </w:r>
          </w:p>
          <w:p w14:paraId="7FDA5E78" w14:textId="0B8AF2FA" w:rsidR="00E63542" w:rsidRPr="005D2FC4" w:rsidRDefault="00A179D3"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t xml:space="preserve">W przypadku </w:t>
            </w:r>
            <w:r w:rsidR="004601F4">
              <w:rPr>
                <w:rFonts w:asciiTheme="minorHAnsi" w:eastAsia="Calibri" w:hAnsiTheme="minorHAnsi" w:cstheme="minorBidi"/>
              </w:rPr>
              <w:t xml:space="preserve">analizowanych 6 </w:t>
            </w:r>
            <w:r w:rsidRPr="266D73ED">
              <w:rPr>
                <w:rFonts w:asciiTheme="minorHAnsi" w:eastAsia="Calibri" w:hAnsiTheme="minorHAnsi" w:cstheme="minorBidi"/>
              </w:rPr>
              <w:t>naborów</w:t>
            </w:r>
            <w:r w:rsidR="00E5519D">
              <w:rPr>
                <w:rFonts w:asciiTheme="minorHAnsi" w:eastAsia="Calibri" w:hAnsiTheme="minorHAnsi" w:cstheme="minorBidi"/>
              </w:rPr>
              <w:t xml:space="preserve">, w których </w:t>
            </w:r>
            <w:r w:rsidR="001136E9">
              <w:rPr>
                <w:rFonts w:asciiTheme="minorHAnsi" w:eastAsia="Calibri" w:hAnsiTheme="minorHAnsi" w:cstheme="minorBidi"/>
              </w:rPr>
              <w:t>za</w:t>
            </w:r>
            <w:r w:rsidR="00E5519D">
              <w:rPr>
                <w:rFonts w:asciiTheme="minorHAnsi" w:eastAsia="Calibri" w:hAnsiTheme="minorHAnsi" w:cstheme="minorBidi"/>
              </w:rPr>
              <w:t xml:space="preserve">stosowano </w:t>
            </w:r>
            <w:r w:rsidRPr="266D73ED">
              <w:rPr>
                <w:rFonts w:asciiTheme="minorHAnsi" w:eastAsia="Calibri" w:hAnsiTheme="minorHAnsi" w:cstheme="minorBidi"/>
              </w:rPr>
              <w:t>niekonkurencyjny</w:t>
            </w:r>
            <w:r w:rsidR="00E5519D">
              <w:rPr>
                <w:rFonts w:asciiTheme="minorHAnsi" w:eastAsia="Calibri" w:hAnsiTheme="minorHAnsi" w:cstheme="minorBidi"/>
              </w:rPr>
              <w:t xml:space="preserve"> sposób wyboru projektów</w:t>
            </w:r>
            <w:r w:rsidR="00874119">
              <w:rPr>
                <w:rFonts w:asciiTheme="minorHAnsi" w:eastAsia="Calibri" w:hAnsiTheme="minorHAnsi" w:cstheme="minorBidi"/>
              </w:rPr>
              <w:t>,</w:t>
            </w:r>
            <w:r w:rsidRPr="266D73ED">
              <w:rPr>
                <w:rFonts w:asciiTheme="minorHAnsi" w:eastAsia="Calibri" w:hAnsiTheme="minorHAnsi" w:cstheme="minorBidi"/>
              </w:rPr>
              <w:t xml:space="preserve"> przyczyny </w:t>
            </w:r>
            <w:r w:rsidR="00874119">
              <w:rPr>
                <w:rFonts w:asciiTheme="minorHAnsi" w:eastAsia="Calibri" w:hAnsiTheme="minorHAnsi" w:cstheme="minorBidi"/>
              </w:rPr>
              <w:t>niskiej skuteczności</w:t>
            </w:r>
            <w:r w:rsidR="00E5519D">
              <w:rPr>
                <w:rFonts w:asciiTheme="minorHAnsi" w:eastAsia="Calibri" w:hAnsiTheme="minorHAnsi" w:cstheme="minorBidi"/>
              </w:rPr>
              <w:t xml:space="preserve"> </w:t>
            </w:r>
            <w:r w:rsidR="00874119" w:rsidRPr="55F8BE54">
              <w:rPr>
                <w:rFonts w:eastAsia="Tahoma" w:cs="Tahoma"/>
                <w:szCs w:val="24"/>
              </w:rPr>
              <w:t xml:space="preserve">miały charakter </w:t>
            </w:r>
            <w:r w:rsidR="00874119">
              <w:rPr>
                <w:rFonts w:eastAsia="Tahoma" w:cs="Tahoma"/>
                <w:szCs w:val="24"/>
              </w:rPr>
              <w:t>indywidualny (np. konieczność pogłębionej analizy otoczenia prawnego, zmiany organizacyjne</w:t>
            </w:r>
            <w:r>
              <w:rPr>
                <w:rFonts w:eastAsia="Tahoma" w:cs="Tahoma"/>
                <w:szCs w:val="24"/>
              </w:rPr>
              <w:t xml:space="preserve"> po stronie </w:t>
            </w:r>
            <w:r w:rsidR="00874119">
              <w:rPr>
                <w:rFonts w:eastAsia="Tahoma" w:cs="Tahoma"/>
                <w:szCs w:val="24"/>
              </w:rPr>
              <w:t>wnioskodawcy, problemy z rozstrzygnięciem postępowań przetargowych, błędy formalne w dokumentacji projektowej) i nie miały związku z procedurami stosowanymi w ramach niekonkurencyjnego sposobu wyboru projektów</w:t>
            </w:r>
            <w:r>
              <w:rPr>
                <w:rFonts w:eastAsia="Tahoma" w:cs="Tahoma"/>
                <w:szCs w:val="24"/>
              </w:rPr>
              <w:t>.</w:t>
            </w:r>
            <w:r w:rsidRPr="266D73ED">
              <w:rPr>
                <w:rFonts w:asciiTheme="minorHAnsi" w:eastAsia="Calibri" w:hAnsiTheme="minorHAnsi" w:cstheme="minorBidi"/>
              </w:rPr>
              <w:t xml:space="preserve"> </w:t>
            </w:r>
          </w:p>
        </w:tc>
      </w:tr>
      <w:tr w:rsidR="00E63542" w:rsidRPr="005D2FC4" w14:paraId="3FAA1D36"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4CCA26C9" w14:textId="4B0BB9DB"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 xml:space="preserve">Jakie są przyczyny niskiego zainteresowania ubieganiem się o dofinansowanie w ramach naborów FEdKP 2021-2027 (np. brak wiedzy o naborach, w tym niezrozumiałość dokumentów </w:t>
            </w:r>
            <w:r w:rsidRPr="005D2FC4">
              <w:rPr>
                <w:rFonts w:asciiTheme="minorHAnsi" w:hAnsiTheme="minorHAnsi" w:cstheme="minorHAnsi"/>
                <w:b w:val="0"/>
                <w:bCs w:val="0"/>
                <w:szCs w:val="24"/>
              </w:rPr>
              <w:lastRenderedPageBreak/>
              <w:t>pomocniczych, zbyt skomplikowane wymagania, jakość wsparcia doradczego, warunki finansowe)?</w:t>
            </w:r>
          </w:p>
        </w:tc>
        <w:tc>
          <w:tcPr>
            <w:tcW w:w="6515" w:type="dxa"/>
          </w:tcPr>
          <w:p w14:paraId="48655082" w14:textId="178400BB" w:rsidR="0072662A"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rPr>
              <w:lastRenderedPageBreak/>
              <w:t>Przyczyny niskiego zainteresowania naborami FEdKP 2021-2027 obejmują przede wszystkim brak naborów odpowiadających realnym potrzebom części wnioskodawców, niewystarczające i spóźnione dotarcie informacji – szczególnie do mniejszych gmin – oraz zbyt skomplikowane i czasochłonne wymagania formalne i dokumentacyjne. Dodatkowo problem pogłębiała kumulacja terminów naborów</w:t>
            </w:r>
            <w:r w:rsidR="0072662A">
              <w:rPr>
                <w:rFonts w:asciiTheme="minorHAnsi" w:eastAsia="Calibri" w:hAnsiTheme="minorHAnsi" w:cstheme="minorBidi"/>
              </w:rPr>
              <w:t xml:space="preserve">, przy czym należy mieć na uwadze, że </w:t>
            </w:r>
            <w:r w:rsidR="00F94B3D">
              <w:rPr>
                <w:rFonts w:asciiTheme="minorHAnsi" w:eastAsia="Calibri" w:hAnsiTheme="minorHAnsi" w:cstheme="minorBidi"/>
              </w:rPr>
              <w:t>nawet jeśli były to nabory trwające długo (np. nabory ciągłe) to zdecydowana większość wnioskodawców składała wnioski w ostatnim możliwym momencie.</w:t>
            </w:r>
          </w:p>
          <w:p w14:paraId="023ED626" w14:textId="42EC0355"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rPr>
              <w:lastRenderedPageBreak/>
              <w:t xml:space="preserve">Znaczący wpływ miała także konkurencja prostszych i bardziej elastycznych źródeł finansowania krajowego, oferujących wyższy poziom dofinansowania i mniejsze obciążenia administracyjne. </w:t>
            </w:r>
          </w:p>
        </w:tc>
      </w:tr>
      <w:tr w:rsidR="00E63542" w:rsidRPr="005D2FC4" w14:paraId="6CB543F4"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7C2F7D4D" w14:textId="6FF06E37"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Które z czynników, wpływających na niskie zainteresowanie naborami w ramach FEdKP 2021-2027 można zaliczyć do czynników zewnętrznych, a które są związane ze słabościami systemu realizacji Programu, jego zakresu i konstrukcji oraz z deficytami potencjalnych wnioskodawców?</w:t>
            </w:r>
          </w:p>
        </w:tc>
        <w:tc>
          <w:tcPr>
            <w:tcW w:w="6515" w:type="dxa"/>
          </w:tcPr>
          <w:p w14:paraId="3B85F6A3" w14:textId="77777777" w:rsidR="00E63542"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1. Czynniki zewnętrzne</w:t>
            </w:r>
          </w:p>
          <w:p w14:paraId="1D53A6B4"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Dostępność alternatywnych źródeł finansowania</w:t>
            </w:r>
          </w:p>
          <w:p w14:paraId="2D2F18EA"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Uwarunkowania prawne i regulacyjne – późne wejście w życie rozporządzeń środowiskowych; ograniczające zapisy ustawy o pomocy społecznej (np. w Działaniu 8.24).</w:t>
            </w:r>
          </w:p>
          <w:p w14:paraId="02DB9477"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Wymogi wynikające z przepisów UE – np. obowiązek wieloletniego monitorowania infrastruktury (nawet do 40 lat).</w:t>
            </w:r>
          </w:p>
          <w:p w14:paraId="3CDB4956" w14:textId="7348B0B6"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Procedury administracyjne niezależne od </w:t>
            </w:r>
            <w:r w:rsidR="00236EBC">
              <w:rPr>
                <w:rFonts w:asciiTheme="minorHAnsi" w:eastAsia="Calibri" w:hAnsiTheme="minorHAnsi" w:cstheme="minorHAnsi"/>
                <w:szCs w:val="24"/>
              </w:rPr>
              <w:t>wnioskodawc</w:t>
            </w:r>
            <w:r w:rsidR="00236EBC" w:rsidRPr="005D2FC4">
              <w:rPr>
                <w:rFonts w:asciiTheme="minorHAnsi" w:eastAsia="Calibri" w:hAnsiTheme="minorHAnsi" w:cstheme="minorHAnsi"/>
                <w:szCs w:val="24"/>
              </w:rPr>
              <w:t xml:space="preserve">ów </w:t>
            </w:r>
            <w:r w:rsidRPr="005D2FC4">
              <w:rPr>
                <w:rFonts w:asciiTheme="minorHAnsi" w:eastAsia="Calibri" w:hAnsiTheme="minorHAnsi" w:cstheme="minorHAnsi"/>
                <w:szCs w:val="24"/>
              </w:rPr>
              <w:t>– czasochłonne uzyskiwanie pozwoleń budowlanych, decyzji środowiskowych czy uzgodnień międzyinstytucjonalnych.</w:t>
            </w:r>
          </w:p>
          <w:p w14:paraId="4399333F"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Problemy z systemami informatycznymi – np. ograniczenia w systemie SOWA utrudniające przygotowanie szczegółowych budżetów.</w:t>
            </w:r>
          </w:p>
          <w:p w14:paraId="674FE1E8"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Niski potencjał aplikacyjny wnioskodawców: ograniczone zasoby kadrowe i organizacyjne, trudności w zapewnieniu wkładu własnego, niska świadomość i brak aktywnego poszukiwania informacji.</w:t>
            </w:r>
          </w:p>
          <w:p w14:paraId="7E9A824E" w14:textId="77777777" w:rsidR="00E3613C" w:rsidRPr="005D2FC4" w:rsidRDefault="00E3613C"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Zmiana priorytetów inwestycyjnych w JST, w tym m.in. po wyborach samorządowych, które odbyły się wiosną 2024 roku.</w:t>
            </w:r>
          </w:p>
          <w:p w14:paraId="0885E24D" w14:textId="77777777" w:rsidR="00E63542" w:rsidRPr="005D2FC4" w:rsidRDefault="00E63542"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2. Czynniki wewnętrzne</w:t>
            </w:r>
          </w:p>
          <w:p w14:paraId="31D8F520"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Niewystarczająca, „bierna” komunikacja o naborach</w:t>
            </w:r>
          </w:p>
          <w:p w14:paraId="6B4093E1" w14:textId="625A60A4"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Problemy z harmonogramem naborów – kumulacja konkursów, częste zmiany terminów.</w:t>
            </w:r>
          </w:p>
          <w:p w14:paraId="277614FA" w14:textId="403A5C1B"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Skomplikowana i mało praktyczna dokumentacja konkursowa –</w:t>
            </w:r>
            <w:r w:rsidR="008107BE">
              <w:rPr>
                <w:rFonts w:asciiTheme="minorHAnsi" w:eastAsia="Calibri" w:hAnsiTheme="minorHAnsi" w:cstheme="minorHAnsi"/>
                <w:szCs w:val="24"/>
              </w:rPr>
              <w:t xml:space="preserve"> </w:t>
            </w:r>
            <w:r w:rsidRPr="005D2FC4">
              <w:rPr>
                <w:rFonts w:asciiTheme="minorHAnsi" w:eastAsia="Calibri" w:hAnsiTheme="minorHAnsi" w:cstheme="minorHAnsi"/>
                <w:szCs w:val="24"/>
              </w:rPr>
              <w:t xml:space="preserve">rozbudowany i trudny system kryteriów, brak </w:t>
            </w:r>
            <w:r w:rsidR="008107BE">
              <w:rPr>
                <w:rFonts w:asciiTheme="minorHAnsi" w:eastAsia="Calibri" w:hAnsiTheme="minorHAnsi" w:cstheme="minorHAnsi"/>
                <w:szCs w:val="24"/>
              </w:rPr>
              <w:t xml:space="preserve">merytorycznych </w:t>
            </w:r>
            <w:r w:rsidRPr="005D2FC4">
              <w:rPr>
                <w:rFonts w:asciiTheme="minorHAnsi" w:eastAsia="Calibri" w:hAnsiTheme="minorHAnsi" w:cstheme="minorHAnsi"/>
                <w:szCs w:val="24"/>
              </w:rPr>
              <w:t>instrukcji wypełniania WoD z przykładami.</w:t>
            </w:r>
          </w:p>
          <w:p w14:paraId="780F8692" w14:textId="77777777"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Niewystarczające szkolenia i wsparcie doradcze – </w:t>
            </w:r>
            <w:r w:rsidR="008107BE">
              <w:rPr>
                <w:rFonts w:asciiTheme="minorHAnsi" w:eastAsia="Calibri" w:hAnsiTheme="minorHAnsi" w:cstheme="minorHAnsi"/>
                <w:szCs w:val="24"/>
              </w:rPr>
              <w:t xml:space="preserve">zbyt </w:t>
            </w:r>
            <w:r w:rsidRPr="005D2FC4">
              <w:rPr>
                <w:rFonts w:asciiTheme="minorHAnsi" w:eastAsia="Calibri" w:hAnsiTheme="minorHAnsi" w:cstheme="minorHAnsi"/>
                <w:szCs w:val="24"/>
              </w:rPr>
              <w:t xml:space="preserve">mało szkoleń praktycznych dostosowanych do </w:t>
            </w:r>
            <w:r w:rsidRPr="005D2FC4">
              <w:rPr>
                <w:rFonts w:asciiTheme="minorHAnsi" w:eastAsia="Calibri" w:hAnsiTheme="minorHAnsi" w:cstheme="minorHAnsi"/>
                <w:szCs w:val="24"/>
              </w:rPr>
              <w:lastRenderedPageBreak/>
              <w:t xml:space="preserve">specyfiki naborów, brak przygotowania do nowych wymogów (DNSH, </w:t>
            </w:r>
            <w:proofErr w:type="spellStart"/>
            <w:r w:rsidRPr="005D2FC4">
              <w:rPr>
                <w:rFonts w:asciiTheme="minorHAnsi" w:eastAsia="Calibri" w:hAnsiTheme="minorHAnsi" w:cstheme="minorHAnsi"/>
                <w:szCs w:val="24"/>
              </w:rPr>
              <w:t>Bauhaus</w:t>
            </w:r>
            <w:proofErr w:type="spellEnd"/>
            <w:r w:rsidRPr="005D2FC4">
              <w:rPr>
                <w:rFonts w:asciiTheme="minorHAnsi" w:eastAsia="Calibri" w:hAnsiTheme="minorHAnsi" w:cstheme="minorHAnsi"/>
                <w:szCs w:val="24"/>
              </w:rPr>
              <w:t>).</w:t>
            </w:r>
          </w:p>
          <w:p w14:paraId="06AA8162" w14:textId="19EC45A9"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Wymóg wysokiej gotowości projektowej na etapie składania wniosku – konieczność posiadania pełnej dokumentacji i pozwoleń ogranicza start mniej przygotowanych podmiotów</w:t>
            </w:r>
            <w:r w:rsidR="008E117B">
              <w:rPr>
                <w:rFonts w:asciiTheme="minorHAnsi" w:eastAsia="Calibri" w:hAnsiTheme="minorHAnsi" w:cstheme="minorHAnsi"/>
                <w:szCs w:val="24"/>
              </w:rPr>
              <w:t>, ale jednocześnie jest kryterium ni</w:t>
            </w:r>
            <w:r w:rsidR="006413C6">
              <w:rPr>
                <w:rFonts w:asciiTheme="minorHAnsi" w:eastAsia="Calibri" w:hAnsiTheme="minorHAnsi" w:cstheme="minorHAnsi"/>
                <w:szCs w:val="24"/>
              </w:rPr>
              <w:t xml:space="preserve">ezbędnym </w:t>
            </w:r>
            <w:r w:rsidR="00F67172">
              <w:rPr>
                <w:rFonts w:asciiTheme="minorHAnsi" w:eastAsia="Calibri" w:hAnsiTheme="minorHAnsi" w:cstheme="minorHAnsi"/>
                <w:szCs w:val="24"/>
              </w:rPr>
              <w:t>–</w:t>
            </w:r>
            <w:r w:rsidR="006413C6">
              <w:rPr>
                <w:rFonts w:asciiTheme="minorHAnsi" w:eastAsia="Calibri" w:hAnsiTheme="minorHAnsi" w:cstheme="minorHAnsi"/>
                <w:szCs w:val="24"/>
              </w:rPr>
              <w:t xml:space="preserve"> </w:t>
            </w:r>
            <w:r w:rsidR="00F67172">
              <w:rPr>
                <w:rFonts w:asciiTheme="minorHAnsi" w:eastAsia="Calibri" w:hAnsiTheme="minorHAnsi" w:cstheme="minorHAnsi"/>
                <w:szCs w:val="24"/>
              </w:rPr>
              <w:t>zwiększa szansę na skuteczne i terminowe zrealizowanie projektu i certyfikację środków w Programie</w:t>
            </w:r>
            <w:r w:rsidRPr="005D2FC4">
              <w:rPr>
                <w:rFonts w:asciiTheme="minorHAnsi" w:eastAsia="Calibri" w:hAnsiTheme="minorHAnsi" w:cstheme="minorHAnsi"/>
                <w:szCs w:val="24"/>
              </w:rPr>
              <w:t>.</w:t>
            </w:r>
          </w:p>
          <w:p w14:paraId="56324745" w14:textId="7BB46365" w:rsidR="00E63542" w:rsidRPr="005D2FC4" w:rsidRDefault="00E63542" w:rsidP="0078722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 xml:space="preserve">Ograniczenia konstrukcyjne niektórych naborów – </w:t>
            </w:r>
            <w:r w:rsidR="00F67172">
              <w:rPr>
                <w:rFonts w:asciiTheme="minorHAnsi" w:eastAsia="Calibri" w:hAnsiTheme="minorHAnsi" w:cstheme="minorHAnsi"/>
                <w:szCs w:val="24"/>
              </w:rPr>
              <w:t xml:space="preserve">np. </w:t>
            </w:r>
            <w:r w:rsidRPr="005D2FC4">
              <w:rPr>
                <w:rFonts w:asciiTheme="minorHAnsi" w:eastAsia="Calibri" w:hAnsiTheme="minorHAnsi" w:cstheme="minorHAnsi"/>
                <w:szCs w:val="24"/>
              </w:rPr>
              <w:t xml:space="preserve">limity finansowe w Działaniu 8.24, powiązanie wsparcia między </w:t>
            </w:r>
            <w:r w:rsidR="00F67172">
              <w:rPr>
                <w:rFonts w:asciiTheme="minorHAnsi" w:eastAsia="Calibri" w:hAnsiTheme="minorHAnsi" w:cstheme="minorHAnsi"/>
                <w:szCs w:val="24"/>
              </w:rPr>
              <w:t>D</w:t>
            </w:r>
            <w:r w:rsidR="00F67172" w:rsidRPr="005D2FC4">
              <w:rPr>
                <w:rFonts w:asciiTheme="minorHAnsi" w:eastAsia="Calibri" w:hAnsiTheme="minorHAnsi" w:cstheme="minorHAnsi"/>
                <w:szCs w:val="24"/>
              </w:rPr>
              <w:t xml:space="preserve">ziałaniami </w:t>
            </w:r>
            <w:r w:rsidRPr="005D2FC4">
              <w:rPr>
                <w:rFonts w:asciiTheme="minorHAnsi" w:eastAsia="Calibri" w:hAnsiTheme="minorHAnsi" w:cstheme="minorHAnsi"/>
                <w:szCs w:val="24"/>
              </w:rPr>
              <w:t>uniemożliwiające udział</w:t>
            </w:r>
            <w:r w:rsidR="00F67172">
              <w:rPr>
                <w:rFonts w:asciiTheme="minorHAnsi" w:eastAsia="Calibri" w:hAnsiTheme="minorHAnsi" w:cstheme="minorHAnsi"/>
                <w:szCs w:val="24"/>
              </w:rPr>
              <w:t xml:space="preserve"> w jednym Działaniu bez rozstrzygnięcia naboru w innym (np. Działanie 8.24 oraz 6.8)</w:t>
            </w:r>
            <w:r w:rsidRPr="005D2FC4">
              <w:rPr>
                <w:rFonts w:asciiTheme="minorHAnsi" w:eastAsia="Calibri" w:hAnsiTheme="minorHAnsi" w:cstheme="minorHAnsi"/>
                <w:szCs w:val="24"/>
              </w:rPr>
              <w:t>.</w:t>
            </w:r>
          </w:p>
          <w:p w14:paraId="61E5048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Limity alokacji per capita na poziomie poszczególnych partnerstw oraz konieczność osiągania konsensusu w podziale środków powodowały, że niektóre JST otrzymywały</w:t>
            </w:r>
            <w:r w:rsidR="00FA6151" w:rsidRPr="00FA6151">
              <w:rPr>
                <w:rFonts w:asciiTheme="minorHAnsi" w:eastAsia="Calibri" w:hAnsiTheme="minorHAnsi" w:cstheme="minorHAnsi"/>
                <w:szCs w:val="24"/>
              </w:rPr>
              <w:t xml:space="preserve"> w ramach PT</w:t>
            </w:r>
            <w:r w:rsidRPr="00FA6151">
              <w:rPr>
                <w:rFonts w:asciiTheme="minorHAnsi" w:eastAsia="Calibri" w:hAnsiTheme="minorHAnsi" w:cstheme="minorHAnsi"/>
                <w:szCs w:val="24"/>
              </w:rPr>
              <w:t xml:space="preserve"> środki na projekty nie tylko w obszarach zidentyfikowanych jako najbardziej priorytetowe (odciągając w czasie decyzję o aplikowaniu na takie projekty, mogły podejmować działania zmierzające do przesunięcia tych środków na inne obszary).</w:t>
            </w:r>
          </w:p>
          <w:p w14:paraId="29EB561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 xml:space="preserve">Zbytnio rozciągnięty w czasie proces zawierania porozumień terytorialnych z uwagi na przedłużające się prace nad przygotowaniem ostatecznych wersji fiszek projektowych. </w:t>
            </w:r>
          </w:p>
          <w:p w14:paraId="44522F75" w14:textId="77777777" w:rsidR="00EC0E36"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Brak odpowiedniej synchronizacji między datami ogłaszania pierwszych naborów PT a datami zawierania porozumień terytorialnych.</w:t>
            </w:r>
          </w:p>
          <w:p w14:paraId="6C9DE055" w14:textId="02D7EEE6" w:rsidR="00CF4F29" w:rsidRPr="00FA6151" w:rsidRDefault="00EC0E36" w:rsidP="00EC0E36">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FA6151">
              <w:rPr>
                <w:rFonts w:asciiTheme="minorHAnsi" w:eastAsia="Calibri" w:hAnsiTheme="minorHAnsi" w:cstheme="minorHAnsi"/>
                <w:szCs w:val="24"/>
              </w:rPr>
              <w:t>Zawarcie porozumień terytorialnych wraz z wykazem projektów (i przypisaną wysokością alokacji) powodowało, że partnerstwa i poszczególne JST nie były dostatecznie zmotywowane do sprawnego przygotowania wniosków i aplikowania w pierwszych naborach w ramach PT. Wynikało to z przekonania, że zawarte porozumienia zapewniają już uzyskanie dofinansowania w przyszłości, bez względu na to, w którym naborze wniosek zostanie złożony.</w:t>
            </w:r>
          </w:p>
          <w:p w14:paraId="5B6B8EE0" w14:textId="6680DE72" w:rsidR="00E63542" w:rsidRPr="008C41E8" w:rsidRDefault="008E3D37" w:rsidP="008C41E8">
            <w:pPr>
              <w:pStyle w:val="Akapitzlist"/>
              <w:numPr>
                <w:ilvl w:val="0"/>
                <w:numId w:val="5"/>
              </w:num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8C41E8">
              <w:rPr>
                <w:rFonts w:asciiTheme="minorHAnsi" w:eastAsia="Calibri" w:hAnsiTheme="minorHAnsi" w:cstheme="minorHAnsi"/>
                <w:szCs w:val="24"/>
              </w:rPr>
              <w:lastRenderedPageBreak/>
              <w:t xml:space="preserve">Brak egzekwowania (oraz aktualizowania) od projektodawców </w:t>
            </w:r>
            <w:r w:rsidR="003254C7" w:rsidRPr="008C41E8">
              <w:rPr>
                <w:rFonts w:asciiTheme="minorHAnsi" w:eastAsia="Calibri" w:hAnsiTheme="minorHAnsi" w:cstheme="minorHAnsi"/>
                <w:szCs w:val="24"/>
              </w:rPr>
              <w:t>w ramach polityki terytorialnej</w:t>
            </w:r>
            <w:r w:rsidRPr="008C41E8">
              <w:rPr>
                <w:rFonts w:asciiTheme="minorHAnsi" w:eastAsia="Calibri" w:hAnsiTheme="minorHAnsi" w:cstheme="minorHAnsi"/>
                <w:szCs w:val="24"/>
              </w:rPr>
              <w:t xml:space="preserve"> </w:t>
            </w:r>
            <w:r w:rsidR="00EC0E36" w:rsidRPr="008C41E8">
              <w:rPr>
                <w:rFonts w:asciiTheme="minorHAnsi" w:eastAsia="Calibri" w:hAnsiTheme="minorHAnsi" w:cstheme="minorHAnsi"/>
                <w:szCs w:val="24"/>
              </w:rPr>
              <w:t xml:space="preserve">terminów wskazanych w fiszkach projektowych </w:t>
            </w:r>
            <w:r w:rsidRPr="008C41E8">
              <w:rPr>
                <w:rFonts w:asciiTheme="minorHAnsi" w:eastAsia="Calibri" w:hAnsiTheme="minorHAnsi" w:cstheme="minorHAnsi"/>
                <w:szCs w:val="24"/>
              </w:rPr>
              <w:t>(w zakresie uzyskania gotowości realizacyjnej czy planowanego terminu aplikowania).</w:t>
            </w:r>
          </w:p>
        </w:tc>
      </w:tr>
      <w:tr w:rsidR="00E63542" w:rsidRPr="005D2FC4" w14:paraId="592683FE"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00FCCBE6" w14:textId="1BE5D503" w:rsidR="00E63542" w:rsidRPr="005D2FC4" w:rsidRDefault="00E63542"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lastRenderedPageBreak/>
              <w:t xml:space="preserve">Czy można zidentyfikować w Programie obszary wsparcia, które wymagają szczególnej uwagi i pomocy w przygotowaniu wniosków o dofinansowanie? </w:t>
            </w:r>
          </w:p>
        </w:tc>
        <w:tc>
          <w:tcPr>
            <w:tcW w:w="6515" w:type="dxa"/>
          </w:tcPr>
          <w:p w14:paraId="7D26EB87" w14:textId="76F9AC83" w:rsidR="00E63542" w:rsidRPr="005D2FC4" w:rsidRDefault="00E63542"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 Programie szczególnej uwagi i dodatkowej pomocy w przygotowaniu wniosków wymagają obszary, w których występują nowi wnioskodawcy bez wcześniejszego doświadczenia w realizacji projektów finansowanych ze środków UE. Dotyczy to zwłaszcza mniejszych gmin i jednostek organizacyjnych, które mają ograniczone zasoby kadrowe i kompetencyjne, a także projektów o wysokich wymaganiach formalno-prawnych (np. infrastrukturalnych)</w:t>
            </w:r>
            <w:r w:rsidR="003254C7" w:rsidRPr="005D2FC4">
              <w:rPr>
                <w:rFonts w:asciiTheme="minorHAnsi" w:eastAsia="Calibri" w:hAnsiTheme="minorHAnsi" w:cstheme="minorHAnsi"/>
                <w:szCs w:val="24"/>
              </w:rPr>
              <w:t>.</w:t>
            </w:r>
          </w:p>
        </w:tc>
      </w:tr>
      <w:tr w:rsidR="00F1009C" w:rsidRPr="005D2FC4" w14:paraId="552F1DC5"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5A28682" w14:textId="6A29D54D" w:rsidR="00F1009C" w:rsidRPr="005D2FC4" w:rsidRDefault="00F1009C" w:rsidP="00787228">
            <w:pPr>
              <w:rPr>
                <w:rFonts w:asciiTheme="minorHAnsi" w:eastAsia="Calibri" w:hAnsiTheme="minorHAnsi" w:cstheme="minorHAnsi"/>
                <w:b w:val="0"/>
                <w:bCs w:val="0"/>
                <w:szCs w:val="24"/>
              </w:rPr>
            </w:pPr>
            <w:r w:rsidRPr="005D2FC4">
              <w:rPr>
                <w:rFonts w:asciiTheme="minorHAnsi" w:hAnsiTheme="minorHAnsi" w:cstheme="minorHAnsi"/>
                <w:b w:val="0"/>
                <w:bCs w:val="0"/>
                <w:szCs w:val="24"/>
              </w:rPr>
              <w:t xml:space="preserve">Jaki wpływ na skuteczność przeprowadzanych naborów ma proces przygotowania strategii terytorialnych, a także proces podpisywania porozumień i opracowywania projektów przeznaczonych do wsparcia w ramach FEdKP? W jaki sposób można ocenić efektywność procesu identyfikacji projektów oraz stopień ich gotowości do aplikowania? Jak przebiegał proces alokacji środków w ramach instrumentów </w:t>
            </w:r>
            <w:r w:rsidRPr="005D2FC4">
              <w:rPr>
                <w:rFonts w:asciiTheme="minorHAnsi" w:hAnsiTheme="minorHAnsi" w:cstheme="minorHAnsi"/>
                <w:b w:val="0"/>
                <w:bCs w:val="0"/>
                <w:szCs w:val="24"/>
              </w:rPr>
              <w:lastRenderedPageBreak/>
              <w:t>terytorialnych i na ile był on dostosowany do rzeczywistych potrzeb beneficjentów?</w:t>
            </w:r>
          </w:p>
        </w:tc>
        <w:tc>
          <w:tcPr>
            <w:tcW w:w="6515" w:type="dxa"/>
          </w:tcPr>
          <w:p w14:paraId="045F9981" w14:textId="246A8A40" w:rsidR="00F65A3F" w:rsidRPr="005D2FC4" w:rsidRDefault="00F65A3F" w:rsidP="00F65A3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lastRenderedPageBreak/>
              <w:t>Proces zawierania porozumień terytorialnych i przygotowania strategii terytorialnych w ramach FEdKP 2021-2027 miał istotny wpływ na skuteczność naborów, szczególnie w początkowej fazie wdrażania, tj. wówczas, kiedy ogłaszane były nabory objęte zakresem tego badania. Zawarcie porozumienia wraz z wykazem projektów</w:t>
            </w:r>
            <w:r>
              <w:rPr>
                <w:rFonts w:asciiTheme="minorHAnsi" w:eastAsia="Calibri" w:hAnsiTheme="minorHAnsi" w:cstheme="minorHAnsi"/>
                <w:szCs w:val="24"/>
              </w:rPr>
              <w:t xml:space="preserve"> </w:t>
            </w:r>
            <w:r w:rsidRPr="005D2FC4">
              <w:rPr>
                <w:rFonts w:asciiTheme="minorHAnsi" w:eastAsia="Calibri" w:hAnsiTheme="minorHAnsi" w:cstheme="minorHAnsi"/>
                <w:szCs w:val="24"/>
              </w:rPr>
              <w:t>było kluczowym warunkiem aplikowania</w:t>
            </w:r>
            <w:r w:rsidR="00BF32EB">
              <w:rPr>
                <w:rFonts w:asciiTheme="minorHAnsi" w:eastAsia="Calibri" w:hAnsiTheme="minorHAnsi" w:cstheme="minorHAnsi"/>
                <w:szCs w:val="24"/>
              </w:rPr>
              <w:t xml:space="preserve"> w naborach</w:t>
            </w:r>
            <w:r w:rsidRPr="005D2FC4">
              <w:rPr>
                <w:rFonts w:asciiTheme="minorHAnsi" w:eastAsia="Calibri" w:hAnsiTheme="minorHAnsi" w:cstheme="minorHAnsi"/>
                <w:szCs w:val="24"/>
              </w:rPr>
              <w:t>. W praktyce okazało się, że porozumienia terytorialne były zawierane dopiero po ogłoszeniu części naborów objętych badaniem (w ramach PT) – fakt ten miał zatem istotny wpływ na skuteczność części naborów.</w:t>
            </w:r>
          </w:p>
          <w:p w14:paraId="6290983E" w14:textId="78E2ADE7" w:rsidR="00F65A3F" w:rsidRPr="005D2FC4" w:rsidRDefault="00F65A3F" w:rsidP="00F65A3F">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Proces identyfikacji i przygotowania założeń projektów (fiszek) był utrudniony</w:t>
            </w:r>
            <w:r>
              <w:rPr>
                <w:rFonts w:asciiTheme="minorHAnsi" w:eastAsia="Calibri" w:hAnsiTheme="minorHAnsi" w:cstheme="minorHAnsi"/>
                <w:szCs w:val="24"/>
              </w:rPr>
              <w:t xml:space="preserve"> m.in.</w:t>
            </w:r>
            <w:r w:rsidRPr="005D2FC4">
              <w:rPr>
                <w:rFonts w:asciiTheme="minorHAnsi" w:eastAsia="Calibri" w:hAnsiTheme="minorHAnsi" w:cstheme="minorHAnsi"/>
                <w:szCs w:val="24"/>
              </w:rPr>
              <w:t xml:space="preserve"> z uwagi na opóźnione przyjęcie wytycznych krajowych, w tym dokumentu „Zasady realizacji instrumentów terytorialnych w Polsce w perspektywie finansowej UE na lata 2021-2027”. Poza tym, proces ten przebiegał na ogół poprawnie – angażował nie tylko członków partnerstw, ale i pracowników IZ FEdKP 2021-2027. Mimo zastosowania takiego procesu, stopień gotowości projektów do realizacji nie był zadowalający. Wnioskodawcy w fiszkach mogli deklarować planowany termin uzyskania gotowości oraz złożenia WoD, ale w praktyce nie było narzędzi i rozwiązań, które pozwoliłyby weryfikować później te deklaracje i egzekwować je.</w:t>
            </w:r>
            <w:r>
              <w:rPr>
                <w:rFonts w:asciiTheme="minorHAnsi" w:eastAsia="Calibri" w:hAnsiTheme="minorHAnsi" w:cstheme="minorHAnsi"/>
                <w:szCs w:val="24"/>
              </w:rPr>
              <w:t xml:space="preserve"> W </w:t>
            </w:r>
            <w:r>
              <w:rPr>
                <w:rFonts w:asciiTheme="minorHAnsi" w:eastAsia="Calibri" w:hAnsiTheme="minorHAnsi" w:cstheme="minorHAnsi"/>
                <w:szCs w:val="24"/>
              </w:rPr>
              <w:lastRenderedPageBreak/>
              <w:t>efekcie wiele projektów w chwili ogłaszania pierwszych naborów nie było jeszcze gotowych do aplikowania.</w:t>
            </w:r>
          </w:p>
          <w:p w14:paraId="370EFDE5" w14:textId="2B3665BD" w:rsidR="00F1009C" w:rsidRPr="005D2FC4" w:rsidRDefault="00F1009C"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Alokacja środków w ramach instrumentów terytorialnych była dzielona według zasady „per capita” z premią dla obszarów problemowych, co JST oceniły jako sprawiedliwe, choć często niewystarczające wobec skali potrzeb. Problemem okazały się wybrane obszary wsparcia, które uznano za mało adekwatne do wdrażania w ramach PT i w efekcie nie cieszyły się istotnym zainteresowaniem, mimo, że wcześniej identyfikowano konkretne projekty do realizacji w tych obszarach (np. wsparcie MŚP).</w:t>
            </w:r>
          </w:p>
        </w:tc>
      </w:tr>
      <w:tr w:rsidR="00F1009C" w:rsidRPr="005D2FC4" w14:paraId="57179A1D"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0B95F7C5" w14:textId="6D610DF7"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Jaki wpływ na efektywność naborów miała zmiana delimitacji ZIT-ów wokół najważniejszych miast regionu oraz fakt, że ostateczne decyzje w tej kwestii zapadły stosunkowo późno, w stosunku do rozpoczęcia realizacji FEdKP na lata 2021-2027?</w:t>
            </w:r>
          </w:p>
        </w:tc>
        <w:tc>
          <w:tcPr>
            <w:tcW w:w="6515" w:type="dxa"/>
          </w:tcPr>
          <w:p w14:paraId="134EF4F2" w14:textId="59C0A10D"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W ramach badania nie zidentyfikowano negatywnego wpływu wprowadzonej zmiany delimitacji ZIT-ów wokół najważniejszych miast regionu na skuteczność naborów. To właśnie ZIT Bydgoszcz i ZIT Toruń zawarły w zasadzie jako jedne z pierwszych porozumienia terytorialne z IZ FEdKP 2021-2027</w:t>
            </w:r>
            <w:r w:rsidR="00776243" w:rsidRPr="005D2FC4">
              <w:rPr>
                <w:rFonts w:asciiTheme="minorHAnsi" w:eastAsia="Calibri" w:hAnsiTheme="minorHAnsi" w:cstheme="minorHAnsi"/>
                <w:szCs w:val="24"/>
              </w:rPr>
              <w:t xml:space="preserve"> </w:t>
            </w:r>
            <w:r w:rsidRPr="005D2FC4">
              <w:rPr>
                <w:rFonts w:asciiTheme="minorHAnsi" w:eastAsia="Calibri" w:hAnsiTheme="minorHAnsi" w:cstheme="minorHAnsi"/>
                <w:szCs w:val="24"/>
              </w:rPr>
              <w:t>– to zaś dowodzić może sprawności organizacyjnej obu liderów. To te partnerstwa jako jedne z pierwszych osiągnęły gotowość do wdrażania swoich strategii terytorialnych i zidentyfikowanych projektów.</w:t>
            </w:r>
          </w:p>
        </w:tc>
      </w:tr>
      <w:tr w:rsidR="00F1009C" w:rsidRPr="005D2FC4" w14:paraId="0664111C"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3F803F33" w14:textId="3FBCAEC6"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t xml:space="preserve">Jaki wpływ na skuteczność aplikowania w ramach naborów niekonkurencyjnych ma proces identyfikacji projektów oraz ich gotowość na etapie składania wniosków? Jakie były przyczyny wycofywania projektów? Czy procedury naboru i </w:t>
            </w:r>
            <w:r w:rsidRPr="005D2FC4">
              <w:rPr>
                <w:rFonts w:asciiTheme="minorHAnsi" w:hAnsiTheme="minorHAnsi" w:cstheme="minorHAnsi"/>
                <w:b w:val="0"/>
                <w:bCs w:val="0"/>
                <w:szCs w:val="24"/>
              </w:rPr>
              <w:lastRenderedPageBreak/>
              <w:t>wyboru projektów niekonkurencyjnych są dostosowane do ich specyfiki i czy wpływają na skuteczność aplikowania?</w:t>
            </w:r>
          </w:p>
        </w:tc>
        <w:tc>
          <w:tcPr>
            <w:tcW w:w="6515" w:type="dxa"/>
          </w:tcPr>
          <w:p w14:paraId="27DB57E2" w14:textId="2EA22A9B" w:rsidR="00D97666" w:rsidRDefault="00D97666"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266D73ED">
              <w:rPr>
                <w:rFonts w:asciiTheme="minorHAnsi" w:eastAsia="Calibri" w:hAnsiTheme="minorHAnsi" w:cstheme="minorBidi"/>
              </w:rPr>
              <w:lastRenderedPageBreak/>
              <w:t xml:space="preserve">W przypadku </w:t>
            </w:r>
            <w:r>
              <w:rPr>
                <w:rFonts w:asciiTheme="minorHAnsi" w:eastAsia="Calibri" w:hAnsiTheme="minorHAnsi" w:cstheme="minorBidi"/>
              </w:rPr>
              <w:t xml:space="preserve">analizowanych 6 </w:t>
            </w:r>
            <w:r w:rsidRPr="266D73ED">
              <w:rPr>
                <w:rFonts w:asciiTheme="minorHAnsi" w:eastAsia="Calibri" w:hAnsiTheme="minorHAnsi" w:cstheme="minorBidi"/>
              </w:rPr>
              <w:t>naborów</w:t>
            </w:r>
            <w:r>
              <w:rPr>
                <w:rFonts w:asciiTheme="minorHAnsi" w:eastAsia="Calibri" w:hAnsiTheme="minorHAnsi" w:cstheme="minorBidi"/>
              </w:rPr>
              <w:t xml:space="preserve">, w których stosowano </w:t>
            </w:r>
            <w:r w:rsidRPr="266D73ED">
              <w:rPr>
                <w:rFonts w:asciiTheme="minorHAnsi" w:eastAsia="Calibri" w:hAnsiTheme="minorHAnsi" w:cstheme="minorBidi"/>
              </w:rPr>
              <w:t>niekonkurencyjny</w:t>
            </w:r>
            <w:r>
              <w:rPr>
                <w:rFonts w:asciiTheme="minorHAnsi" w:eastAsia="Calibri" w:hAnsiTheme="minorHAnsi" w:cstheme="minorBidi"/>
              </w:rPr>
              <w:t xml:space="preserve"> sposób wyboru projektów, przyczyny niskiej skuteczności </w:t>
            </w:r>
            <w:r w:rsidRPr="55F8BE54">
              <w:rPr>
                <w:rFonts w:eastAsia="Tahoma" w:cs="Tahoma"/>
                <w:szCs w:val="24"/>
              </w:rPr>
              <w:t xml:space="preserve">miały charakter </w:t>
            </w:r>
            <w:r>
              <w:rPr>
                <w:rFonts w:eastAsia="Tahoma" w:cs="Tahoma"/>
                <w:szCs w:val="24"/>
              </w:rPr>
              <w:t>indywidualny (np. konieczność pogłębionej analizy otoczenia prawnego, zmiany organizacyjne po stronie wnioskodawcy, problemy z rozstrzygnięciem postępowań przetargowych, błędy formalne w dokumentacji projektowej</w:t>
            </w:r>
            <w:r w:rsidR="00107ED1">
              <w:rPr>
                <w:rFonts w:eastAsia="Tahoma" w:cs="Tahoma"/>
                <w:szCs w:val="24"/>
              </w:rPr>
              <w:t>, podział projektu na dwa etapy</w:t>
            </w:r>
            <w:r w:rsidR="00C11103">
              <w:rPr>
                <w:rFonts w:eastAsia="Tahoma" w:cs="Tahoma"/>
                <w:szCs w:val="24"/>
              </w:rPr>
              <w:t xml:space="preserve"> – dwa osobne WoD</w:t>
            </w:r>
            <w:r>
              <w:rPr>
                <w:rFonts w:eastAsia="Tahoma" w:cs="Tahoma"/>
                <w:szCs w:val="24"/>
              </w:rPr>
              <w:t>) i nie miały związku z procedurami stosowanymi w ramach niekonkurencyjnego sposobu wyboru projektów.</w:t>
            </w:r>
            <w:r w:rsidRPr="266D73ED">
              <w:rPr>
                <w:rFonts w:asciiTheme="minorHAnsi" w:eastAsia="Calibri" w:hAnsiTheme="minorHAnsi" w:cstheme="minorBidi"/>
              </w:rPr>
              <w:t xml:space="preserve"> </w:t>
            </w:r>
          </w:p>
          <w:p w14:paraId="36EFBFB5" w14:textId="183AFB4F" w:rsidR="00D97666" w:rsidRDefault="0011342B" w:rsidP="00787228">
            <w:pPr>
              <w:cnfStyle w:val="000000100000" w:firstRow="0" w:lastRow="0" w:firstColumn="0" w:lastColumn="0" w:oddVBand="0" w:evenVBand="0" w:oddHBand="1" w:evenHBand="0" w:firstRowFirstColumn="0" w:firstRowLastColumn="0" w:lastRowFirstColumn="0" w:lastRowLastColumn="0"/>
              <w:rPr>
                <w:rFonts w:eastAsia="Tahoma" w:cs="Tahoma"/>
                <w:szCs w:val="24"/>
              </w:rPr>
            </w:pPr>
            <w:r>
              <w:rPr>
                <w:rFonts w:eastAsia="Tahoma" w:cs="Tahoma"/>
                <w:szCs w:val="24"/>
              </w:rPr>
              <w:t>Z</w:t>
            </w:r>
            <w:r w:rsidRPr="55F8BE54">
              <w:rPr>
                <w:rFonts w:eastAsia="Tahoma" w:cs="Tahoma"/>
                <w:szCs w:val="24"/>
              </w:rPr>
              <w:t>identyfikowa</w:t>
            </w:r>
            <w:r>
              <w:rPr>
                <w:rFonts w:eastAsia="Tahoma" w:cs="Tahoma"/>
                <w:szCs w:val="24"/>
              </w:rPr>
              <w:t>no</w:t>
            </w:r>
            <w:r w:rsidRPr="55F8BE54">
              <w:rPr>
                <w:rFonts w:eastAsia="Tahoma" w:cs="Tahoma"/>
                <w:szCs w:val="24"/>
              </w:rPr>
              <w:t xml:space="preserve"> </w:t>
            </w:r>
            <w:r w:rsidRPr="003B67BA">
              <w:rPr>
                <w:rFonts w:eastAsia="Tahoma" w:cs="Tahoma"/>
                <w:szCs w:val="24"/>
              </w:rPr>
              <w:t>kilka kwestii problemowych, które mają wpływ na skuteczność i efektywność niekonkurencyjnego sposobu wyboru projektów</w:t>
            </w:r>
            <w:r>
              <w:rPr>
                <w:rFonts w:eastAsia="Tahoma" w:cs="Tahoma"/>
                <w:szCs w:val="24"/>
              </w:rPr>
              <w:t>. Należą do nich:</w:t>
            </w:r>
          </w:p>
          <w:p w14:paraId="59BAE51C" w14:textId="77777777" w:rsidR="00764379" w:rsidRPr="00077CA0"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szCs w:val="24"/>
              </w:rPr>
            </w:pPr>
            <w:r w:rsidRPr="00077CA0">
              <w:rPr>
                <w:rFonts w:asciiTheme="minorHAnsi" w:eastAsia="Calibri" w:hAnsiTheme="minorHAnsi" w:cstheme="minorBidi"/>
                <w:szCs w:val="24"/>
              </w:rPr>
              <w:lastRenderedPageBreak/>
              <w:t>Niewystarczający (w części przypadków) stopień zaangażowania pracowników departamentów merytorycznych w konsultowanie fiszek przygotowywanych przez jednostki podległe tym departamentom.</w:t>
            </w:r>
          </w:p>
          <w:p w14:paraId="6ED1703C" w14:textId="2050E055" w:rsidR="0011342B"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00077CA0">
              <w:rPr>
                <w:rFonts w:asciiTheme="minorHAnsi" w:eastAsia="Calibri" w:hAnsiTheme="minorHAnsi" w:cstheme="minorBidi"/>
                <w:szCs w:val="24"/>
              </w:rPr>
              <w:t>Brak możliwości dwukrotnej poprawy błędów na etapie oceny WoD.</w:t>
            </w:r>
          </w:p>
          <w:p w14:paraId="062C6CF3" w14:textId="3A320AA0" w:rsidR="00764379" w:rsidRPr="00764379" w:rsidRDefault="00764379" w:rsidP="00764379">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szCs w:val="24"/>
              </w:rPr>
            </w:pPr>
            <w:r w:rsidRPr="00764379">
              <w:rPr>
                <w:rFonts w:asciiTheme="minorHAnsi" w:eastAsia="Calibri" w:hAnsiTheme="minorHAnsi" w:cstheme="minorBidi"/>
                <w:szCs w:val="24"/>
              </w:rPr>
              <w:t xml:space="preserve">Brak doświadczenia części wnioskodawców w aplikowaniu/ realizacji projektów niekonkurencyjnych/ pozakonkursowych (np. w ramach RPO </w:t>
            </w:r>
            <w:r w:rsidR="004A08C7">
              <w:rPr>
                <w:rFonts w:asciiTheme="minorHAnsi" w:eastAsia="Calibri" w:hAnsiTheme="minorHAnsi" w:cstheme="minorBidi"/>
                <w:szCs w:val="24"/>
              </w:rPr>
              <w:t>WK-P</w:t>
            </w:r>
            <w:r w:rsidRPr="00764379">
              <w:rPr>
                <w:rFonts w:asciiTheme="minorHAnsi" w:eastAsia="Calibri" w:hAnsiTheme="minorHAnsi" w:cstheme="minorBidi"/>
                <w:szCs w:val="24"/>
              </w:rPr>
              <w:t xml:space="preserve"> 2014-2020)</w:t>
            </w:r>
          </w:p>
          <w:p w14:paraId="36055A40" w14:textId="57A3B92E" w:rsidR="00F1009C" w:rsidRPr="005D2FC4" w:rsidRDefault="00764379" w:rsidP="00077CA0">
            <w:pPr>
              <w:pStyle w:val="Akapitzlist"/>
              <w:numPr>
                <w:ilvl w:val="0"/>
                <w:numId w:val="13"/>
              </w:numPr>
              <w:spacing w:before="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Bidi"/>
              </w:rPr>
            </w:pPr>
            <w:r w:rsidRPr="00764379">
              <w:rPr>
                <w:rFonts w:asciiTheme="minorHAnsi" w:eastAsia="Calibri" w:hAnsiTheme="minorHAnsi" w:cstheme="minorBidi"/>
                <w:szCs w:val="24"/>
              </w:rPr>
              <w:t>Problemy w zakresie dostępności szkoleń dla wnioskodawców niekonkurencyjnych, którymi są komórki organizacyjne UMWKP nienależące do struktur IZ FEdKP 2021-2027 (nie mogą być finansowane z pomocy technicznej).</w:t>
            </w:r>
          </w:p>
        </w:tc>
      </w:tr>
      <w:tr w:rsidR="00F1009C" w:rsidRPr="005D2FC4" w14:paraId="19F5B263"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47F11A11" w14:textId="3FEF0B2E"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Jakie działania zaradcze podjęto do tej pory, aby zwiększyć zainteresowanie dotychczas ogłoszonymi naborami?</w:t>
            </w:r>
          </w:p>
        </w:tc>
        <w:tc>
          <w:tcPr>
            <w:tcW w:w="6515" w:type="dxa"/>
          </w:tcPr>
          <w:p w14:paraId="3F2A1224" w14:textId="77777777"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IZ FEdKP 2021-2027 podejmowała działania, których celem miało być zwiększenie zainteresowania aplikowaniem i/lub ułatwienie tego procesu. Część z tych działań zostało wprowadzone od samego początku wdrażania Programu. Do takich działań/ rozwiązań można zaliczyć:</w:t>
            </w:r>
          </w:p>
          <w:p w14:paraId="4C06B463" w14:textId="1471E70A"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spotkania i konsultacje pracowników IZ z przedstawicielami partnerstw – zarówno przed, jak i po uruchomieniu naborów w ramach polityki terytorialnej. Ich celem było wyjaśnianie ewentualnych wątpliwości, identyfikowanie problemów i możliwych usprawnień/ zmian;</w:t>
            </w:r>
          </w:p>
          <w:p w14:paraId="3843147B" w14:textId="77777777"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elastyczne brzmienie kryterium „Zgodność z właściwą strategią IIT dla OPPT” / „Zgodność z właściwą strategią ZIT” – dopuszczenie do aplikowania projektów partnerstw, których strategie terytorialne nie zostały jeszcze zatwierdzone;</w:t>
            </w:r>
          </w:p>
          <w:p w14:paraId="00757659" w14:textId="70B91E8E" w:rsidR="00F1009C" w:rsidRPr="005D2FC4" w:rsidRDefault="00A94ADE"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A94ADE">
              <w:rPr>
                <w:rFonts w:asciiTheme="minorHAnsi" w:hAnsiTheme="minorHAnsi" w:cstheme="minorHAnsi"/>
                <w:szCs w:val="24"/>
              </w:rPr>
              <w:t>możliwość aktualizowania list projektów w porozumieniach terytorialnych, w tym fiszek projektowych stanowiących załącznik do porozumień, a dopiero w dalszej kolejności wymaganie aktualizacji strategii terytorialnych, które to stanowią warunek zawarcia umów o dofinansowanie projektów</w:t>
            </w:r>
            <w:r w:rsidR="00F1009C" w:rsidRPr="005D2FC4">
              <w:rPr>
                <w:rFonts w:asciiTheme="minorHAnsi" w:hAnsiTheme="minorHAnsi" w:cstheme="minorHAnsi"/>
                <w:szCs w:val="24"/>
              </w:rPr>
              <w:t>;</w:t>
            </w:r>
          </w:p>
          <w:p w14:paraId="3549E8A2" w14:textId="08D62912" w:rsidR="00F1009C" w:rsidRPr="005D2FC4" w:rsidRDefault="004318DE"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4318DE">
              <w:rPr>
                <w:rFonts w:asciiTheme="minorHAnsi" w:hAnsiTheme="minorHAnsi" w:cstheme="minorHAnsi"/>
                <w:szCs w:val="24"/>
              </w:rPr>
              <w:lastRenderedPageBreak/>
              <w:t>możliwość uzyskania przez partnerstwa zgody od IZ na przesunięcie środków (alokacji) pomiędzy poszczególnymi celami szczegółowymi w ramach tego samego Celu Polityki</w:t>
            </w:r>
            <w:r w:rsidR="00F1009C" w:rsidRPr="005D2FC4">
              <w:rPr>
                <w:rFonts w:asciiTheme="minorHAnsi" w:hAnsiTheme="minorHAnsi" w:cstheme="minorHAnsi"/>
                <w:szCs w:val="24"/>
              </w:rPr>
              <w:t>;</w:t>
            </w:r>
          </w:p>
          <w:p w14:paraId="0781CF2D" w14:textId="6F6E6072" w:rsidR="00F1009C" w:rsidRPr="005D2FC4" w:rsidRDefault="00F1009C" w:rsidP="00787228">
            <w:pPr>
              <w:pStyle w:val="Akapitzlist"/>
              <w:numPr>
                <w:ilvl w:val="0"/>
                <w:numId w:val="39"/>
              </w:numPr>
              <w:spacing w:before="0" w:after="16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24"/>
              </w:rPr>
            </w:pPr>
            <w:r w:rsidRPr="005D2FC4">
              <w:rPr>
                <w:rFonts w:asciiTheme="minorHAnsi" w:hAnsiTheme="minorHAnsi" w:cstheme="minorHAnsi"/>
                <w:szCs w:val="24"/>
              </w:rPr>
              <w:t>odstąpienie od zasady „maksymalnie 2 naborów na 1 obszar tematyczny”</w:t>
            </w:r>
            <w:r w:rsidR="00857877">
              <w:rPr>
                <w:rFonts w:asciiTheme="minorHAnsi" w:hAnsiTheme="minorHAnsi" w:cstheme="minorHAnsi"/>
                <w:szCs w:val="24"/>
              </w:rPr>
              <w:t xml:space="preserve"> (zastąpienie naborów tzw. ciągłych naborami krótkimi/ celowanymi)</w:t>
            </w:r>
            <w:r w:rsidRPr="005D2FC4">
              <w:rPr>
                <w:rFonts w:asciiTheme="minorHAnsi" w:hAnsiTheme="minorHAnsi" w:cstheme="minorHAnsi"/>
                <w:szCs w:val="24"/>
              </w:rPr>
              <w:t>.</w:t>
            </w:r>
          </w:p>
        </w:tc>
      </w:tr>
      <w:tr w:rsidR="00F1009C" w:rsidRPr="005D2FC4" w14:paraId="539C006C"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1C94CEC" w14:textId="4489ABE2"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 xml:space="preserve">Jakie zmiany w procesie aplikacyjnym mogłyby przyczynić się do zwiększenia zainteresowania naborami? </w:t>
            </w:r>
          </w:p>
        </w:tc>
        <w:tc>
          <w:tcPr>
            <w:tcW w:w="6515" w:type="dxa"/>
          </w:tcPr>
          <w:p w14:paraId="0EB1D90B" w14:textId="23A57001" w:rsidR="00F1009C" w:rsidRPr="005D2FC4" w:rsidRDefault="000E22C1" w:rsidP="00787228">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Z</w:t>
            </w:r>
            <w:r w:rsidR="00F1009C" w:rsidRPr="005D2FC4">
              <w:rPr>
                <w:rFonts w:asciiTheme="minorHAnsi" w:eastAsia="Calibri" w:hAnsiTheme="minorHAnsi" w:cstheme="minorHAnsi"/>
                <w:szCs w:val="24"/>
              </w:rPr>
              <w:t>miany w procesie aplikacyjnym, które mogłyby zwiększyć zainteresowanie naborami FEdKP 2021-2027, obejmują:</w:t>
            </w:r>
          </w:p>
          <w:p w14:paraId="57E03105" w14:textId="1C771E68"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Poprawę komunikacji i promocji naborów</w:t>
            </w:r>
            <w:r w:rsidRPr="005D2FC4">
              <w:rPr>
                <w:rFonts w:asciiTheme="minorHAnsi" w:eastAsia="Calibri" w:hAnsiTheme="minorHAnsi" w:cstheme="minorHAnsi"/>
                <w:szCs w:val="24"/>
              </w:rPr>
              <w:t xml:space="preserve"> – wprowadzenie bardziej proaktywnych kanałów dotarcia.</w:t>
            </w:r>
          </w:p>
          <w:p w14:paraId="4EC5653B" w14:textId="1AF25834"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Lepsze planowanie harmonogramów</w:t>
            </w:r>
            <w:r w:rsidRPr="005D2FC4">
              <w:rPr>
                <w:rFonts w:asciiTheme="minorHAnsi" w:eastAsia="Calibri" w:hAnsiTheme="minorHAnsi" w:cstheme="minorHAnsi"/>
                <w:szCs w:val="24"/>
              </w:rPr>
              <w:t xml:space="preserve"> – unikanie kumulacji naborów.</w:t>
            </w:r>
          </w:p>
          <w:p w14:paraId="05C96F2A" w14:textId="05C85752" w:rsidR="00F1009C" w:rsidRPr="005D2FC4" w:rsidRDefault="00F67172"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Pr>
                <w:rFonts w:asciiTheme="minorHAnsi" w:eastAsia="Calibri" w:hAnsiTheme="minorHAnsi" w:cstheme="minorHAnsi"/>
                <w:b/>
                <w:bCs/>
                <w:szCs w:val="24"/>
              </w:rPr>
              <w:t>Ułatwienie korzystania z</w:t>
            </w:r>
            <w:r w:rsidRPr="005D2FC4">
              <w:rPr>
                <w:rFonts w:asciiTheme="minorHAnsi" w:eastAsia="Calibri" w:hAnsiTheme="minorHAnsi" w:cstheme="minorHAnsi"/>
                <w:b/>
                <w:bCs/>
                <w:szCs w:val="24"/>
              </w:rPr>
              <w:t xml:space="preserve"> </w:t>
            </w:r>
            <w:r w:rsidR="00F1009C" w:rsidRPr="005D2FC4">
              <w:rPr>
                <w:rFonts w:asciiTheme="minorHAnsi" w:eastAsia="Calibri" w:hAnsiTheme="minorHAnsi" w:cstheme="minorHAnsi"/>
                <w:b/>
                <w:bCs/>
                <w:szCs w:val="24"/>
              </w:rPr>
              <w:t>dokumentacji i kryteriów</w:t>
            </w:r>
            <w:r w:rsidR="00F1009C" w:rsidRPr="005D2FC4">
              <w:rPr>
                <w:rFonts w:asciiTheme="minorHAnsi" w:eastAsia="Calibri" w:hAnsiTheme="minorHAnsi" w:cstheme="minorHAnsi"/>
                <w:szCs w:val="24"/>
              </w:rPr>
              <w:t xml:space="preserve"> –</w:t>
            </w:r>
            <w:r>
              <w:rPr>
                <w:rFonts w:asciiTheme="minorHAnsi" w:eastAsia="Calibri" w:hAnsiTheme="minorHAnsi" w:cstheme="minorHAnsi"/>
                <w:szCs w:val="24"/>
              </w:rPr>
              <w:t xml:space="preserve"> </w:t>
            </w:r>
            <w:r w:rsidR="00F1009C" w:rsidRPr="005D2FC4">
              <w:rPr>
                <w:rFonts w:asciiTheme="minorHAnsi" w:eastAsia="Calibri" w:hAnsiTheme="minorHAnsi" w:cstheme="minorHAnsi"/>
                <w:szCs w:val="24"/>
              </w:rPr>
              <w:t xml:space="preserve">wprowadzenie przejrzystych oznaczeń zmian w regulaminach oraz praktycznych instrukcji </w:t>
            </w:r>
            <w:r>
              <w:rPr>
                <w:rFonts w:asciiTheme="minorHAnsi" w:eastAsia="Calibri" w:hAnsiTheme="minorHAnsi" w:cstheme="minorHAnsi"/>
                <w:szCs w:val="24"/>
              </w:rPr>
              <w:t xml:space="preserve">wypełniania wniosku o dofinansowanie </w:t>
            </w:r>
            <w:r w:rsidR="00F1009C" w:rsidRPr="005D2FC4">
              <w:rPr>
                <w:rFonts w:asciiTheme="minorHAnsi" w:eastAsia="Calibri" w:hAnsiTheme="minorHAnsi" w:cstheme="minorHAnsi"/>
                <w:szCs w:val="24"/>
              </w:rPr>
              <w:t>z przykładami</w:t>
            </w:r>
            <w:r>
              <w:rPr>
                <w:rFonts w:asciiTheme="minorHAnsi" w:eastAsia="Calibri" w:hAnsiTheme="minorHAnsi" w:cstheme="minorHAnsi"/>
                <w:szCs w:val="24"/>
              </w:rPr>
              <w:t xml:space="preserve"> (ponad </w:t>
            </w:r>
            <w:r w:rsidR="005012E1">
              <w:rPr>
                <w:rFonts w:asciiTheme="minorHAnsi" w:eastAsia="Calibri" w:hAnsiTheme="minorHAnsi" w:cstheme="minorHAnsi"/>
                <w:szCs w:val="24"/>
              </w:rPr>
              <w:t>instrukcje przygotowane przez MFiPR)</w:t>
            </w:r>
            <w:r w:rsidR="00F1009C" w:rsidRPr="005D2FC4">
              <w:rPr>
                <w:rFonts w:asciiTheme="minorHAnsi" w:eastAsia="Calibri" w:hAnsiTheme="minorHAnsi" w:cstheme="minorHAnsi"/>
                <w:szCs w:val="24"/>
              </w:rPr>
              <w:t>.</w:t>
            </w:r>
          </w:p>
          <w:p w14:paraId="22989BC1" w14:textId="118C089B" w:rsidR="00F1009C" w:rsidRPr="005D2FC4" w:rsidRDefault="00F1009C" w:rsidP="00787228">
            <w:pPr>
              <w:numPr>
                <w:ilvl w:val="0"/>
                <w:numId w:val="36"/>
              </w:numPr>
              <w:tabs>
                <w:tab w:val="num" w:pos="720"/>
              </w:tabs>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Rozszerzenie wsparcia merytorycznego</w:t>
            </w:r>
            <w:r w:rsidRPr="005D2FC4">
              <w:rPr>
                <w:rFonts w:asciiTheme="minorHAnsi" w:eastAsia="Calibri" w:hAnsiTheme="minorHAnsi" w:cstheme="minorHAnsi"/>
                <w:szCs w:val="24"/>
              </w:rPr>
              <w:t xml:space="preserve"> – organizacja szkoleń praktycznych przy każdej edycji naboru, indywidualne konsultacje dla nowych i mniej doświadczonych wnioskodawców, a także udostępnianie dobrych praktyk.</w:t>
            </w:r>
          </w:p>
        </w:tc>
      </w:tr>
      <w:tr w:rsidR="00F1009C" w:rsidRPr="005D2FC4" w14:paraId="5477693E" w14:textId="77777777" w:rsidTr="00D45031">
        <w:tc>
          <w:tcPr>
            <w:cnfStyle w:val="001000000000" w:firstRow="0" w:lastRow="0" w:firstColumn="1" w:lastColumn="0" w:oddVBand="0" w:evenVBand="0" w:oddHBand="0" w:evenHBand="0" w:firstRowFirstColumn="0" w:firstRowLastColumn="0" w:lastRowFirstColumn="0" w:lastRowLastColumn="0"/>
            <w:tcW w:w="2547" w:type="dxa"/>
          </w:tcPr>
          <w:p w14:paraId="22C920C1" w14:textId="7093E1A7"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t xml:space="preserve">Jakie działania można podjąć, aby zwiększyć zainteresowanie przyszłymi naborami? </w:t>
            </w:r>
          </w:p>
        </w:tc>
        <w:tc>
          <w:tcPr>
            <w:tcW w:w="6515" w:type="dxa"/>
          </w:tcPr>
          <w:p w14:paraId="3218FDA8" w14:textId="6EC24FE8" w:rsidR="00F1009C" w:rsidRPr="005D2FC4" w:rsidRDefault="00F1009C" w:rsidP="00787228">
            <w:p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szCs w:val="24"/>
              </w:rPr>
              <w:t>Aby zwiększyć zainteresowanie przyszłymi naborami FEdKP 2021-2027, warto:</w:t>
            </w:r>
          </w:p>
          <w:p w14:paraId="03C7E42F" w14:textId="4432D09D"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Zintensyfikować działania informacyjne i promocyjne</w:t>
            </w:r>
            <w:r w:rsidRPr="005D2FC4">
              <w:rPr>
                <w:rFonts w:asciiTheme="minorHAnsi" w:eastAsia="Calibri" w:hAnsiTheme="minorHAnsi" w:cstheme="minorHAnsi"/>
                <w:szCs w:val="24"/>
              </w:rPr>
              <w:t xml:space="preserve"> – prowadzić aktywną kampanię skierowaną do nowych i mniej aktywnych wnioskodawców, z wykorzystaniem </w:t>
            </w:r>
            <w:r w:rsidR="00CA3D5B">
              <w:rPr>
                <w:rFonts w:asciiTheme="minorHAnsi" w:eastAsia="Calibri" w:hAnsiTheme="minorHAnsi" w:cstheme="minorHAnsi"/>
                <w:szCs w:val="24"/>
              </w:rPr>
              <w:t>bezpośrednich</w:t>
            </w:r>
            <w:r w:rsidR="00CA3D5B" w:rsidRPr="005D2FC4">
              <w:rPr>
                <w:rFonts w:asciiTheme="minorHAnsi" w:eastAsia="Calibri" w:hAnsiTheme="minorHAnsi" w:cstheme="minorHAnsi"/>
                <w:szCs w:val="24"/>
              </w:rPr>
              <w:t xml:space="preserve"> </w:t>
            </w:r>
            <w:r w:rsidRPr="005D2FC4">
              <w:rPr>
                <w:rFonts w:asciiTheme="minorHAnsi" w:eastAsia="Calibri" w:hAnsiTheme="minorHAnsi" w:cstheme="minorHAnsi"/>
                <w:szCs w:val="24"/>
              </w:rPr>
              <w:t>kanałów komunikacji</w:t>
            </w:r>
            <w:r w:rsidR="00CA3D5B">
              <w:rPr>
                <w:rFonts w:asciiTheme="minorHAnsi" w:eastAsia="Calibri" w:hAnsiTheme="minorHAnsi" w:cstheme="minorHAnsi"/>
                <w:szCs w:val="24"/>
              </w:rPr>
              <w:t xml:space="preserve"> (newsletter, mailing</w:t>
            </w:r>
            <w:r w:rsidR="00F56A36">
              <w:rPr>
                <w:rFonts w:asciiTheme="minorHAnsi" w:eastAsia="Calibri" w:hAnsiTheme="minorHAnsi" w:cstheme="minorHAnsi"/>
                <w:szCs w:val="24"/>
              </w:rPr>
              <w:t>)</w:t>
            </w:r>
            <w:r w:rsidRPr="005D2FC4">
              <w:rPr>
                <w:rFonts w:asciiTheme="minorHAnsi" w:eastAsia="Calibri" w:hAnsiTheme="minorHAnsi" w:cstheme="minorHAnsi"/>
                <w:szCs w:val="24"/>
              </w:rPr>
              <w:t>.</w:t>
            </w:r>
          </w:p>
          <w:p w14:paraId="095FFF06" w14:textId="34A13B01"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Uprościć proces aplikacyjny</w:t>
            </w:r>
            <w:r w:rsidRPr="005D2FC4">
              <w:rPr>
                <w:rFonts w:asciiTheme="minorHAnsi" w:eastAsia="Calibri" w:hAnsiTheme="minorHAnsi" w:cstheme="minorHAnsi"/>
                <w:szCs w:val="24"/>
              </w:rPr>
              <w:t xml:space="preserve"> – </w:t>
            </w:r>
            <w:r w:rsidR="00313EE4">
              <w:rPr>
                <w:rFonts w:asciiTheme="minorHAnsi" w:eastAsia="Calibri" w:hAnsiTheme="minorHAnsi" w:cstheme="minorHAnsi"/>
                <w:szCs w:val="24"/>
              </w:rPr>
              <w:t xml:space="preserve">opracować </w:t>
            </w:r>
            <w:r w:rsidR="009F33E7">
              <w:rPr>
                <w:rFonts w:asciiTheme="minorHAnsi" w:eastAsia="Calibri" w:hAnsiTheme="minorHAnsi" w:cstheme="minorHAnsi"/>
                <w:szCs w:val="24"/>
              </w:rPr>
              <w:t>praktyczne i merytoryczne</w:t>
            </w:r>
            <w:r w:rsidRPr="005D2FC4">
              <w:rPr>
                <w:rFonts w:asciiTheme="minorHAnsi" w:eastAsia="Calibri" w:hAnsiTheme="minorHAnsi" w:cstheme="minorHAnsi"/>
                <w:szCs w:val="24"/>
              </w:rPr>
              <w:t xml:space="preserve"> instrukcje wypełniania WoD z przykładami.</w:t>
            </w:r>
          </w:p>
          <w:p w14:paraId="1393CBD5" w14:textId="47C82BBC" w:rsidR="00F1009C" w:rsidRPr="005D2FC4" w:rsidRDefault="00F1009C" w:rsidP="00787228">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szCs w:val="24"/>
              </w:rPr>
            </w:pPr>
            <w:r w:rsidRPr="005D2FC4">
              <w:rPr>
                <w:rFonts w:asciiTheme="minorHAnsi" w:eastAsia="Calibri" w:hAnsiTheme="minorHAnsi" w:cstheme="minorHAnsi"/>
                <w:b/>
                <w:bCs/>
                <w:szCs w:val="24"/>
              </w:rPr>
              <w:t>Zapewnić większe wsparcie merytoryczne</w:t>
            </w:r>
            <w:r w:rsidRPr="005D2FC4">
              <w:rPr>
                <w:rFonts w:asciiTheme="minorHAnsi" w:eastAsia="Calibri" w:hAnsiTheme="minorHAnsi" w:cstheme="minorHAnsi"/>
                <w:szCs w:val="24"/>
              </w:rPr>
              <w:t xml:space="preserve"> – organizować szkolenia praktyczne dla każdego naboru, </w:t>
            </w:r>
            <w:r w:rsidRPr="005D2FC4">
              <w:rPr>
                <w:rFonts w:asciiTheme="minorHAnsi" w:eastAsia="Calibri" w:hAnsiTheme="minorHAnsi" w:cstheme="minorHAnsi"/>
                <w:szCs w:val="24"/>
              </w:rPr>
              <w:lastRenderedPageBreak/>
              <w:t xml:space="preserve">prowadzić indywidualne konsultacje oraz odpowiednio wcześnie </w:t>
            </w:r>
            <w:r w:rsidR="0029337F" w:rsidRPr="005D2FC4">
              <w:rPr>
                <w:rFonts w:asciiTheme="minorHAnsi" w:eastAsia="Calibri" w:hAnsiTheme="minorHAnsi" w:cstheme="minorHAnsi"/>
                <w:szCs w:val="24"/>
              </w:rPr>
              <w:t>publikować</w:t>
            </w:r>
            <w:r w:rsidRPr="005D2FC4">
              <w:rPr>
                <w:rFonts w:asciiTheme="minorHAnsi" w:eastAsia="Calibri" w:hAnsiTheme="minorHAnsi" w:cstheme="minorHAnsi"/>
                <w:szCs w:val="24"/>
              </w:rPr>
              <w:t xml:space="preserve"> Q&amp;A.</w:t>
            </w:r>
          </w:p>
          <w:p w14:paraId="068F6036" w14:textId="6542B83E" w:rsidR="00065229" w:rsidRDefault="00F1009C" w:rsidP="00403F14">
            <w:pPr>
              <w:numPr>
                <w:ilvl w:val="0"/>
                <w:numId w:val="37"/>
              </w:numPr>
              <w:tabs>
                <w:tab w:val="num" w:pos="720"/>
              </w:tabs>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54A7C634">
              <w:rPr>
                <w:rFonts w:asciiTheme="minorHAnsi" w:eastAsia="Calibri" w:hAnsiTheme="minorHAnsi" w:cstheme="minorBidi"/>
                <w:b/>
              </w:rPr>
              <w:t>W przypadku naborów niekonkurencyjnych</w:t>
            </w:r>
            <w:r w:rsidRPr="54A7C634">
              <w:rPr>
                <w:rFonts w:asciiTheme="minorHAnsi" w:eastAsia="Calibri" w:hAnsiTheme="minorHAnsi" w:cstheme="minorBidi"/>
              </w:rPr>
              <w:t xml:space="preserve"> </w:t>
            </w:r>
            <w:r w:rsidR="00065229">
              <w:rPr>
                <w:rFonts w:asciiTheme="minorHAnsi" w:eastAsia="Calibri" w:hAnsiTheme="minorHAnsi" w:cstheme="minorBidi"/>
              </w:rPr>
              <w:t>warto:</w:t>
            </w:r>
            <w:r w:rsidRPr="54A7C634">
              <w:rPr>
                <w:rFonts w:asciiTheme="minorHAnsi" w:eastAsia="Calibri" w:hAnsiTheme="minorHAnsi" w:cstheme="minorBidi"/>
              </w:rPr>
              <w:t xml:space="preserve"> </w:t>
            </w:r>
          </w:p>
          <w:p w14:paraId="067D2613" w14:textId="77777777" w:rsidR="0018490E" w:rsidRDefault="00A71366"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00403F14">
              <w:rPr>
                <w:rFonts w:asciiTheme="minorHAnsi" w:eastAsia="Calibri" w:hAnsiTheme="minorHAnsi" w:cstheme="minorBidi"/>
              </w:rPr>
              <w:t>z</w:t>
            </w:r>
            <w:r w:rsidR="00E241DC" w:rsidRPr="00403F14">
              <w:rPr>
                <w:rFonts w:asciiTheme="minorHAnsi" w:eastAsia="Calibri" w:hAnsiTheme="minorHAnsi" w:cstheme="minorBidi"/>
              </w:rPr>
              <w:t>apewni</w:t>
            </w:r>
            <w:r w:rsidRPr="00403F14">
              <w:rPr>
                <w:rFonts w:asciiTheme="minorHAnsi" w:eastAsia="Calibri" w:hAnsiTheme="minorHAnsi" w:cstheme="minorBidi"/>
              </w:rPr>
              <w:t>ć</w:t>
            </w:r>
            <w:r w:rsidR="00E241DC" w:rsidRPr="00403F14">
              <w:rPr>
                <w:rFonts w:asciiTheme="minorHAnsi" w:eastAsia="Calibri" w:hAnsiTheme="minorHAnsi" w:cstheme="minorBidi"/>
              </w:rPr>
              <w:t xml:space="preserve"> większ</w:t>
            </w:r>
            <w:r w:rsidRPr="00403F14">
              <w:rPr>
                <w:rFonts w:asciiTheme="minorHAnsi" w:eastAsia="Calibri" w:hAnsiTheme="minorHAnsi" w:cstheme="minorBidi"/>
              </w:rPr>
              <w:t>ą</w:t>
            </w:r>
            <w:r w:rsidR="00E241DC" w:rsidRPr="00403F14">
              <w:rPr>
                <w:rFonts w:asciiTheme="minorHAnsi" w:eastAsia="Calibri" w:hAnsiTheme="minorHAnsi" w:cstheme="minorBidi"/>
              </w:rPr>
              <w:t xml:space="preserve"> dostępnoś</w:t>
            </w:r>
            <w:r w:rsidRPr="00403F14">
              <w:rPr>
                <w:rFonts w:asciiTheme="minorHAnsi" w:eastAsia="Calibri" w:hAnsiTheme="minorHAnsi" w:cstheme="minorBidi"/>
              </w:rPr>
              <w:t>ć</w:t>
            </w:r>
            <w:r w:rsidR="00E241DC" w:rsidRPr="00403F14">
              <w:rPr>
                <w:rFonts w:asciiTheme="minorHAnsi" w:eastAsia="Calibri" w:hAnsiTheme="minorHAnsi" w:cstheme="minorBidi"/>
              </w:rPr>
              <w:t xml:space="preserve"> i zaangażowani</w:t>
            </w:r>
            <w:r w:rsidRPr="00403F14">
              <w:rPr>
                <w:rFonts w:asciiTheme="minorHAnsi" w:eastAsia="Calibri" w:hAnsiTheme="minorHAnsi" w:cstheme="minorBidi"/>
              </w:rPr>
              <w:t>e</w:t>
            </w:r>
            <w:r w:rsidR="00E241DC" w:rsidRPr="00403F14">
              <w:rPr>
                <w:rFonts w:asciiTheme="minorHAnsi" w:eastAsia="Calibri" w:hAnsiTheme="minorHAnsi" w:cstheme="minorBidi"/>
              </w:rPr>
              <w:t xml:space="preserve"> pracowników departamentów merytorycznych UMWKP w proces konsultowania/ weryfikowania formularzy zgłoszeniowych (fiszek projektowych) przygotowywanych przez jednostki podległe tym departamentom</w:t>
            </w:r>
            <w:r w:rsidRPr="00403F14">
              <w:rPr>
                <w:rFonts w:asciiTheme="minorHAnsi" w:eastAsia="Calibri" w:hAnsiTheme="minorHAnsi" w:cstheme="minorBidi"/>
              </w:rPr>
              <w:t xml:space="preserve">; </w:t>
            </w:r>
          </w:p>
          <w:p w14:paraId="648F833C" w14:textId="77777777" w:rsidR="0018490E" w:rsidRDefault="00403F14"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sidRPr="00403F14">
              <w:rPr>
                <w:rFonts w:asciiTheme="minorHAnsi" w:eastAsia="Calibri" w:hAnsiTheme="minorHAnsi" w:cstheme="minorBidi"/>
              </w:rPr>
              <w:t>rozważyć</w:t>
            </w:r>
            <w:r w:rsidR="00E241DC" w:rsidRPr="00403F14">
              <w:rPr>
                <w:rFonts w:asciiTheme="minorHAnsi" w:eastAsia="Calibri" w:hAnsiTheme="minorHAnsi" w:cstheme="minorBidi"/>
              </w:rPr>
              <w:t xml:space="preserve"> wprowadzeni</w:t>
            </w:r>
            <w:r w:rsidRPr="00403F14">
              <w:rPr>
                <w:rFonts w:asciiTheme="minorHAnsi" w:eastAsia="Calibri" w:hAnsiTheme="minorHAnsi" w:cstheme="minorBidi"/>
              </w:rPr>
              <w:t>e</w:t>
            </w:r>
            <w:r w:rsidR="00E241DC" w:rsidRPr="00403F14">
              <w:rPr>
                <w:rFonts w:asciiTheme="minorHAnsi" w:eastAsia="Calibri" w:hAnsiTheme="minorHAnsi" w:cstheme="minorBidi"/>
              </w:rPr>
              <w:t xml:space="preserve"> możliwości dwukrotnej poprawy błędów na etapie oceny projektów niekonkurencyjnych</w:t>
            </w:r>
            <w:r w:rsidRPr="00403F14">
              <w:rPr>
                <w:rFonts w:asciiTheme="minorHAnsi" w:eastAsia="Calibri" w:hAnsiTheme="minorHAnsi" w:cstheme="minorBidi"/>
              </w:rPr>
              <w:t xml:space="preserve">; </w:t>
            </w:r>
          </w:p>
          <w:p w14:paraId="00679733" w14:textId="3C1694E9" w:rsidR="00F1009C" w:rsidRPr="005D2FC4" w:rsidRDefault="002818BB" w:rsidP="0018490E">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Bidi"/>
              </w:rPr>
            </w:pPr>
            <w:r>
              <w:rPr>
                <w:rFonts w:asciiTheme="minorHAnsi" w:eastAsia="Calibri" w:hAnsiTheme="minorHAnsi" w:cstheme="minorBidi"/>
              </w:rPr>
              <w:t>z</w:t>
            </w:r>
            <w:r w:rsidRPr="002818BB">
              <w:rPr>
                <w:rFonts w:asciiTheme="minorHAnsi" w:eastAsia="Calibri" w:hAnsiTheme="minorHAnsi" w:cstheme="minorBidi"/>
              </w:rPr>
              <w:t>apewni</w:t>
            </w:r>
            <w:r>
              <w:rPr>
                <w:rFonts w:asciiTheme="minorHAnsi" w:eastAsia="Calibri" w:hAnsiTheme="minorHAnsi" w:cstheme="minorBidi"/>
              </w:rPr>
              <w:t>ć</w:t>
            </w:r>
            <w:r w:rsidRPr="002818BB">
              <w:rPr>
                <w:rFonts w:asciiTheme="minorHAnsi" w:eastAsia="Calibri" w:hAnsiTheme="minorHAnsi" w:cstheme="minorBidi"/>
              </w:rPr>
              <w:t xml:space="preserve"> pracownikom departamentów zaangażowanych w realizację projektów niekonkurencyjnych (wnioskodawcy/ beneficjenci Programu), których stanowiska nie są finansowane z Pomocy Technicznej, dostęp do odpowiednich szkoleń. Ich zakres tematyczny powinien być adekwatny do specyfiki wykonywanych zadań związanych z przygotowaniem i realizacją projektów.</w:t>
            </w:r>
          </w:p>
          <w:p w14:paraId="5E34F625" w14:textId="1496009A" w:rsidR="00065229" w:rsidRPr="00065229" w:rsidRDefault="00936780" w:rsidP="00065229">
            <w:pPr>
              <w:pStyle w:val="Akapitzlist"/>
              <w:numPr>
                <w:ilvl w:val="0"/>
                <w:numId w:val="3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sidRPr="005D2FC4">
              <w:rPr>
                <w:rFonts w:asciiTheme="minorHAnsi" w:eastAsia="Calibri" w:hAnsiTheme="minorHAnsi" w:cstheme="minorHAnsi"/>
                <w:b/>
                <w:szCs w:val="24"/>
              </w:rPr>
              <w:t xml:space="preserve">W przypadku polityki terytorialnej </w:t>
            </w:r>
            <w:r w:rsidR="00491DCC" w:rsidRPr="005D2FC4">
              <w:rPr>
                <w:rFonts w:asciiTheme="minorHAnsi" w:eastAsia="Calibri" w:hAnsiTheme="minorHAnsi" w:cstheme="minorHAnsi"/>
                <w:b/>
                <w:szCs w:val="24"/>
              </w:rPr>
              <w:t>(</w:t>
            </w:r>
            <w:r w:rsidR="00065229" w:rsidRPr="00065229">
              <w:rPr>
                <w:rFonts w:asciiTheme="minorHAnsi" w:eastAsia="Calibri" w:hAnsiTheme="minorHAnsi" w:cstheme="minorHAnsi"/>
                <w:b/>
                <w:szCs w:val="24"/>
              </w:rPr>
              <w:t>na potrzeby perspektywy 2028+)</w:t>
            </w:r>
            <w:r w:rsidR="00065229" w:rsidRPr="00065229">
              <w:rPr>
                <w:rFonts w:asciiTheme="minorHAnsi" w:eastAsia="Calibri" w:hAnsiTheme="minorHAnsi" w:cstheme="minorHAnsi"/>
                <w:bCs/>
                <w:szCs w:val="24"/>
              </w:rPr>
              <w:t xml:space="preserve"> warto:</w:t>
            </w:r>
            <w:r w:rsidR="00FB4ADF" w:rsidRPr="005D2FC4">
              <w:rPr>
                <w:rFonts w:asciiTheme="minorHAnsi" w:eastAsia="Calibri" w:hAnsiTheme="minorHAnsi" w:cstheme="minorHAnsi"/>
                <w:bCs/>
                <w:szCs w:val="24"/>
              </w:rPr>
              <w:t xml:space="preserve"> </w:t>
            </w:r>
          </w:p>
          <w:p w14:paraId="30D3C7B4"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Pr>
                <w:rFonts w:asciiTheme="minorHAnsi" w:eastAsia="Calibri" w:hAnsiTheme="minorHAnsi" w:cstheme="minorHAnsi"/>
                <w:bCs/>
                <w:szCs w:val="24"/>
              </w:rPr>
              <w:t>przeprowadzić p</w:t>
            </w:r>
            <w:r w:rsidRPr="002725CA">
              <w:rPr>
                <w:rFonts w:asciiTheme="minorHAnsi" w:eastAsia="Calibri" w:hAnsiTheme="minorHAnsi" w:cstheme="minorHAnsi"/>
                <w:bCs/>
                <w:szCs w:val="24"/>
              </w:rPr>
              <w:t>rzegląd faktycznego zainteresowania poszczególnymi obszarami/ formami wsparcia ujętymi w ramach polityki terytorialnej i zrezygnowa</w:t>
            </w:r>
            <w:r>
              <w:rPr>
                <w:rFonts w:asciiTheme="minorHAnsi" w:eastAsia="Calibri" w:hAnsiTheme="minorHAnsi" w:cstheme="minorHAnsi"/>
                <w:bCs/>
                <w:szCs w:val="24"/>
              </w:rPr>
              <w:t>ć</w:t>
            </w:r>
            <w:r w:rsidRPr="002725CA">
              <w:rPr>
                <w:rFonts w:asciiTheme="minorHAnsi" w:eastAsia="Calibri" w:hAnsiTheme="minorHAnsi" w:cstheme="minorHAnsi"/>
                <w:bCs/>
                <w:szCs w:val="24"/>
              </w:rPr>
              <w:t xml:space="preserve"> z tych obszarów/ form, które w praktyce nie cieszyły się zainteresowaniem ze strony partnerstw terytorialnych. Zalecamy m.in. wyłączenie wsparcia dotyczącego rozwoju przedsiębiorczości / infrastruktury biznesowej z polityki terytorialnej</w:t>
            </w:r>
            <w:r>
              <w:rPr>
                <w:rFonts w:asciiTheme="minorHAnsi" w:eastAsia="Calibri" w:hAnsiTheme="minorHAnsi" w:cstheme="minorHAnsi"/>
                <w:bCs/>
                <w:szCs w:val="24"/>
              </w:rPr>
              <w:t>;</w:t>
            </w:r>
          </w:p>
          <w:p w14:paraId="47A10B33"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sidRPr="00077CA0">
              <w:rPr>
                <w:rFonts w:asciiTheme="minorHAnsi" w:eastAsia="Calibri" w:hAnsiTheme="minorHAnsi" w:cstheme="minorHAnsi"/>
                <w:bCs/>
                <w:szCs w:val="24"/>
              </w:rPr>
              <w:t xml:space="preserve">przeprowadzić analizę zasadności uwzględniania wykazu fiszek projektowych jako załącznika do porozumień terytorialnych. Należy rozważyć wszystkie zalety i wady tego rozwiązania. Alternatywnym rozwiązaniem mogłoby być </w:t>
            </w:r>
            <w:r w:rsidRPr="00077CA0">
              <w:rPr>
                <w:rFonts w:asciiTheme="minorHAnsi" w:eastAsia="Calibri" w:hAnsiTheme="minorHAnsi" w:cstheme="minorHAnsi"/>
                <w:bCs/>
                <w:szCs w:val="24"/>
              </w:rPr>
              <w:lastRenderedPageBreak/>
              <w:t>zamieszczanie w załączniku wyłącznie listy/ wykazu projektów z ich krótkim opisem oraz informacją o tym</w:t>
            </w:r>
            <w:r>
              <w:rPr>
                <w:rFonts w:asciiTheme="minorHAnsi" w:eastAsia="Calibri" w:hAnsiTheme="minorHAnsi" w:cstheme="minorHAnsi"/>
                <w:bCs/>
                <w:szCs w:val="24"/>
              </w:rPr>
              <w:t>,</w:t>
            </w:r>
            <w:r w:rsidRPr="00077CA0">
              <w:rPr>
                <w:rFonts w:asciiTheme="minorHAnsi" w:eastAsia="Calibri" w:hAnsiTheme="minorHAnsi" w:cstheme="minorHAnsi"/>
                <w:bCs/>
                <w:szCs w:val="24"/>
              </w:rPr>
              <w:t xml:space="preserve"> jakie wskaźniki będą realizować</w:t>
            </w:r>
            <w:r>
              <w:rPr>
                <w:rFonts w:asciiTheme="minorHAnsi" w:eastAsia="Calibri" w:hAnsiTheme="minorHAnsi" w:cstheme="minorHAnsi"/>
                <w:bCs/>
                <w:szCs w:val="24"/>
              </w:rPr>
              <w:t>;</w:t>
            </w:r>
          </w:p>
          <w:p w14:paraId="4C097A04" w14:textId="77777777" w:rsidR="00065229"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rPr>
                <w:rFonts w:asciiTheme="minorHAnsi" w:eastAsia="Calibri" w:hAnsiTheme="minorHAnsi" w:cstheme="minorHAnsi"/>
                <w:bCs/>
                <w:szCs w:val="24"/>
              </w:rPr>
              <w:t xml:space="preserve">przeprowadzić </w:t>
            </w:r>
            <w:r w:rsidRPr="00A96EE1">
              <w:rPr>
                <w:rFonts w:asciiTheme="minorHAnsi" w:eastAsia="Calibri" w:hAnsiTheme="minorHAnsi" w:cstheme="minorHAnsi"/>
                <w:bCs/>
                <w:szCs w:val="24"/>
              </w:rPr>
              <w:t>analiz</w:t>
            </w:r>
            <w:r>
              <w:rPr>
                <w:rFonts w:asciiTheme="minorHAnsi" w:eastAsia="Calibri" w:hAnsiTheme="minorHAnsi" w:cstheme="minorHAnsi"/>
                <w:bCs/>
                <w:szCs w:val="24"/>
              </w:rPr>
              <w:t>ę</w:t>
            </w:r>
            <w:r w:rsidRPr="00A96EE1">
              <w:rPr>
                <w:rFonts w:asciiTheme="minorHAnsi" w:eastAsia="Calibri" w:hAnsiTheme="minorHAnsi" w:cstheme="minorHAnsi"/>
                <w:bCs/>
                <w:szCs w:val="24"/>
              </w:rPr>
              <w:t xml:space="preserve"> przyjętych w ramach FEdKP 2021-2027 założeń polityki terytorialnej w zakresie roli poszczególnych interesariuszy na etapie wyboru/ zatwierdzania list projektów do realizacji</w:t>
            </w:r>
            <w:r>
              <w:rPr>
                <w:rFonts w:asciiTheme="minorHAnsi" w:eastAsia="Calibri" w:hAnsiTheme="minorHAnsi" w:cstheme="minorHAnsi"/>
                <w:bCs/>
                <w:szCs w:val="24"/>
              </w:rPr>
              <w:t xml:space="preserve"> (np. można byłoby ograniczyć w tym zakresie rolę IZ, a zwiększyć odpowiedzialność liderów partnerstw)</w:t>
            </w:r>
            <w:r w:rsidRPr="00A96EE1">
              <w:rPr>
                <w:rFonts w:asciiTheme="minorHAnsi" w:eastAsia="Calibri" w:hAnsiTheme="minorHAnsi" w:cstheme="minorHAnsi"/>
                <w:bCs/>
                <w:szCs w:val="24"/>
              </w:rPr>
              <w:t xml:space="preserve"> oraz możliwości wzmocnienia faktycznej konkurencji między wnioskodawcami na etapie wyboru projektów do dofinansowania</w:t>
            </w:r>
            <w:r>
              <w:rPr>
                <w:rFonts w:asciiTheme="minorHAnsi" w:eastAsia="Calibri" w:hAnsiTheme="minorHAnsi" w:cstheme="minorHAnsi"/>
                <w:bCs/>
                <w:szCs w:val="24"/>
              </w:rPr>
              <w:t xml:space="preserve"> (np. stosując kryteria punktowane pozwalające tworzyć listy rankingowe);</w:t>
            </w:r>
          </w:p>
          <w:p w14:paraId="18FA46B6" w14:textId="45C90674" w:rsidR="00936780" w:rsidRPr="005D2FC4" w:rsidRDefault="00065229" w:rsidP="00065229">
            <w:pPr>
              <w:pStyle w:val="Akapitzlist"/>
              <w:numPr>
                <w:ilvl w:val="0"/>
                <w:numId w:val="57"/>
              </w:numP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bCs/>
                <w:szCs w:val="24"/>
              </w:rPr>
            </w:pPr>
            <w:r>
              <w:t>wprowadzić obowiązek stosowania przez partnerstwa kryterium „gotowości technicznej/ realizacyjnej” już na etapie wczesnego identyfikowania projektów, które będą miały być później realizowane w ramach strategii terytorialnych.</w:t>
            </w:r>
          </w:p>
        </w:tc>
      </w:tr>
      <w:tr w:rsidR="00F1009C" w:rsidRPr="005D2FC4" w14:paraId="1047E608" w14:textId="77777777" w:rsidTr="00D450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47" w:type="dxa"/>
          </w:tcPr>
          <w:p w14:paraId="040D410D" w14:textId="7444BABA" w:rsidR="00F1009C" w:rsidRPr="005D2FC4" w:rsidRDefault="00F1009C" w:rsidP="00787228">
            <w:pPr>
              <w:rPr>
                <w:rFonts w:asciiTheme="minorHAnsi" w:hAnsiTheme="minorHAnsi" w:cstheme="minorHAnsi"/>
                <w:b w:val="0"/>
                <w:bCs w:val="0"/>
                <w:szCs w:val="24"/>
              </w:rPr>
            </w:pPr>
            <w:r w:rsidRPr="005D2FC4">
              <w:rPr>
                <w:rFonts w:asciiTheme="minorHAnsi" w:hAnsiTheme="minorHAnsi" w:cstheme="minorHAnsi"/>
                <w:b w:val="0"/>
                <w:bCs w:val="0"/>
                <w:szCs w:val="24"/>
              </w:rPr>
              <w:lastRenderedPageBreak/>
              <w:t xml:space="preserve">Czy istnieją istotne wyzwania, których nie ujęto w Programie, a wobec których należałoby ukierunkować wsparcie w przyszłości? </w:t>
            </w:r>
          </w:p>
        </w:tc>
        <w:tc>
          <w:tcPr>
            <w:tcW w:w="6515" w:type="dxa"/>
          </w:tcPr>
          <w:p w14:paraId="0B8534D1" w14:textId="75526EF1" w:rsidR="00F1009C" w:rsidRPr="005D2FC4" w:rsidRDefault="265D50F9" w:rsidP="00787228">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rPr>
            </w:pPr>
            <w:r w:rsidRPr="715C6098">
              <w:rPr>
                <w:rFonts w:asciiTheme="minorHAnsi" w:eastAsia="Calibri" w:hAnsiTheme="minorHAnsi" w:cstheme="minorBidi"/>
              </w:rPr>
              <w:t>Identyfikacja wyzwań strategicznych, których nie ujęto w Programie wymaga uwzględnienia, że znaczna cz</w:t>
            </w:r>
            <w:r w:rsidR="140404DF" w:rsidRPr="715C6098">
              <w:rPr>
                <w:rFonts w:asciiTheme="minorHAnsi" w:eastAsia="Calibri" w:hAnsiTheme="minorHAnsi" w:cstheme="minorBidi"/>
              </w:rPr>
              <w:t>ę</w:t>
            </w:r>
            <w:r w:rsidRPr="715C6098">
              <w:rPr>
                <w:rFonts w:asciiTheme="minorHAnsi" w:eastAsia="Calibri" w:hAnsiTheme="minorHAnsi" w:cstheme="minorBidi"/>
              </w:rPr>
              <w:t>ść ewentualnych zmian uwarunkowana jest</w:t>
            </w:r>
            <w:r w:rsidR="66829E98" w:rsidRPr="715C6098">
              <w:rPr>
                <w:rFonts w:asciiTheme="minorHAnsi" w:eastAsia="Calibri" w:hAnsiTheme="minorHAnsi" w:cstheme="minorBidi"/>
              </w:rPr>
              <w:t xml:space="preserve"> takimi czynnikami, jak </w:t>
            </w:r>
            <w:r w:rsidR="66829E98" w:rsidRPr="715C6098">
              <w:rPr>
                <w:rFonts w:eastAsia="Tahoma" w:cs="Tahoma"/>
                <w:szCs w:val="24"/>
              </w:rPr>
              <w:t>strategiczne cele polityki UE i Umowy Partnerstwa, linia demarkacyjna między poziomem krajowym a regionalnym, zasady horyzontalne (DNSH, deinstytucjonalizacja, niedyskryminacja, partnerstwo), warunki podstawowe określone przez Komisję Europejską.</w:t>
            </w:r>
            <w:r w:rsidR="5EFCC8D9" w:rsidRPr="729F07B9">
              <w:rPr>
                <w:rFonts w:eastAsia="Tahoma" w:cs="Tahoma"/>
                <w:szCs w:val="24"/>
              </w:rPr>
              <w:t xml:space="preserve"> </w:t>
            </w:r>
            <w:r w:rsidR="5EFCC8D9" w:rsidRPr="7044D14E">
              <w:rPr>
                <w:rFonts w:eastAsia="Tahoma" w:cs="Tahoma"/>
                <w:szCs w:val="24"/>
              </w:rPr>
              <w:t xml:space="preserve">W tym kontekście </w:t>
            </w:r>
            <w:r w:rsidR="78A7C625" w:rsidRPr="51C3434A">
              <w:rPr>
                <w:rFonts w:eastAsia="Tahoma" w:cs="Tahoma"/>
                <w:szCs w:val="24"/>
              </w:rPr>
              <w:t>wskazujemy</w:t>
            </w:r>
            <w:r w:rsidR="5EFCC8D9" w:rsidRPr="7044D14E">
              <w:rPr>
                <w:rFonts w:eastAsia="Tahoma" w:cs="Tahoma"/>
                <w:szCs w:val="24"/>
              </w:rPr>
              <w:t xml:space="preserve"> na dwa kierunki możliwych zmian: </w:t>
            </w:r>
            <w:r w:rsidR="74309D71" w:rsidRPr="44CFA3DA">
              <w:rPr>
                <w:rFonts w:eastAsia="Tahoma" w:cs="Tahoma"/>
                <w:szCs w:val="24"/>
              </w:rPr>
              <w:t>zwiększenie</w:t>
            </w:r>
            <w:r w:rsidR="5EFCC8D9" w:rsidRPr="44CFA3DA">
              <w:rPr>
                <w:rFonts w:eastAsia="Tahoma" w:cs="Tahoma"/>
                <w:szCs w:val="24"/>
              </w:rPr>
              <w:t xml:space="preserve"> </w:t>
            </w:r>
            <w:r w:rsidR="5EFCC8D9" w:rsidRPr="6B39C1FF">
              <w:rPr>
                <w:rFonts w:eastAsia="Tahoma" w:cs="Tahoma"/>
                <w:szCs w:val="24"/>
              </w:rPr>
              <w:t xml:space="preserve">udziału konkursowego </w:t>
            </w:r>
            <w:r w:rsidR="00142097">
              <w:rPr>
                <w:rFonts w:eastAsia="Tahoma" w:cs="Tahoma"/>
                <w:szCs w:val="24"/>
              </w:rPr>
              <w:t>sposobu wyboru</w:t>
            </w:r>
            <w:r w:rsidR="5EFCC8D9" w:rsidRPr="6B39C1FF">
              <w:rPr>
                <w:rFonts w:eastAsia="Tahoma" w:cs="Tahoma"/>
                <w:szCs w:val="24"/>
              </w:rPr>
              <w:t xml:space="preserve"> w naborach projektów </w:t>
            </w:r>
            <w:r w:rsidR="5EFCC8D9" w:rsidRPr="5D17258E">
              <w:rPr>
                <w:rFonts w:eastAsia="Tahoma" w:cs="Tahoma"/>
                <w:szCs w:val="24"/>
              </w:rPr>
              <w:t>ora</w:t>
            </w:r>
            <w:r w:rsidR="0843E3CB" w:rsidRPr="5D17258E">
              <w:rPr>
                <w:rFonts w:eastAsia="Tahoma" w:cs="Tahoma"/>
                <w:szCs w:val="24"/>
              </w:rPr>
              <w:t xml:space="preserve">z </w:t>
            </w:r>
            <w:r w:rsidR="10DADAB8" w:rsidRPr="44CFA3DA">
              <w:rPr>
                <w:rFonts w:eastAsia="Tahoma" w:cs="Tahoma"/>
                <w:szCs w:val="24"/>
              </w:rPr>
              <w:t>popraw</w:t>
            </w:r>
            <w:r w:rsidR="009456E6">
              <w:rPr>
                <w:rFonts w:eastAsia="Tahoma" w:cs="Tahoma"/>
                <w:szCs w:val="24"/>
              </w:rPr>
              <w:t>ę</w:t>
            </w:r>
            <w:r w:rsidR="0843E3CB" w:rsidRPr="5D17258E">
              <w:rPr>
                <w:rFonts w:eastAsia="Tahoma" w:cs="Tahoma"/>
                <w:szCs w:val="24"/>
              </w:rPr>
              <w:t xml:space="preserve"> komunikowania Programu,</w:t>
            </w:r>
            <w:r w:rsidR="0843E3CB" w:rsidRPr="5211FEBF">
              <w:rPr>
                <w:rFonts w:eastAsia="Tahoma" w:cs="Tahoma"/>
                <w:szCs w:val="24"/>
              </w:rPr>
              <w:t xml:space="preserve"> w tym zwiększenie roli konsultacji </w:t>
            </w:r>
            <w:r w:rsidR="0843E3CB" w:rsidRPr="51C3434A">
              <w:rPr>
                <w:rFonts w:eastAsia="Tahoma" w:cs="Tahoma"/>
                <w:szCs w:val="24"/>
              </w:rPr>
              <w:t>społecznych.</w:t>
            </w:r>
            <w:r w:rsidR="0AF41BEE" w:rsidRPr="54A7C634">
              <w:rPr>
                <w:rFonts w:asciiTheme="minorHAnsi" w:eastAsia="Calibri" w:hAnsiTheme="minorHAnsi" w:cstheme="minorBidi"/>
              </w:rPr>
              <w:t xml:space="preserve"> </w:t>
            </w:r>
          </w:p>
        </w:tc>
      </w:tr>
    </w:tbl>
    <w:p w14:paraId="6B88D4C6" w14:textId="766F970A" w:rsidR="00BF69A6" w:rsidRPr="008570E4" w:rsidRDefault="00CC03E2" w:rsidP="00BF69A6">
      <w:pPr>
        <w:pStyle w:val="Nagwek1"/>
        <w:spacing w:before="360"/>
        <w:rPr>
          <w:rStyle w:val="normaltextrun"/>
          <w:rFonts w:asciiTheme="minorHAnsi" w:hAnsiTheme="minorHAnsi" w:cstheme="minorHAnsi"/>
          <w:color w:val="0B0E9D" w:themeColor="accent1" w:themeShade="BF"/>
          <w:sz w:val="40"/>
          <w:szCs w:val="40"/>
        </w:rPr>
      </w:pPr>
      <w:bookmarkStart w:id="25" w:name="_Toc208593155"/>
      <w:r>
        <w:rPr>
          <w:rStyle w:val="normaltextrun"/>
          <w:rFonts w:asciiTheme="minorHAnsi" w:hAnsiTheme="minorHAnsi" w:cstheme="minorHAnsi"/>
          <w:color w:val="0B0E9D" w:themeColor="accent1" w:themeShade="BF"/>
          <w:sz w:val="40"/>
          <w:szCs w:val="40"/>
        </w:rPr>
        <w:t>ANEKSY</w:t>
      </w:r>
      <w:bookmarkEnd w:id="25"/>
    </w:p>
    <w:p w14:paraId="7B5794B4" w14:textId="0B83C1F7" w:rsidR="00BF69A6" w:rsidRDefault="00CC03E2" w:rsidP="00BF69A6">
      <w:pPr>
        <w:pStyle w:val="Nagwek2"/>
        <w:spacing w:before="240" w:after="120"/>
        <w:ind w:left="578" w:hanging="578"/>
        <w:rPr>
          <w:rFonts w:cstheme="minorHAnsi"/>
          <w:color w:val="0B0E9D"/>
        </w:rPr>
      </w:pPr>
      <w:bookmarkStart w:id="26" w:name="_Toc208593156"/>
      <w:r>
        <w:rPr>
          <w:rFonts w:cstheme="minorHAnsi"/>
          <w:color w:val="0B0E9D"/>
        </w:rPr>
        <w:t>Narzędzia badawcze</w:t>
      </w:r>
      <w:bookmarkEnd w:id="26"/>
      <w:r w:rsidR="00441E42">
        <w:rPr>
          <w:rFonts w:cstheme="minorHAnsi"/>
          <w:color w:val="0B0E9D"/>
        </w:rPr>
        <w:t xml:space="preserve"> </w:t>
      </w:r>
    </w:p>
    <w:p w14:paraId="0C9659E4" w14:textId="007182AC" w:rsidR="00CC03E2" w:rsidRPr="00CC03E2" w:rsidRDefault="00CC03E2" w:rsidP="00CC03E2">
      <w:r>
        <w:t>Osobny plik</w:t>
      </w:r>
    </w:p>
    <w:p w14:paraId="0C2D2232" w14:textId="2B28C354" w:rsidR="00CC03E2" w:rsidRDefault="00D93357" w:rsidP="00CC03E2">
      <w:pPr>
        <w:pStyle w:val="Nagwek2"/>
        <w:spacing w:before="240" w:after="120"/>
        <w:ind w:left="578" w:hanging="578"/>
        <w:rPr>
          <w:rFonts w:cstheme="minorHAnsi"/>
          <w:color w:val="0B0E9D"/>
        </w:rPr>
      </w:pPr>
      <w:bookmarkStart w:id="27" w:name="_Toc208593157"/>
      <w:r>
        <w:rPr>
          <w:rFonts w:cstheme="minorHAnsi"/>
          <w:color w:val="0B0E9D"/>
        </w:rPr>
        <w:lastRenderedPageBreak/>
        <w:t>Dane pierwotne</w:t>
      </w:r>
      <w:bookmarkEnd w:id="27"/>
    </w:p>
    <w:p w14:paraId="3A85959B" w14:textId="58EA349E" w:rsidR="00CC03E2" w:rsidRPr="00CC03E2" w:rsidRDefault="00CC03E2" w:rsidP="00CC03E2">
      <w:r>
        <w:t>Osobn</w:t>
      </w:r>
      <w:r w:rsidR="00D93357">
        <w:t>e</w:t>
      </w:r>
      <w:r>
        <w:t xml:space="preserve"> plik</w:t>
      </w:r>
      <w:r w:rsidR="00D93357">
        <w:t>i</w:t>
      </w:r>
      <w:r w:rsidR="00B87283">
        <w:t xml:space="preserve"> </w:t>
      </w:r>
    </w:p>
    <w:p w14:paraId="33944C6B" w14:textId="395F2830" w:rsidR="00910779" w:rsidRPr="00AA05AD" w:rsidRDefault="00910779" w:rsidP="00AA05AD"/>
    <w:sectPr w:rsidR="00910779" w:rsidRPr="00AA05AD" w:rsidSect="005D11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72ADCF" w14:textId="77777777" w:rsidR="004064F8" w:rsidRDefault="004064F8" w:rsidP="00E84727">
      <w:pPr>
        <w:spacing w:before="0" w:after="0"/>
      </w:pPr>
      <w:r>
        <w:separator/>
      </w:r>
    </w:p>
  </w:endnote>
  <w:endnote w:type="continuationSeparator" w:id="0">
    <w:p w14:paraId="44A819AC" w14:textId="77777777" w:rsidR="004064F8" w:rsidRDefault="004064F8" w:rsidP="00E84727">
      <w:pPr>
        <w:spacing w:before="0" w:after="0"/>
      </w:pPr>
      <w:r>
        <w:continuationSeparator/>
      </w:r>
    </w:p>
  </w:endnote>
  <w:endnote w:type="continuationNotice" w:id="1">
    <w:p w14:paraId="5E4377F6" w14:textId="77777777" w:rsidR="004064F8" w:rsidRDefault="004064F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CE6F8D0D-AA46-465D-B9E9-5CFED163C8DF}"/>
    <w:embedBold r:id="rId2" w:fontKey="{21746AD5-E0DD-437A-99E4-45BCAECC6749}"/>
    <w:embedItalic r:id="rId3" w:fontKey="{C07748DF-C90F-4003-8C3B-39D41ED27A7B}"/>
    <w:embedBoldItalic r:id="rId4" w:fontKey="{832E23CC-B684-443A-ADAF-2DEDE6B5B82E}"/>
  </w:font>
  <w:font w:name="Calibri">
    <w:panose1 w:val="020F0502020204030204"/>
    <w:charset w:val="EE"/>
    <w:family w:val="swiss"/>
    <w:pitch w:val="variable"/>
    <w:sig w:usb0="E4002EFF" w:usb1="C200247B" w:usb2="00000009" w:usb3="00000000" w:csb0="000001FF" w:csb1="00000000"/>
    <w:embedRegular r:id="rId5" w:fontKey="{FC4F70A9-0FBF-4BF2-9820-8169F1F1944A}"/>
    <w:embedBold r:id="rId6" w:fontKey="{EE2B1E51-F517-435E-9E76-52B16A43C6C7}"/>
    <w:embedItalic r:id="rId7" w:fontKey="{7108FEB6-0F94-4D64-8E21-EDFDCB06FF75}"/>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embedRegular r:id="rId8" w:fontKey="{293D6693-F5DD-4C0C-AD79-F722734914D8}"/>
    <w:embedItalic r:id="rId9" w:fontKey="{77A588F4-E613-4150-AF26-B0567E9369CF}"/>
  </w:font>
  <w:font w:name="Aptos">
    <w:charset w:val="00"/>
    <w:family w:val="swiss"/>
    <w:pitch w:val="variable"/>
    <w:sig w:usb0="20000287" w:usb1="00000003" w:usb2="00000000" w:usb3="00000000" w:csb0="0000019F" w:csb1="00000000"/>
    <w:embedRegular r:id="rId10" w:fontKey="{A062943F-91FD-489C-8700-F477C5A95E99}"/>
    <w:embedBold r:id="rId11" w:fontKey="{374C0B8A-FF18-44E6-8649-182434466BF2}"/>
    <w:embedItalic r:id="rId12" w:fontKey="{768B3682-D5DB-4520-99B4-6BC9378EF6AE}"/>
  </w:font>
  <w:font w:name="Yu Gothic UI">
    <w:panose1 w:val="020B05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Aptos Bold">
    <w:altName w:val="Aptos"/>
    <w:charset w:val="00"/>
    <w:family w:val="auto"/>
    <w:pitch w:val="default"/>
  </w:font>
  <w:font w:name="Arim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7204963"/>
      <w:docPartObj>
        <w:docPartGallery w:val="Page Numbers (Bottom of Page)"/>
        <w:docPartUnique/>
      </w:docPartObj>
    </w:sdtPr>
    <w:sdtEndPr/>
    <w:sdtContent>
      <w:p w14:paraId="0A478AAF" w14:textId="2B7EBF0B" w:rsidR="000B731F" w:rsidRDefault="000B731F">
        <w:pPr>
          <w:pStyle w:val="Stopka"/>
          <w:jc w:val="center"/>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4B5A7" w14:textId="77777777" w:rsidR="004064F8" w:rsidRDefault="004064F8" w:rsidP="00E84727">
      <w:pPr>
        <w:spacing w:before="0" w:after="0"/>
      </w:pPr>
      <w:r>
        <w:separator/>
      </w:r>
    </w:p>
  </w:footnote>
  <w:footnote w:type="continuationSeparator" w:id="0">
    <w:p w14:paraId="1D5C56E4" w14:textId="77777777" w:rsidR="004064F8" w:rsidRDefault="004064F8" w:rsidP="00E84727">
      <w:pPr>
        <w:spacing w:before="0" w:after="0"/>
      </w:pPr>
      <w:r>
        <w:continuationSeparator/>
      </w:r>
    </w:p>
  </w:footnote>
  <w:footnote w:type="continuationNotice" w:id="1">
    <w:p w14:paraId="5435E0D1" w14:textId="77777777" w:rsidR="004064F8" w:rsidRDefault="004064F8">
      <w:pPr>
        <w:spacing w:before="0" w:after="0"/>
      </w:pPr>
    </w:p>
  </w:footnote>
  <w:footnote w:id="2">
    <w:p w14:paraId="058166C5" w14:textId="26543907" w:rsidR="00D90E4E" w:rsidRDefault="00D90E4E">
      <w:pPr>
        <w:pStyle w:val="Tekstprzypisudolnego"/>
      </w:pPr>
      <w:r>
        <w:rPr>
          <w:rStyle w:val="Odwoanieprzypisudolnego"/>
        </w:rPr>
        <w:footnoteRef/>
      </w:r>
      <w:r>
        <w:t xml:space="preserve"> </w:t>
      </w:r>
      <w:r w:rsidR="00FA0F64">
        <w:t xml:space="preserve">Założono zrealizowanie minium 201 ankiet, </w:t>
      </w:r>
      <w:r w:rsidR="00771028">
        <w:t xml:space="preserve">w ostateczności osiągnięto </w:t>
      </w:r>
      <w:r>
        <w:t>103% zakładanej próby.</w:t>
      </w:r>
    </w:p>
  </w:footnote>
  <w:footnote w:id="3">
    <w:p w14:paraId="57BC795F" w14:textId="75A8D443" w:rsidR="00D90E4E" w:rsidRDefault="00D90E4E">
      <w:pPr>
        <w:pStyle w:val="Tekstprzypisudolnego"/>
      </w:pPr>
      <w:r>
        <w:rPr>
          <w:rStyle w:val="Odwoanieprzypisudolnego"/>
        </w:rPr>
        <w:footnoteRef/>
      </w:r>
      <w:r>
        <w:t xml:space="preserve"> </w:t>
      </w:r>
      <w:r w:rsidR="005E462A">
        <w:t>Założono zrealizowanie minium 48 ankiet</w:t>
      </w:r>
      <w:r w:rsidR="00FA0F64">
        <w:t>, w ostateczności osiągnięto</w:t>
      </w:r>
      <w:r w:rsidR="00771028">
        <w:t xml:space="preserve"> </w:t>
      </w:r>
      <w:r>
        <w:t>217% zakładanej próby</w:t>
      </w:r>
      <w:r w:rsidR="00FA0F64">
        <w:t>.</w:t>
      </w:r>
    </w:p>
  </w:footnote>
  <w:footnote w:id="4">
    <w:p w14:paraId="5E475695" w14:textId="77777777" w:rsidR="002A7511" w:rsidRPr="00863FC2" w:rsidRDefault="002A7511" w:rsidP="002A7511">
      <w:pPr>
        <w:pStyle w:val="Tekstprzypisudolnego"/>
        <w:rPr>
          <w:rFonts w:cs="Tahoma"/>
          <w:lang w:val="en-US"/>
        </w:rPr>
      </w:pPr>
      <w:r w:rsidRPr="00CD0E55">
        <w:rPr>
          <w:rStyle w:val="Odwoanieprzypisudolnego"/>
          <w:rFonts w:cs="Tahoma"/>
        </w:rPr>
        <w:footnoteRef/>
      </w:r>
      <w:r w:rsidRPr="00CD0E55">
        <w:rPr>
          <w:rFonts w:cs="Tahoma"/>
          <w:lang w:val="en-US"/>
        </w:rPr>
        <w:t xml:space="preserve"> </w:t>
      </w:r>
      <w:r w:rsidRPr="00863FC2">
        <w:rPr>
          <w:rFonts w:cs="Tahoma"/>
          <w:lang w:val="en-US"/>
        </w:rPr>
        <w:t>The target was to complete a minimum of 201 surveys; in the end, 103% of the planned sample was achieved.</w:t>
      </w:r>
    </w:p>
  </w:footnote>
  <w:footnote w:id="5">
    <w:p w14:paraId="71D17362" w14:textId="77777777" w:rsidR="002A7511" w:rsidRPr="00863FC2" w:rsidRDefault="002A7511" w:rsidP="002A7511">
      <w:pPr>
        <w:pStyle w:val="Tekstprzypisudolnego"/>
        <w:rPr>
          <w:lang w:val="en-US"/>
        </w:rPr>
      </w:pPr>
      <w:r w:rsidRPr="00CD0E55">
        <w:rPr>
          <w:rStyle w:val="Odwoanieprzypisudolnego"/>
          <w:rFonts w:cs="Tahoma"/>
        </w:rPr>
        <w:footnoteRef/>
      </w:r>
      <w:r w:rsidRPr="00CD0E55">
        <w:rPr>
          <w:rFonts w:cs="Tahoma"/>
          <w:lang w:val="en-US"/>
        </w:rPr>
        <w:t xml:space="preserve"> </w:t>
      </w:r>
      <w:r w:rsidRPr="00863FC2">
        <w:rPr>
          <w:rFonts w:cs="Tahoma"/>
          <w:lang w:val="en-US"/>
        </w:rPr>
        <w:t>The target was to complete a minimum of 48 surveys; in the end, 217% of the planned sample was achieved.</w:t>
      </w:r>
    </w:p>
  </w:footnote>
  <w:footnote w:id="6">
    <w:p w14:paraId="6E881EE3" w14:textId="77777777" w:rsidR="007416E4" w:rsidRPr="009012B4" w:rsidRDefault="007416E4" w:rsidP="00B73A17">
      <w:pPr>
        <w:pStyle w:val="Tekstprzypisudolnego"/>
        <w:rPr>
          <w:rFonts w:cs="Tahoma"/>
        </w:rPr>
      </w:pPr>
      <w:r w:rsidRPr="009012B4">
        <w:rPr>
          <w:rStyle w:val="Odwoanieprzypisudolnego"/>
          <w:rFonts w:cs="Tahoma"/>
        </w:rPr>
        <w:footnoteRef/>
      </w:r>
      <w:r w:rsidRPr="009012B4">
        <w:rPr>
          <w:rFonts w:cs="Tahoma"/>
        </w:rPr>
        <w:t xml:space="preserve"> Pod pojęciem „unieważnione nabory” rozumiemy unieważnione postępowania w zakresie wyboru projektów do dofinansowania.</w:t>
      </w:r>
    </w:p>
  </w:footnote>
  <w:footnote w:id="7">
    <w:p w14:paraId="06ABDBAC" w14:textId="5C336E59" w:rsidR="0088612E" w:rsidRPr="009012B4" w:rsidRDefault="0088612E" w:rsidP="00B73A17">
      <w:pPr>
        <w:pStyle w:val="Tekstprzypisudolnego"/>
        <w:rPr>
          <w:rFonts w:cs="Tahoma"/>
        </w:rPr>
      </w:pPr>
      <w:r w:rsidRPr="009012B4">
        <w:rPr>
          <w:rStyle w:val="Odwoanieprzypisudolnego"/>
          <w:rFonts w:cs="Tahoma"/>
        </w:rPr>
        <w:footnoteRef/>
      </w:r>
      <w:r w:rsidRPr="009012B4">
        <w:rPr>
          <w:rFonts w:cs="Tahoma"/>
        </w:rPr>
        <w:t xml:space="preserve"> Dotyczy naborów objętych analizą w ramach badania.</w:t>
      </w:r>
    </w:p>
  </w:footnote>
  <w:footnote w:id="8">
    <w:p w14:paraId="66E958A6" w14:textId="07976C86" w:rsidR="005507CC" w:rsidRPr="009012B4" w:rsidRDefault="005507CC" w:rsidP="00B73A17">
      <w:pPr>
        <w:pStyle w:val="Tekstprzypisudolnego"/>
        <w:rPr>
          <w:rFonts w:cs="Tahoma"/>
        </w:rPr>
      </w:pPr>
      <w:r w:rsidRPr="009012B4">
        <w:rPr>
          <w:rStyle w:val="Odwoanieprzypisudolnego"/>
          <w:rFonts w:cs="Tahoma"/>
        </w:rPr>
        <w:footnoteRef/>
      </w:r>
      <w:r w:rsidRPr="009012B4">
        <w:rPr>
          <w:rFonts w:cs="Tahoma"/>
        </w:rPr>
        <w:t xml:space="preserve"> Dotyczy naborów objętych analizą w ramach badania.</w:t>
      </w:r>
    </w:p>
  </w:footnote>
  <w:footnote w:id="9">
    <w:p w14:paraId="666617D2" w14:textId="495B7FA4" w:rsidR="000E39A5" w:rsidRDefault="000E39A5">
      <w:pPr>
        <w:pStyle w:val="Tekstprzypisudolnego"/>
      </w:pPr>
      <w:r>
        <w:rPr>
          <w:rStyle w:val="Odwoanieprzypisudolnego"/>
        </w:rPr>
        <w:footnoteRef/>
      </w:r>
      <w:r>
        <w:t xml:space="preserve"> </w:t>
      </w:r>
      <w:r w:rsidR="0067324A" w:rsidRPr="0067324A">
        <w:t>Przedstawiona poniżej lista obejmuje przykładowe kategorie wnioskodawców oraz obszary tematyczne, w których możliwe było aplikowanie w ramach rozpatrywanych naborów</w:t>
      </w:r>
      <w:r w:rsidR="00740834">
        <w:t>.</w:t>
      </w:r>
    </w:p>
  </w:footnote>
  <w:footnote w:id="10">
    <w:p w14:paraId="3E3C314A" w14:textId="7616DCB4" w:rsidR="008511FC" w:rsidRDefault="008511FC">
      <w:pPr>
        <w:pStyle w:val="Tekstprzypisudolnego"/>
      </w:pPr>
      <w:r>
        <w:rPr>
          <w:rStyle w:val="Odwoanieprzypisudolnego"/>
        </w:rPr>
        <w:footnoteRef/>
      </w:r>
      <w:r>
        <w:t xml:space="preserve"> </w:t>
      </w:r>
      <w:hyperlink r:id="rId1" w:history="1">
        <w:r w:rsidR="00B84550" w:rsidRPr="00B84550">
          <w:rPr>
            <w:rStyle w:val="Hipercze"/>
          </w:rPr>
          <w:t xml:space="preserve">Regulamin wyboru </w:t>
        </w:r>
        <w:r w:rsidR="00CB18EA">
          <w:rPr>
            <w:rStyle w:val="Hipercze"/>
          </w:rPr>
          <w:t>projektów</w:t>
        </w:r>
        <w:r w:rsidR="00B84550" w:rsidRPr="00B84550">
          <w:rPr>
            <w:rStyle w:val="Hipercze"/>
          </w:rPr>
          <w:t xml:space="preserve"> EFS+</w:t>
        </w:r>
      </w:hyperlink>
    </w:p>
  </w:footnote>
  <w:footnote w:id="11">
    <w:p w14:paraId="2A638744" w14:textId="37218EAC" w:rsidR="0075393A" w:rsidRDefault="0075393A">
      <w:pPr>
        <w:pStyle w:val="Tekstprzypisudolnego"/>
      </w:pPr>
      <w:r>
        <w:rPr>
          <w:rStyle w:val="Odwoanieprzypisudolnego"/>
        </w:rPr>
        <w:footnoteRef/>
      </w:r>
      <w:r>
        <w:t xml:space="preserve"> </w:t>
      </w:r>
      <w:hyperlink r:id="rId2" w:history="1">
        <w:r w:rsidR="00083304" w:rsidRPr="00083304">
          <w:rPr>
            <w:rStyle w:val="Hipercze"/>
          </w:rPr>
          <w:t>Kontrakt programowy dla województwa kujawsko-pomorskiego.</w:t>
        </w:r>
      </w:hyperlink>
    </w:p>
  </w:footnote>
  <w:footnote w:id="12">
    <w:p w14:paraId="47169556" w14:textId="3D3B60B6" w:rsidR="009E5788" w:rsidRDefault="009E5788">
      <w:pPr>
        <w:pStyle w:val="Tekstprzypisudolnego"/>
      </w:pPr>
      <w:r>
        <w:rPr>
          <w:rStyle w:val="Odwoanieprzypisudolnego"/>
        </w:rPr>
        <w:footnoteRef/>
      </w:r>
      <w:r>
        <w:t xml:space="preserve"> </w:t>
      </w:r>
      <w:r w:rsidRPr="00547A68">
        <w:t>W zakresie aktywizacji społecznej i integracji (typ 1) przewidziano m.in. naukę języka polskiego, wsparcie dzieci i młodzieży OPT, poradnictwo psychologiczne, prawne i antydyskryminacyjne, asystę kulturową, pomoc w dostępie do usług społecznych, zdrowotnych i mieszkaniowych oraz działania integracyjne w społecznościach lokalnych. W obszarze aktywizacji zawodowej (typ 4) możliwe było finansowanie doradztwa zawodowego i pośrednictwa pracy, kursów i szkoleń zawodowych, potwierdzania kwalifikacji, wsparcia w legalizacji pobytu i zatrudnienia, edukacji o rynku pracy i relacjach w środowisku zawodowym, kursów języka polskiego – w tym specjalistycznych – oraz staży zawodowych, a także doradztwa i szkoleń dla pracodawców w zakresie legalizacji zatrudnienia i wielokulturowości. Natomiast w ramach budowania potencjału instytucjonalnego (typ 3) dofinansowanie obejmowało tworzenie partnerstw i sieci współpracy, szkolenia dla kadr instytucji publicznych i niepublicznych pracujących z OPT oraz wspieranie aktywności obywatelskiej migrantów, w tym zakładanie organizacji i wyłanianie liderów reprezentujących społeczność.</w:t>
      </w:r>
    </w:p>
  </w:footnote>
  <w:footnote w:id="13">
    <w:p w14:paraId="009E6C49"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Ewaluacja bieżąca kryteriów i systemu wyboru projektów w ramach FEdKP 2021-2027, PAG Uniconsult, 2024.</w:t>
      </w:r>
    </w:p>
  </w:footnote>
  <w:footnote w:id="14">
    <w:p w14:paraId="58ACDE0C" w14:textId="15D6C9FA"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Zasada równości kobiet i mężczyzn; zasada równości szans i niedyskryminacji, w tym dostępności dla osób z niepełnosprawnościami; zasada zrównoważonego rozwoju; zasada „nie czyń poważnych szkód” (ang.: DNSH)</w:t>
      </w:r>
      <w:r w:rsidR="009B28AF">
        <w:rPr>
          <w:rFonts w:cs="Tahoma"/>
        </w:rPr>
        <w:t>.</w:t>
      </w:r>
    </w:p>
  </w:footnote>
  <w:footnote w:id="15">
    <w:p w14:paraId="7ACF4EAB"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Wywiady z przedstawicielami UMWKP oraz IP (WUP i ZIT BydOF) zaangażowanymi w realizację FEdKP 2021-2027.</w:t>
      </w:r>
    </w:p>
  </w:footnote>
  <w:footnote w:id="16">
    <w:p w14:paraId="7E09F964"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Przedstawiciele UMWKP oraz IP (WUP i ZIT BydOF) zaangażowani w realizację FEdKP 2021-2027.</w:t>
      </w:r>
    </w:p>
  </w:footnote>
  <w:footnote w:id="17">
    <w:p w14:paraId="6CABC67D"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Ewaluacja bieżąca kryteriów i systemu wyboru projektów w ramach FEdKP 2021-2027, PAG Uniconsult, 2024.</w:t>
      </w:r>
    </w:p>
  </w:footnote>
  <w:footnote w:id="18">
    <w:p w14:paraId="427AB57B"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t>
      </w:r>
      <w:hyperlink r:id="rId3" w:history="1">
        <w:r w:rsidRPr="009012B4">
          <w:rPr>
            <w:rStyle w:val="Hipercze"/>
            <w:rFonts w:cs="Tahoma"/>
          </w:rPr>
          <w:t>Adaptacja do zmian klimatu w okresie programowania 2021-2027 dla jednostek samorządu terytorialnego</w:t>
        </w:r>
      </w:hyperlink>
      <w:r w:rsidRPr="009012B4">
        <w:rPr>
          <w:rFonts w:cs="Tahoma"/>
        </w:rPr>
        <w:t xml:space="preserve"> </w:t>
      </w:r>
    </w:p>
  </w:footnote>
  <w:footnote w:id="19">
    <w:p w14:paraId="1628BC58" w14:textId="07C0A699" w:rsidR="00BB50C3" w:rsidRPr="009012B4" w:rsidRDefault="00BB50C3" w:rsidP="00B73A17">
      <w:pPr>
        <w:pStyle w:val="Tekstprzypisudolnego"/>
        <w:rPr>
          <w:rFonts w:cs="Tahoma"/>
        </w:rPr>
      </w:pPr>
      <w:r w:rsidRPr="009012B4">
        <w:rPr>
          <w:rStyle w:val="Odwoanieprzypisudolnego"/>
          <w:rFonts w:cs="Tahoma"/>
        </w:rPr>
        <w:footnoteRef/>
      </w:r>
      <w:r w:rsidR="006445A9" w:rsidRPr="009012B4">
        <w:rPr>
          <w:rFonts w:cs="Tahoma"/>
        </w:rPr>
        <w:t xml:space="preserve"> Na przykład: Ewaluacja bieżąca kryteriów i systemu wyboru projektów FE SL 2021-2027, EVALU</w:t>
      </w:r>
      <w:r w:rsidR="006445A9">
        <w:rPr>
          <w:rFonts w:cs="Tahoma"/>
        </w:rPr>
        <w:t xml:space="preserve"> </w:t>
      </w:r>
      <w:r w:rsidR="006445A9" w:rsidRPr="009012B4">
        <w:rPr>
          <w:rFonts w:cs="Tahoma"/>
        </w:rPr>
        <w:t>&amp;</w:t>
      </w:r>
      <w:r w:rsidR="006445A9">
        <w:rPr>
          <w:rFonts w:cs="Tahoma"/>
        </w:rPr>
        <w:t xml:space="preserve"> </w:t>
      </w:r>
      <w:r w:rsidR="006445A9" w:rsidRPr="009012B4">
        <w:rPr>
          <w:rFonts w:cs="Tahoma"/>
        </w:rPr>
        <w:t>Ecorys Polska, 2024.</w:t>
      </w:r>
    </w:p>
  </w:footnote>
  <w:footnote w:id="20">
    <w:p w14:paraId="33CE36DD" w14:textId="77777777" w:rsidR="00BB50C3" w:rsidRPr="009012B4" w:rsidRDefault="00BB50C3" w:rsidP="00B73A17">
      <w:pPr>
        <w:pStyle w:val="Tekstprzypisudolnego"/>
        <w:rPr>
          <w:rFonts w:cs="Tahoma"/>
        </w:rPr>
      </w:pPr>
      <w:r w:rsidRPr="009012B4">
        <w:rPr>
          <w:rStyle w:val="Odwoanieprzypisudolnego"/>
          <w:rFonts w:cs="Tahoma"/>
        </w:rPr>
        <w:footnoteRef/>
      </w:r>
      <w:r w:rsidRPr="009012B4">
        <w:rPr>
          <w:rFonts w:cs="Tahoma"/>
        </w:rPr>
        <w:t xml:space="preserve"> </w:t>
      </w:r>
      <w:hyperlink r:id="rId4" w:history="1">
        <w:r w:rsidRPr="009012B4">
          <w:rPr>
            <w:rStyle w:val="Hipercze"/>
            <w:rFonts w:cs="Tahoma"/>
          </w:rPr>
          <w:t>Ocena zgodności z zasadą „nie czyń poważnych szkód” (DNSH)</w:t>
        </w:r>
      </w:hyperlink>
      <w:r w:rsidRPr="009012B4">
        <w:rPr>
          <w:rFonts w:cs="Tahoma"/>
        </w:rPr>
        <w:t xml:space="preserve"> </w:t>
      </w:r>
    </w:p>
  </w:footnote>
  <w:footnote w:id="21">
    <w:p w14:paraId="7597784B"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 z dnia 14 maja 2024 r.</w:t>
      </w:r>
    </w:p>
  </w:footnote>
  <w:footnote w:id="22">
    <w:p w14:paraId="4EEEDB4B" w14:textId="77777777" w:rsidR="00BC6C72" w:rsidRPr="009012B4" w:rsidRDefault="00BC6C72">
      <w:pPr>
        <w:pStyle w:val="Tekstprzypisudolnego"/>
        <w:rPr>
          <w:rFonts w:cs="Tahoma"/>
        </w:rPr>
      </w:pPr>
      <w:r w:rsidRPr="009012B4">
        <w:rPr>
          <w:rStyle w:val="Odwoanieprzypisudolnego"/>
          <w:rFonts w:cs="Tahoma"/>
        </w:rPr>
        <w:footnoteRef/>
      </w:r>
      <w:r w:rsidRPr="009012B4">
        <w:rPr>
          <w:rFonts w:cs="Tahoma"/>
        </w:rPr>
        <w:t xml:space="preserve"> W jst, na obszarze których zdiagnozowano negatywną sytuację społeczno-gospodarczą (obszary problemowe), kwota wsparcia z PT WK-P przeznaczona na 1 mieszkańca została powiększona o dodatkową „premię”.</w:t>
      </w:r>
    </w:p>
  </w:footnote>
  <w:footnote w:id="23">
    <w:p w14:paraId="3C5FA470"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IDI z przedstawicielami JST tworzących i/lub będących liderem ZIT/OPPT.</w:t>
      </w:r>
    </w:p>
  </w:footnote>
  <w:footnote w:id="24">
    <w:p w14:paraId="3C342E82" w14:textId="77777777" w:rsidR="00BD6196" w:rsidRDefault="00BD6196" w:rsidP="00BD6196">
      <w:pPr>
        <w:pStyle w:val="Tekstprzypisudolnego"/>
      </w:pPr>
      <w:r>
        <w:rPr>
          <w:rStyle w:val="Odwoanieprzypisudolnego"/>
        </w:rPr>
        <w:footnoteRef/>
      </w:r>
      <w:r>
        <w:t xml:space="preserve"> Nabory o niskiej skuteczności to te</w:t>
      </w:r>
      <w:r w:rsidRPr="005A4847">
        <w:t>, w których alokacja w złożonych wnioskach była niższa niż 50% alokacji przewidzianej w tych naborach, a także sytuacji gdy w danym naborze nie wpłynął żaden wniosek o dofinansowanie</w:t>
      </w:r>
      <w:r>
        <w:t>.</w:t>
      </w:r>
    </w:p>
  </w:footnote>
  <w:footnote w:id="25">
    <w:p w14:paraId="38E9188E" w14:textId="6B10C6EA"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CAWI/CATI z wnioskodawcami FEdKP 2021-2027, n=33. Odpowiedź na pytanie: „Jakie są powody, dla których – Państwa zdaniem – dostępna alokacja środków nie odpowiada rzeczywistym potrzebom i możliwościom realizacyjnym Państwa samorządu?”</w:t>
      </w:r>
      <w:r w:rsidR="00BF2DA9">
        <w:rPr>
          <w:rFonts w:cs="Tahoma"/>
        </w:rPr>
        <w:t>.</w:t>
      </w:r>
    </w:p>
  </w:footnote>
  <w:footnote w:id="26">
    <w:p w14:paraId="615FC591" w14:textId="314C6646"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Zarówno z przedstawicielami JST tworzących i/lub będących liderem ZIT/OPPT, jak i przedstawicielami UMWKP oraz IP ZIT BydOF zaangażowanymi w realizację FEdKP 2021-2027.</w:t>
      </w:r>
    </w:p>
  </w:footnote>
  <w:footnote w:id="27">
    <w:p w14:paraId="322B3E8B" w14:textId="3CAE9D64"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FEKP.01.06-IZ.00-096/24; FEKP.01.08-IZ.00-097/24</w:t>
      </w:r>
      <w:r>
        <w:rPr>
          <w:rFonts w:cs="Tahoma"/>
        </w:rPr>
        <w:t>.</w:t>
      </w:r>
    </w:p>
  </w:footnote>
  <w:footnote w:id="28">
    <w:p w14:paraId="400B1F6E" w14:textId="472D0F58"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IDI z przedstawicielami UMWKP oraz IP ZIT BydOF zaangażowanymi w realizację FEdKP 2021-2027.</w:t>
      </w:r>
    </w:p>
  </w:footnote>
  <w:footnote w:id="29">
    <w:p w14:paraId="05C19D00" w14:textId="77777777" w:rsidR="00BD6196" w:rsidRPr="009012B4" w:rsidRDefault="00BD6196" w:rsidP="00BD6196">
      <w:pPr>
        <w:pStyle w:val="Tekstprzypisudolnego"/>
        <w:rPr>
          <w:rFonts w:cs="Tahoma"/>
        </w:rPr>
      </w:pPr>
      <w:r w:rsidRPr="009012B4">
        <w:rPr>
          <w:rStyle w:val="Odwoanieprzypisudolnego"/>
          <w:rFonts w:cs="Tahoma"/>
        </w:rPr>
        <w:footnoteRef/>
      </w:r>
      <w:r w:rsidRPr="009012B4">
        <w:rPr>
          <w:rFonts w:cs="Tahoma"/>
        </w:rPr>
        <w:t xml:space="preserve"> FEKP.02.19-IZ.00-092/24; FEKP.02.06-IP.02-010/24; FEKP.02.07-IZ.00-091/24.</w:t>
      </w:r>
    </w:p>
  </w:footnote>
  <w:footnote w:id="30">
    <w:p w14:paraId="6FB0BAE6" w14:textId="77777777" w:rsidR="00BD6196" w:rsidRDefault="00BD6196" w:rsidP="00BD6196">
      <w:pPr>
        <w:pStyle w:val="Tekstprzypisudolnego"/>
      </w:pPr>
      <w:r>
        <w:rPr>
          <w:rStyle w:val="Odwoanieprzypisudolnego"/>
        </w:rPr>
        <w:footnoteRef/>
      </w:r>
      <w:r>
        <w:t xml:space="preserve"> Dodatkowo, w kilku obszarach/ schematach wsparcia prowadzone są jeszcze nabory poza polityką terytorialną – w takich przypadkach niemal równolegle mogą toczyć się trzy nabory. Dotyczy to </w:t>
      </w:r>
      <w:r w:rsidRPr="00A60579">
        <w:t>np. obszar</w:t>
      </w:r>
      <w:r>
        <w:t>u</w:t>
      </w:r>
      <w:r w:rsidRPr="00A60579">
        <w:t xml:space="preserve"> edukacji, schemat</w:t>
      </w:r>
      <w:r>
        <w:t>ów wsparcia</w:t>
      </w:r>
      <w:r w:rsidRPr="00A60579">
        <w:t>: kształcenie ogólne, kształcenie zawodowe</w:t>
      </w:r>
      <w:r>
        <w:t>.</w:t>
      </w:r>
    </w:p>
  </w:footnote>
  <w:footnote w:id="31">
    <w:p w14:paraId="69FF08B5" w14:textId="77777777" w:rsidR="00B7535A" w:rsidRDefault="00B7535A">
      <w:pPr>
        <w:pStyle w:val="Tekstprzypisudolnego"/>
      </w:pPr>
      <w:r>
        <w:rPr>
          <w:rStyle w:val="Odwoanieprzypisudolnego"/>
        </w:rPr>
        <w:footnoteRef/>
      </w:r>
      <w:r>
        <w:t xml:space="preserve"> </w:t>
      </w:r>
      <w:r w:rsidR="00E826F4">
        <w:t>„</w:t>
      </w:r>
      <w:r w:rsidR="00E826F4" w:rsidRPr="00E826F4">
        <w:t>Strategie terytorialne (ZIT i IIT) mogą być finansowane ze środków regionalnego programu zarówno z EFRR, jak i EFS+, jak i FST w ramach wydzielonych działań.</w:t>
      </w:r>
      <w:r w:rsidR="00E826F4">
        <w:t>”</w:t>
      </w:r>
      <w:r w:rsidR="00E826F4" w:rsidRPr="00E826F4">
        <w:t xml:space="preserve"> </w:t>
      </w:r>
      <w:r w:rsidR="00E826F4">
        <w:t>(…) „</w:t>
      </w:r>
      <w:r w:rsidR="00E826F4" w:rsidRPr="00E826F4">
        <w:t>Projekty wynikające ze Strategii ZIT mogą być finansowane ze środków regionalnego programu zarówno z EFRR, jak i EFS+ w ramach wydzielonych działań.</w:t>
      </w:r>
      <w:r w:rsidR="00E826F4">
        <w:t>”</w:t>
      </w:r>
    </w:p>
  </w:footnote>
  <w:footnote w:id="32">
    <w:p w14:paraId="77FDEB08" w14:textId="77777777" w:rsidR="00BD6196" w:rsidRDefault="00BD6196" w:rsidP="00BD6196">
      <w:pPr>
        <w:pStyle w:val="Tekstprzypisudolnego"/>
      </w:pPr>
      <w:r>
        <w:rPr>
          <w:rStyle w:val="Odwoanieprzypisudolnego"/>
        </w:rPr>
        <w:footnoteRef/>
      </w:r>
      <w:r>
        <w:t xml:space="preserve"> Jedynie w przypadku ZIT Bydgoszcz najpierw zatwierdzono Strategię, a później zawarto porozumienie.</w:t>
      </w:r>
    </w:p>
  </w:footnote>
  <w:footnote w:id="33">
    <w:p w14:paraId="632E8598" w14:textId="77777777" w:rsidR="00BD6196" w:rsidRDefault="00BD6196" w:rsidP="00BD6196">
      <w:pPr>
        <w:pStyle w:val="Tekstprzypisudolnego"/>
      </w:pPr>
      <w:r>
        <w:rPr>
          <w:rStyle w:val="Odwoanieprzypisudolnego"/>
        </w:rPr>
        <w:footnoteRef/>
      </w:r>
      <w:r>
        <w:t xml:space="preserve"> W dalszej części rozdziału dokonano analizy dat zawierania porozumień z datami trwania naborów dedykowanych ZIT i OPPT.</w:t>
      </w:r>
    </w:p>
  </w:footnote>
  <w:footnote w:id="34">
    <w:p w14:paraId="0AC80372"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ZIT Bydgoszcz zawarł porozumienie 16.9.2023r., ZIT Toruń 24.10.2023r., a ZIT Inowrocławia 06.10.2023r.</w:t>
      </w:r>
    </w:p>
  </w:footnote>
  <w:footnote w:id="35">
    <w:p w14:paraId="3638DD1E" w14:textId="77777777" w:rsidR="00AC1178" w:rsidRDefault="00AC1178">
      <w:pPr>
        <w:pStyle w:val="Tekstprzypisudolnego"/>
      </w:pPr>
      <w:r>
        <w:rPr>
          <w:rStyle w:val="Odwoanieprzypisudolnego"/>
        </w:rPr>
        <w:footnoteRef/>
      </w:r>
      <w:r>
        <w:t xml:space="preserve"> </w:t>
      </w:r>
      <w:r w:rsidRPr="00AC1178">
        <w:t>Pierwszą przyjętą strategią była Strategia MOF Bydgoszczy</w:t>
      </w:r>
      <w:r>
        <w:t>.</w:t>
      </w:r>
    </w:p>
  </w:footnote>
  <w:footnote w:id="36">
    <w:p w14:paraId="3E87A449" w14:textId="26B2904A"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W sytuacji jednak gdy, właściwa ze względu na obszar, strategia ZIT / IIT dla OPPT nie została pozytywnie zaopiniowana przez ministra właściwego do spraw rozwoju regionalnego (jeśli dotyczy) lub Instytucję Zarządzającą / Instytucję </w:t>
      </w:r>
      <w:r w:rsidR="00162F43" w:rsidRPr="009012B4">
        <w:rPr>
          <w:rFonts w:cs="Tahoma"/>
        </w:rPr>
        <w:t xml:space="preserve">Pośredniczącą </w:t>
      </w:r>
      <w:r w:rsidRPr="009012B4">
        <w:rPr>
          <w:rFonts w:cs="Tahoma"/>
        </w:rPr>
        <w:t>wnioskodawca zobowiązany był załączyć do wniosku o dofinansowanie projektu oświadczenie organu lub podmiotu odpowiedzialnego za przygotowanie właściwej strategii ZIT / IIT dla OPPT potwierdzające, że projekt zostanie zamieszczony.</w:t>
      </w:r>
    </w:p>
  </w:footnote>
  <w:footnote w:id="37">
    <w:p w14:paraId="1318238E" w14:textId="2FCF7864" w:rsidR="006571CE" w:rsidRPr="009012B4" w:rsidRDefault="006571CE" w:rsidP="00146090">
      <w:pPr>
        <w:pStyle w:val="Tekstprzypisudolnego"/>
        <w:rPr>
          <w:rFonts w:cs="Tahoma"/>
        </w:rPr>
      </w:pPr>
      <w:r w:rsidRPr="009012B4">
        <w:rPr>
          <w:rStyle w:val="Odwoanieprzypisudolnego"/>
          <w:rFonts w:cs="Tahoma"/>
        </w:rPr>
        <w:footnoteRef/>
      </w:r>
      <w:r w:rsidR="00BD6196" w:rsidRPr="009012B4">
        <w:rPr>
          <w:rFonts w:cs="Tahoma"/>
        </w:rPr>
        <w:t xml:space="preserve"> </w:t>
      </w:r>
      <w:r w:rsidR="00BD6196">
        <w:rPr>
          <w:rFonts w:cs="Tahoma"/>
        </w:rPr>
        <w:t xml:space="preserve">Na etapie przygotowywania fiszek projektowych nie było jeszcze zatwierdzonych kryteriów wyboru projektów </w:t>
      </w:r>
      <w:r w:rsidR="00BD6196" w:rsidRPr="009012B4">
        <w:rPr>
          <w:rFonts w:cs="Tahoma"/>
        </w:rPr>
        <w:t>w poszczególnych obszarach</w:t>
      </w:r>
      <w:r w:rsidR="00BD6196">
        <w:rPr>
          <w:rFonts w:cs="Tahoma"/>
        </w:rPr>
        <w:t xml:space="preserve"> wsparcia</w:t>
      </w:r>
      <w:r w:rsidR="00BD6196" w:rsidRPr="009012B4">
        <w:rPr>
          <w:rFonts w:cs="Tahoma"/>
        </w:rPr>
        <w:t>.</w:t>
      </w:r>
      <w:r w:rsidR="00BD6196">
        <w:rPr>
          <w:rFonts w:cs="Tahoma"/>
        </w:rPr>
        <w:t xml:space="preserve"> Same zaś fiszki projektowe </w:t>
      </w:r>
      <w:r w:rsidR="00BD6196" w:rsidRPr="00860C60">
        <w:rPr>
          <w:rFonts w:cs="Tahoma"/>
        </w:rPr>
        <w:t>były opracowywane</w:t>
      </w:r>
      <w:r w:rsidR="00BD6196">
        <w:rPr>
          <w:rFonts w:cs="Tahoma"/>
        </w:rPr>
        <w:t xml:space="preserve"> w celu weryfikowania ich</w:t>
      </w:r>
      <w:r w:rsidR="00BD6196" w:rsidRPr="00860C60">
        <w:rPr>
          <w:rFonts w:cs="Tahoma"/>
        </w:rPr>
        <w:t xml:space="preserve"> przez IZ </w:t>
      </w:r>
      <w:r w:rsidR="00BD6196">
        <w:rPr>
          <w:rFonts w:cs="Tahoma"/>
        </w:rPr>
        <w:t xml:space="preserve">pod kątem tego, </w:t>
      </w:r>
      <w:r w:rsidR="00BD6196" w:rsidRPr="00860C60">
        <w:rPr>
          <w:rFonts w:cs="Tahoma"/>
        </w:rPr>
        <w:t xml:space="preserve">czy wpisują się w założenia programu FEdKP. </w:t>
      </w:r>
      <w:r w:rsidR="00BD6196">
        <w:rPr>
          <w:rFonts w:cs="Tahoma"/>
        </w:rPr>
        <w:t>Na tym etapie nie zakładano zatem weryfikowania ich</w:t>
      </w:r>
      <w:r w:rsidR="00BD6196" w:rsidRPr="00860C60">
        <w:rPr>
          <w:rFonts w:cs="Tahoma"/>
        </w:rPr>
        <w:t xml:space="preserve"> zgodności z kryteriami</w:t>
      </w:r>
      <w:r w:rsidR="00BD6196">
        <w:rPr>
          <w:rFonts w:cs="Tahoma"/>
        </w:rPr>
        <w:t xml:space="preserve"> wyboru</w:t>
      </w:r>
      <w:r w:rsidR="00BD6196" w:rsidRPr="00860C60">
        <w:rPr>
          <w:rFonts w:cs="Tahoma"/>
        </w:rPr>
        <w:t>.</w:t>
      </w:r>
      <w:r w:rsidR="00BD6196">
        <w:rPr>
          <w:rFonts w:cs="Tahoma"/>
        </w:rPr>
        <w:t xml:space="preserve"> </w:t>
      </w:r>
    </w:p>
  </w:footnote>
  <w:footnote w:id="38">
    <w:p w14:paraId="2018B343" w14:textId="4546A509"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CAWI/CATI z wnioskodawcami FEdKP 2021-2027, n=67. Odpowiedź na pytanie: „Czy konieczne było wprowadzanie istotnych modyfikacji do koncepcji projektu zawartego w strategii terytorialnej na etapie naboru?”</w:t>
      </w:r>
      <w:r w:rsidR="00790CC0">
        <w:rPr>
          <w:rFonts w:cs="Tahoma"/>
        </w:rPr>
        <w:t>.</w:t>
      </w:r>
    </w:p>
  </w:footnote>
  <w:footnote w:id="39">
    <w:p w14:paraId="6EA1DF6A" w14:textId="77777777" w:rsidR="00BD6196" w:rsidRDefault="00BD6196" w:rsidP="00BD6196">
      <w:pPr>
        <w:pStyle w:val="Tekstprzypisudolnego"/>
      </w:pPr>
      <w:r>
        <w:rPr>
          <w:rStyle w:val="Odwoanieprzypisudolnego"/>
        </w:rPr>
        <w:footnoteRef/>
      </w:r>
      <w:r>
        <w:t xml:space="preserve"> Np. z uwagi na to, że przedstawione w fiszkach projekty nie wpisywały się w zakres wsparcia zdefiniowany kryteriami wyboru, jakie były publikowane na stronach naborów lub z powodu dezaktualizacji/ zmiany priorytetów (potrzeb) po stronie wnioskodawców.</w:t>
      </w:r>
    </w:p>
  </w:footnote>
  <w:footnote w:id="40">
    <w:p w14:paraId="5304C9B0"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 z dnia 14 maja 2024 r.</w:t>
      </w:r>
    </w:p>
  </w:footnote>
  <w:footnote w:id="41">
    <w:p w14:paraId="79BA393B" w14:textId="77777777" w:rsidR="00F640D7" w:rsidRPr="009012B4" w:rsidRDefault="00F640D7" w:rsidP="00B73A17">
      <w:pPr>
        <w:pStyle w:val="Tekstprzypisudolnego"/>
        <w:rPr>
          <w:rFonts w:cs="Tahoma"/>
        </w:rPr>
      </w:pPr>
      <w:r w:rsidRPr="009012B4">
        <w:rPr>
          <w:rStyle w:val="Odwoanieprzypisudolnego"/>
          <w:rFonts w:cs="Tahoma"/>
        </w:rPr>
        <w:footnoteRef/>
      </w:r>
      <w:r w:rsidRPr="009012B4">
        <w:rPr>
          <w:rFonts w:cs="Tahoma"/>
        </w:rPr>
        <w:t xml:space="preserve"> Więcej informacji na temat tego czynnika przedstawiono w rozdziale 4.3.4 raportu.</w:t>
      </w:r>
    </w:p>
  </w:footnote>
  <w:footnote w:id="42">
    <w:p w14:paraId="78327388" w14:textId="77777777" w:rsidR="005076BB" w:rsidRPr="009012B4" w:rsidRDefault="005076BB">
      <w:pPr>
        <w:pStyle w:val="Tekstprzypisudolnego"/>
        <w:rPr>
          <w:rFonts w:cs="Tahoma"/>
        </w:rPr>
      </w:pPr>
      <w:r w:rsidRPr="009012B4">
        <w:rPr>
          <w:rStyle w:val="Odwoanieprzypisudolnego"/>
          <w:rFonts w:cs="Tahoma"/>
        </w:rPr>
        <w:footnoteRef/>
      </w:r>
      <w:r w:rsidRPr="009012B4">
        <w:rPr>
          <w:rFonts w:cs="Tahoma"/>
        </w:rPr>
        <w:t xml:space="preserve"> Które to w większości naborów objętych badaniem obligowało wnioskodawców do posiadania kompletu dokumentacji technicznej i pozwoleń. Więcej o tym w rozdziale 5.1.</w:t>
      </w:r>
    </w:p>
  </w:footnote>
  <w:footnote w:id="43">
    <w:p w14:paraId="7F0AA129" w14:textId="51864136" w:rsidR="00BF152B" w:rsidRDefault="00BF152B">
      <w:pPr>
        <w:pStyle w:val="Tekstprzypisudolnego"/>
      </w:pPr>
      <w:r>
        <w:rPr>
          <w:rStyle w:val="Odwoanieprzypisudolnego"/>
        </w:rPr>
        <w:footnoteRef/>
      </w:r>
      <w:r>
        <w:t xml:space="preserve"> </w:t>
      </w:r>
      <w:r w:rsidR="00EB10EB">
        <w:t xml:space="preserve">W sytuacji, gdy </w:t>
      </w:r>
      <w:r w:rsidR="00486C1B">
        <w:t>taki</w:t>
      </w:r>
      <w:r w:rsidR="00EB10EB">
        <w:t xml:space="preserve"> </w:t>
      </w:r>
      <w:r w:rsidR="00486C1B">
        <w:t>departament</w:t>
      </w:r>
      <w:r w:rsidR="00EB10EB">
        <w:t xml:space="preserve"> nie jest </w:t>
      </w:r>
      <w:r w:rsidR="00486C1B">
        <w:t>wnioskodawcą.</w:t>
      </w:r>
    </w:p>
  </w:footnote>
  <w:footnote w:id="44">
    <w:p w14:paraId="6EB5F486" w14:textId="37547C4E" w:rsidR="002A3C7E" w:rsidRDefault="002A3C7E">
      <w:pPr>
        <w:pStyle w:val="Tekstprzypisudolnego"/>
      </w:pPr>
      <w:r>
        <w:rPr>
          <w:rStyle w:val="Odwoanieprzypisudolnego"/>
        </w:rPr>
        <w:footnoteRef/>
      </w:r>
      <w:r>
        <w:t xml:space="preserve"> Dane dla tych 6 naborów przedstawiono w rozdziale 4.1 raportu.</w:t>
      </w:r>
    </w:p>
  </w:footnote>
  <w:footnote w:id="45">
    <w:p w14:paraId="4B0812A6" w14:textId="53623B16" w:rsidR="00414301" w:rsidRDefault="00414301">
      <w:pPr>
        <w:pStyle w:val="Tekstprzypisudolnego"/>
      </w:pPr>
      <w:r>
        <w:rPr>
          <w:rStyle w:val="Odwoanieprzypisudolnego"/>
        </w:rPr>
        <w:footnoteRef/>
      </w:r>
      <w:r w:rsidR="008C6DC3">
        <w:t xml:space="preserve"> </w:t>
      </w:r>
      <w:r w:rsidR="008C6DC3" w:rsidRPr="008C6DC3">
        <w:t>Niewywiązanie się z określonego terminu może skutkować niemożliwością zweryfikowania i podpisania wniosku o dofinansowanie projektu przed upływem terminu złożenia wniosku do właściwej instytucji.</w:t>
      </w:r>
      <w:r w:rsidR="000D62F5">
        <w:t xml:space="preserve"> </w:t>
      </w:r>
    </w:p>
  </w:footnote>
  <w:footnote w:id="46">
    <w:p w14:paraId="657E5416" w14:textId="1D116827" w:rsidR="00FC0560" w:rsidRDefault="00FC0560">
      <w:pPr>
        <w:pStyle w:val="Tekstprzypisudolnego"/>
      </w:pPr>
      <w:r>
        <w:rPr>
          <w:rStyle w:val="Odwoanieprzypisudolnego"/>
        </w:rPr>
        <w:footnoteRef/>
      </w:r>
      <w:r>
        <w:t xml:space="preserve"> Tego typu zapis zamieszczono natomiast </w:t>
      </w:r>
      <w:r w:rsidR="00AB0A94">
        <w:t xml:space="preserve">w </w:t>
      </w:r>
      <w:r w:rsidR="00461350" w:rsidRPr="00141DFF">
        <w:t>Rozdzia</w:t>
      </w:r>
      <w:r w:rsidR="00461350">
        <w:t>le</w:t>
      </w:r>
      <w:r w:rsidR="00461350" w:rsidRPr="00141DFF">
        <w:t xml:space="preserve"> 2, częś</w:t>
      </w:r>
      <w:r w:rsidR="00461350">
        <w:t>ci</w:t>
      </w:r>
      <w:r w:rsidR="00461350" w:rsidRPr="00141DFF">
        <w:t xml:space="preserve"> III</w:t>
      </w:r>
      <w:r w:rsidR="00461350">
        <w:t>, ust. 6</w:t>
      </w:r>
      <w:r w:rsidR="00397771">
        <w:t xml:space="preserve"> Zasad zgłaszania projektów</w:t>
      </w:r>
      <w:r w:rsidR="00AB0A94">
        <w:t>.</w:t>
      </w:r>
      <w:r w:rsidR="00397771">
        <w:t xml:space="preserve"> </w:t>
      </w:r>
    </w:p>
  </w:footnote>
  <w:footnote w:id="47">
    <w:p w14:paraId="37890A3B" w14:textId="77777777" w:rsidR="00546D81" w:rsidRDefault="00546D81" w:rsidP="00546D81">
      <w:pPr>
        <w:pStyle w:val="Tekstprzypisudolnego"/>
      </w:pPr>
      <w:r>
        <w:rPr>
          <w:rStyle w:val="Odwoanieprzypisudolnego"/>
        </w:rPr>
        <w:footnoteRef/>
      </w:r>
      <w:r>
        <w:t xml:space="preserve"> </w:t>
      </w:r>
      <w:r w:rsidRPr="00281D44">
        <w:t>Ewaluacja bieżąca kryteriów i systemu wyboru projektów FE SL 2021-2027</w:t>
      </w:r>
      <w:r>
        <w:t>, Ecorys, Evalu, 2024.</w:t>
      </w:r>
    </w:p>
  </w:footnote>
  <w:footnote w:id="48">
    <w:p w14:paraId="1F5A4830" w14:textId="77777777" w:rsidR="00546D81" w:rsidRDefault="00546D81" w:rsidP="00546D81">
      <w:pPr>
        <w:pStyle w:val="Tekstprzypisudolnego"/>
      </w:pPr>
      <w:r>
        <w:rPr>
          <w:rStyle w:val="Odwoanieprzypisudolnego"/>
        </w:rPr>
        <w:footnoteRef/>
      </w:r>
      <w:r>
        <w:t xml:space="preserve"> </w:t>
      </w:r>
      <w:r w:rsidRPr="0051699C">
        <w:t>Ewaluacja kryteriów oraz systemu wyboru projektów w ramach Programu Fundusze Europejskie dla Lubuskiego 2021–2027 Polska Agencja Ewaluacji Sektora Publicznego S.A.</w:t>
      </w:r>
      <w:r>
        <w:t>, 2024.</w:t>
      </w:r>
    </w:p>
  </w:footnote>
  <w:footnote w:id="49">
    <w:p w14:paraId="6590093D" w14:textId="77777777" w:rsidR="00546D81" w:rsidRDefault="00546D81" w:rsidP="00546D81">
      <w:pPr>
        <w:pStyle w:val="Tekstprzypisudolnego"/>
      </w:pPr>
      <w:r>
        <w:rPr>
          <w:rStyle w:val="Odwoanieprzypisudolnego"/>
        </w:rPr>
        <w:footnoteRef/>
      </w:r>
      <w:r>
        <w:t xml:space="preserve"> </w:t>
      </w:r>
      <w:r w:rsidRPr="00E17E8C">
        <w:t>Ocena wpływu działań informacyjno-promocyjnych na sprawność systemu wdrażania RPOWP 2014</w:t>
      </w:r>
      <w:r>
        <w:t>-</w:t>
      </w:r>
      <w:r w:rsidRPr="00E17E8C">
        <w:t>2020</w:t>
      </w:r>
      <w:r>
        <w:t xml:space="preserve">, </w:t>
      </w:r>
      <w:r w:rsidRPr="00E17E8C">
        <w:t>Bluehill Sp. z o.o. oraz Quality Watch Sp. z o.o., 2018.</w:t>
      </w:r>
    </w:p>
  </w:footnote>
  <w:footnote w:id="50">
    <w:p w14:paraId="61BF6504" w14:textId="77777777" w:rsidR="00546D81" w:rsidRDefault="00546D81" w:rsidP="00546D81">
      <w:pPr>
        <w:pStyle w:val="Tekstprzypisudolnego"/>
      </w:pPr>
      <w:r>
        <w:rPr>
          <w:rStyle w:val="Odwoanieprzypisudolnego"/>
        </w:rPr>
        <w:footnoteRef/>
      </w:r>
      <w:r>
        <w:t xml:space="preserve"> </w:t>
      </w:r>
      <w:r w:rsidRPr="00281D44">
        <w:t>Ewaluacja bieżąca kryteriów i systemu wyboru projektów FE SL 2021-2027</w:t>
      </w:r>
      <w:r>
        <w:t>, Ecorys, Evalu, 2024.</w:t>
      </w:r>
    </w:p>
  </w:footnote>
  <w:footnote w:id="51">
    <w:p w14:paraId="06932DF6" w14:textId="77777777" w:rsidR="00546D81" w:rsidRPr="00E17E8C" w:rsidRDefault="00546D81" w:rsidP="00546D81">
      <w:pPr>
        <w:pStyle w:val="Tekstprzypisudolnego"/>
      </w:pPr>
      <w:r>
        <w:rPr>
          <w:rStyle w:val="Odwoanieprzypisudolnego"/>
        </w:rPr>
        <w:footnoteRef/>
      </w:r>
      <w:r w:rsidRPr="00E17E8C">
        <w:t xml:space="preserve"> Ocena wpływu działań informacyjno-promocyjnych na sprawność systemu wdrażania RPOWP 2014</w:t>
      </w:r>
      <w:r>
        <w:t>-</w:t>
      </w:r>
      <w:r w:rsidRPr="00E17E8C">
        <w:t>2020</w:t>
      </w:r>
      <w:r>
        <w:t xml:space="preserve">, </w:t>
      </w:r>
      <w:r w:rsidRPr="00E17E8C">
        <w:t>Bluehill Sp. z o.o. oraz Quality Watch Sp. z o.o., 2018.</w:t>
      </w:r>
    </w:p>
  </w:footnote>
  <w:footnote w:id="52">
    <w:p w14:paraId="5756F23C" w14:textId="77777777" w:rsidR="00546D81" w:rsidRDefault="00546D81" w:rsidP="00546D81">
      <w:pPr>
        <w:pStyle w:val="Tekstprzypisudolnego"/>
      </w:pPr>
      <w:r>
        <w:rPr>
          <w:rStyle w:val="Odwoanieprzypisudolnego"/>
        </w:rPr>
        <w:footnoteRef/>
      </w:r>
      <w:r>
        <w:t xml:space="preserve"> Ewaluacja kryteriów i systemu wyboru projektów FEWiM 2021-2027,</w:t>
      </w:r>
      <w:r w:rsidRPr="004A27DF">
        <w:t xml:space="preserve"> EU-CONSULT sp. z o.o.</w:t>
      </w:r>
      <w:r>
        <w:t>, 2024.</w:t>
      </w:r>
    </w:p>
  </w:footnote>
  <w:footnote w:id="53">
    <w:p w14:paraId="2669667D" w14:textId="025146F1" w:rsidR="002F1662" w:rsidRDefault="002F1662">
      <w:pPr>
        <w:pStyle w:val="Tekstprzypisudolnego"/>
      </w:pPr>
      <w:r>
        <w:rPr>
          <w:rStyle w:val="Odwoanieprzypisudolnego"/>
        </w:rPr>
        <w:footnoteRef/>
      </w:r>
      <w:r>
        <w:t xml:space="preserve"> </w:t>
      </w:r>
      <w:r w:rsidR="00136B2E" w:rsidRPr="00136B2E">
        <w:t>Za zgodne z harmonogramem uznano terminy naborów, w których odstępstwo od harmonogramu nie przekraczało 7 dni.</w:t>
      </w:r>
      <w:r w:rsidR="00136B2E">
        <w:t xml:space="preserve"> </w:t>
      </w:r>
      <w:r w:rsidR="00B72953">
        <w:t>Porówn</w:t>
      </w:r>
      <w:r w:rsidR="00BA0682">
        <w:t xml:space="preserve">ywano harmonogramy naborów obowiązujące pół roku przed ogłoszeniem danego naboru. </w:t>
      </w:r>
    </w:p>
  </w:footnote>
  <w:footnote w:id="54">
    <w:p w14:paraId="4A556749" w14:textId="77777777" w:rsidR="002979EE" w:rsidRDefault="002979EE" w:rsidP="002979EE">
      <w:pPr>
        <w:pStyle w:val="Tekstprzypisudolnego"/>
      </w:pPr>
      <w:r>
        <w:rPr>
          <w:rStyle w:val="Odwoanieprzypisudolnego"/>
        </w:rPr>
        <w:footnoteRef/>
      </w:r>
      <w:r>
        <w:t xml:space="preserve"> I</w:t>
      </w:r>
      <w:r w:rsidRPr="006A75BB">
        <w:t>nstytucja nie ma takiego</w:t>
      </w:r>
      <w:r>
        <w:t xml:space="preserve"> </w:t>
      </w:r>
      <w:r w:rsidRPr="006A75BB">
        <w:t>obowiązku, jeżeli wyjaśnienie polega jedynie na odesłaniu do stosownych</w:t>
      </w:r>
      <w:r>
        <w:t xml:space="preserve"> </w:t>
      </w:r>
      <w:r w:rsidRPr="006A75BB">
        <w:t>dokumentów lub ich przytoczeniu.</w:t>
      </w:r>
    </w:p>
  </w:footnote>
  <w:footnote w:id="55">
    <w:p w14:paraId="71E2351A" w14:textId="43B2ACC3" w:rsidR="00122757" w:rsidRDefault="00122757">
      <w:pPr>
        <w:pStyle w:val="Tekstprzypisudolnego"/>
      </w:pPr>
      <w:r>
        <w:rPr>
          <w:rStyle w:val="Odwoanieprzypisudolnego"/>
        </w:rPr>
        <w:footnoteRef/>
      </w:r>
      <w:r>
        <w:t xml:space="preserve"> Pod uwagę brano wersje harmonogramów naborów </w:t>
      </w:r>
      <w:r w:rsidR="0070029A">
        <w:t xml:space="preserve">publikowane pół roku przed ogłoszeniem danego naboru. </w:t>
      </w:r>
    </w:p>
  </w:footnote>
  <w:footnote w:id="56">
    <w:p w14:paraId="1FBC1CA9" w14:textId="621C92D3" w:rsidR="005C4A12" w:rsidRDefault="005C4A12">
      <w:pPr>
        <w:pStyle w:val="Tekstprzypisudolnego"/>
      </w:pPr>
      <w:r>
        <w:rPr>
          <w:rStyle w:val="Odwoanieprzypisudolnego"/>
        </w:rPr>
        <w:footnoteRef/>
      </w:r>
      <w:r>
        <w:t xml:space="preserve"> Za: </w:t>
      </w:r>
      <w:r w:rsidR="00E37F24" w:rsidRPr="00E37F24">
        <w:t>Ewaluacja bieżąca kryteriów i systemu wyboru projektów w ramach programu Fundusze Europejskie dla Kujaw i Pomorza 2021-2027</w:t>
      </w:r>
      <w:r w:rsidR="00E37F24">
        <w:t>, PAG Uniconsult, 2024.</w:t>
      </w:r>
    </w:p>
  </w:footnote>
  <w:footnote w:id="57">
    <w:p w14:paraId="7B032AA1" w14:textId="3304E873" w:rsidR="008B3AE0" w:rsidRDefault="008B3AE0">
      <w:pPr>
        <w:pStyle w:val="Tekstprzypisudolnego"/>
      </w:pPr>
      <w:r>
        <w:rPr>
          <w:rStyle w:val="Odwoanieprzypisudolnego"/>
        </w:rPr>
        <w:footnoteRef/>
      </w:r>
      <w:r>
        <w:t xml:space="preserve"> Znaczenie mogą tu mieć również zdiagnozowane w FEdKP 2021-2027 </w:t>
      </w:r>
      <w:r w:rsidR="00FB7B63">
        <w:t xml:space="preserve">stanowiące barierę </w:t>
      </w:r>
      <w:r w:rsidR="00FB7B63" w:rsidRPr="00FB7B63">
        <w:t>trendy społeczne i wzorce kulturowe oddział</w:t>
      </w:r>
      <w:r w:rsidR="00FB7B63">
        <w:t>ujące</w:t>
      </w:r>
      <w:r w:rsidR="00FB7B63" w:rsidRPr="00FB7B63">
        <w:t xml:space="preserve"> negatywnie na możliwość uczestnictwa dzieci w wychowaniu przedszkolnym przy braku zmian świadomościowych wśród opiekunów prawnych</w:t>
      </w:r>
      <w:r w:rsidR="00FB7B63">
        <w:t>.</w:t>
      </w:r>
    </w:p>
  </w:footnote>
  <w:footnote w:id="58">
    <w:p w14:paraId="14277858" w14:textId="51C04BD5" w:rsidR="00A005CA" w:rsidRDefault="00A005CA">
      <w:pPr>
        <w:pStyle w:val="Tekstprzypisudolnego"/>
      </w:pPr>
      <w:r>
        <w:rPr>
          <w:rStyle w:val="Odwoanieprzypisudolnego"/>
        </w:rPr>
        <w:footnoteRef/>
      </w:r>
      <w:r>
        <w:t xml:space="preserve"> Instrukcja</w:t>
      </w:r>
      <w:r w:rsidRPr="00EB32BB">
        <w:t xml:space="preserve"> (merytoryczn</w:t>
      </w:r>
      <w:r>
        <w:t>a</w:t>
      </w:r>
      <w:r w:rsidRPr="00EB32BB">
        <w:t>) wypełniania wniosku o dofinansowanie projektu współfinansowanego z EFS+</w:t>
      </w:r>
      <w:r w:rsidR="00790223" w:rsidRPr="00790223">
        <w:t xml:space="preserve"> w ramach Programu Fundusze Europejskie dla Warmii i Mazur 2021-2027</w:t>
      </w:r>
      <w:r w:rsidR="00790223">
        <w:t>”</w:t>
      </w:r>
      <w:r>
        <w:t>, „</w:t>
      </w:r>
      <w:r w:rsidR="00790223" w:rsidRPr="00790223">
        <w:t>Instrukcja pomocnicza wypełniania wniosku o dofinansowanie projektu współfinansowanego z EFRR w ramach Programu Fundusze Europejskie dla Warmii i Mazur 2021-2027</w:t>
      </w:r>
      <w:r w:rsidR="00790223">
        <w:t>”.</w:t>
      </w:r>
    </w:p>
  </w:footnote>
  <w:footnote w:id="59">
    <w:p w14:paraId="352B7B63" w14:textId="7B9A65D9" w:rsidR="00CB576D" w:rsidRDefault="00CB576D" w:rsidP="00CB576D">
      <w:pPr>
        <w:pStyle w:val="Tekstprzypisudolnego"/>
      </w:pPr>
      <w:r>
        <w:rPr>
          <w:rStyle w:val="Odwoanieprzypisudolnego"/>
        </w:rPr>
        <w:footnoteRef/>
      </w:r>
      <w:r>
        <w:t xml:space="preserve"> Informacje przydatne zdaniem wnioskodawców FEdKP 2021-2027 w procesie przygotowywania wniosków o dofinansowanie projektów </w:t>
      </w:r>
      <w:r w:rsidR="00CA43DD">
        <w:t xml:space="preserve">– 58% </w:t>
      </w:r>
      <w:r w:rsidR="00CA43DD" w:rsidRPr="00CA43DD">
        <w:t>wskazał</w:t>
      </w:r>
      <w:r w:rsidR="00CA43DD">
        <w:t>o</w:t>
      </w:r>
      <w:r w:rsidR="00CA43DD" w:rsidRPr="00CA43DD">
        <w:t xml:space="preserve"> na kwestie dotyczące kwalifikowalności wydatków w projektach</w:t>
      </w:r>
      <w:r w:rsidR="00CA43DD">
        <w:t xml:space="preserve">; </w:t>
      </w:r>
      <w:r w:rsidR="00ED4BBD" w:rsidRPr="00ED4BBD">
        <w:t>Ewaluacja bieżąca kryteriów i systemu wyboru projektów w ramach FEdKP 2021-2027, PAG Uniconsult, 2024.</w:t>
      </w:r>
    </w:p>
  </w:footnote>
  <w:footnote w:id="60">
    <w:p w14:paraId="2CB72028" w14:textId="0E61B0BB" w:rsidR="00B543CF" w:rsidRDefault="00B543CF">
      <w:pPr>
        <w:pStyle w:val="Tekstprzypisudolnego"/>
      </w:pPr>
      <w:r>
        <w:rPr>
          <w:rStyle w:val="Odwoanieprzypisudolnego"/>
        </w:rPr>
        <w:footnoteRef/>
      </w:r>
      <w:r>
        <w:t xml:space="preserve"> </w:t>
      </w:r>
      <w:hyperlink r:id="rId5" w:anchor="recruitment-docs" w:history="1">
        <w:r w:rsidR="00EF4FC7">
          <w:rPr>
            <w:rStyle w:val="Hipercze"/>
          </w:rPr>
          <w:t>Nabór nr FESL.10.24-IZ.01-024/23</w:t>
        </w:r>
      </w:hyperlink>
      <w:r w:rsidR="004E070C">
        <w:t xml:space="preserve"> </w:t>
      </w:r>
    </w:p>
  </w:footnote>
  <w:footnote w:id="61">
    <w:p w14:paraId="43366D5F" w14:textId="744B5129" w:rsidR="00AB1F68" w:rsidRDefault="00AB1F68">
      <w:pPr>
        <w:pStyle w:val="Tekstprzypisudolnego"/>
      </w:pPr>
      <w:r>
        <w:rPr>
          <w:rStyle w:val="Odwoanieprzypisudolnego"/>
        </w:rPr>
        <w:footnoteRef/>
      </w:r>
      <w:r>
        <w:t xml:space="preserve"> </w:t>
      </w:r>
      <w:r w:rsidRPr="00AB1F68">
        <w:t>Limit 3 miejsc został wpisany do Wytycznych EFS+ jako warunek konieczny i stanowi kompromis z dyskusji nt. obowiązku zapewnienia osobom potrzebującym wsparcia prawa do samodzielnego życia i możliwości decydowania o sobie w warunkach jak najbardziej zbliżonych do naturalnych.</w:t>
      </w:r>
    </w:p>
  </w:footnote>
  <w:footnote w:id="62">
    <w:p w14:paraId="49097578" w14:textId="54C5A13E" w:rsidR="00006482" w:rsidRPr="009012B4" w:rsidRDefault="00006482" w:rsidP="00B73A17">
      <w:pPr>
        <w:pStyle w:val="Tekstprzypisudolnego"/>
        <w:rPr>
          <w:rFonts w:cs="Tahoma"/>
        </w:rPr>
      </w:pPr>
      <w:r w:rsidRPr="009012B4">
        <w:rPr>
          <w:rStyle w:val="Odwoanieprzypisudolnego"/>
          <w:rFonts w:cs="Tahoma"/>
        </w:rPr>
        <w:footnoteRef/>
      </w:r>
      <w:r w:rsidRPr="009012B4">
        <w:rPr>
          <w:rFonts w:cs="Tahoma"/>
        </w:rPr>
        <w:t xml:space="preserve"> </w:t>
      </w:r>
      <w:hyperlink r:id="rId6" w:history="1">
        <w:r w:rsidRPr="009012B4">
          <w:rPr>
            <w:rStyle w:val="Hipercze"/>
            <w:rFonts w:cs="Tahoma"/>
          </w:rPr>
          <w:t>Ustawa z dnia 12 marca 2004 r. o pomocy społecznej</w:t>
        </w:r>
      </w:hyperlink>
      <w:r w:rsidRPr="009012B4">
        <w:rPr>
          <w:rFonts w:cs="Tahoma"/>
        </w:rPr>
        <w:t xml:space="preserve"> (Dz. U. z 2024 r. poz. 1283, z późn. zm.)</w:t>
      </w:r>
      <w:r w:rsidR="00C82706">
        <w:rPr>
          <w:rFonts w:cs="Tahoma"/>
        </w:rPr>
        <w:t>.</w:t>
      </w:r>
      <w:r w:rsidRPr="009012B4">
        <w:rPr>
          <w:rFonts w:cs="Tahoma"/>
        </w:rPr>
        <w:t xml:space="preserve"> </w:t>
      </w:r>
    </w:p>
  </w:footnote>
  <w:footnote w:id="63">
    <w:p w14:paraId="6ABDBD91" w14:textId="77777777"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Jak pokazały przeprowadzone analizy, porozumienia terytorialne były zawierane dopiero po ogłoszeniu części naborów objętych badaniem. Taka sytuacja dotyczyła 13 spośród 27 naborów dot. IT (a więc niemal połowy) i obejmowała 7 naborów w ramach ZIT oraz 6 naborów w ramach OPPT. Oznacza to zatem, że strategie terytorialne były przyjmowane jeszcze później.</w:t>
      </w:r>
    </w:p>
  </w:footnote>
  <w:footnote w:id="64">
    <w:p w14:paraId="0C1E5BA4" w14:textId="5F4410AC"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W przypadku IP ZIT</w:t>
      </w:r>
      <w:r w:rsidR="00813BA4">
        <w:rPr>
          <w:rFonts w:cs="Tahoma"/>
        </w:rPr>
        <w:t xml:space="preserve"> </w:t>
      </w:r>
      <w:r w:rsidRPr="009012B4">
        <w:rPr>
          <w:rFonts w:cs="Tahoma"/>
        </w:rPr>
        <w:t xml:space="preserve">BydOF dodatkowo istnieje możliwość przesunięć alokacji między Funduszami </w:t>
      </w:r>
      <w:r w:rsidRPr="009012B4">
        <w:rPr>
          <w:rFonts w:cs="Tahoma"/>
          <w:color w:val="000000" w:themeColor="text1"/>
        </w:rPr>
        <w:t>na zasadach określonych w Porozumieniu powierzenia IP.</w:t>
      </w:r>
    </w:p>
  </w:footnote>
  <w:footnote w:id="65">
    <w:p w14:paraId="03AE4EA4" w14:textId="3CC7A0EA"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Zmiany w zakresie wprowadzenia nowej fiszki projektowej oraz zmiany zakresu zadania opisanego w fiszce, wymagają akceptacji</w:t>
      </w:r>
      <w:r w:rsidR="00776243" w:rsidRPr="009012B4">
        <w:rPr>
          <w:rFonts w:cs="Tahoma"/>
        </w:rPr>
        <w:t xml:space="preserve"> </w:t>
      </w:r>
      <w:r w:rsidRPr="009012B4">
        <w:rPr>
          <w:rFonts w:cs="Tahoma"/>
        </w:rPr>
        <w:t>Instytucji Zarządzającej, która podejmuje każdorazowo decyzję czy wiąże się to z koniecznością podpisania aneksu do Porozumienia. Jedynie w przypadku IP ZIT</w:t>
      </w:r>
      <w:r w:rsidR="00813BA4">
        <w:rPr>
          <w:rFonts w:cs="Tahoma"/>
        </w:rPr>
        <w:t xml:space="preserve"> </w:t>
      </w:r>
      <w:r w:rsidRPr="009012B4">
        <w:rPr>
          <w:rFonts w:cs="Tahoma"/>
        </w:rPr>
        <w:t>BydOF wprowadzono zapis, że każda taka zmiana wiąże się z koniecznością podpisania aneksu do Porozumienia.</w:t>
      </w:r>
    </w:p>
  </w:footnote>
  <w:footnote w:id="66">
    <w:p w14:paraId="510B958F" w14:textId="4F95F4F1"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67">
    <w:p w14:paraId="447580B1" w14:textId="7E5EDDC6"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W szczególnie uzasadnionych przypadkach, za zgodą lub na wniosek IZ FEdKP, dopuszcza się możliwość aktualizacji strategii częściej niż dwa</w:t>
      </w:r>
      <w:r w:rsidR="00776243" w:rsidRPr="009012B4">
        <w:rPr>
          <w:rFonts w:cs="Tahoma"/>
        </w:rPr>
        <w:t xml:space="preserve"> </w:t>
      </w:r>
      <w:r w:rsidRPr="009012B4">
        <w:rPr>
          <w:rFonts w:cs="Tahoma"/>
        </w:rPr>
        <w:t>razy do roku.</w:t>
      </w:r>
    </w:p>
  </w:footnote>
  <w:footnote w:id="68">
    <w:p w14:paraId="6AD6D5CC" w14:textId="71A28369"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Zasada ta została ujęta w: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69">
    <w:p w14:paraId="4ED4E899" w14:textId="251C1930" w:rsidR="00BB16D3" w:rsidRPr="009012B4" w:rsidRDefault="00BB16D3" w:rsidP="00B73A17">
      <w:pPr>
        <w:pStyle w:val="Tekstprzypisudolnego"/>
        <w:rPr>
          <w:rFonts w:cs="Tahoma"/>
        </w:rPr>
      </w:pPr>
      <w:r w:rsidRPr="009012B4">
        <w:rPr>
          <w:rStyle w:val="Odwoanieprzypisudolnego"/>
          <w:rFonts w:cs="Tahoma"/>
        </w:rPr>
        <w:footnoteRef/>
      </w:r>
      <w:r w:rsidRPr="009012B4">
        <w:rPr>
          <w:rFonts w:cs="Tahoma"/>
        </w:rPr>
        <w:t xml:space="preserve"> Polityka terytorialna województwa kujawsko-pomorskiego, Załącznik do Uchwały nr 1/19/24 Zarządu Województwa Kujawsko-Pomorskiego</w:t>
      </w:r>
      <w:r w:rsidR="00776243" w:rsidRPr="009012B4">
        <w:rPr>
          <w:rFonts w:cs="Tahoma"/>
        </w:rPr>
        <w:t xml:space="preserve"> </w:t>
      </w:r>
      <w:r w:rsidRPr="009012B4">
        <w:rPr>
          <w:rFonts w:cs="Tahoma"/>
        </w:rPr>
        <w:t>z dnia 14 maja 2024 r.</w:t>
      </w:r>
    </w:p>
  </w:footnote>
  <w:footnote w:id="70">
    <w:p w14:paraId="746E6B4F" w14:textId="115061F6"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Za wyjątkiem kilku naborów ogłoszonych w ostatnich miesiącach 2024r. (FEKP.02.08-IZ.00-150/24, FEKP.02.08-IZ.00-157/24, FEKP.03.02-IZ.00-168/24</w:t>
      </w:r>
      <w:r w:rsidR="00C80997" w:rsidRPr="009012B4">
        <w:rPr>
          <w:rFonts w:cs="Tahoma"/>
        </w:rPr>
        <w:t>).</w:t>
      </w:r>
    </w:p>
  </w:footnote>
  <w:footnote w:id="71">
    <w:p w14:paraId="4B17BED1"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Opatrzone klauzulą ostateczności decyzje trzeba było przedłożyć najpóźniej na etapie podpisania umowy o dofinansowanie projektu.</w:t>
      </w:r>
    </w:p>
  </w:footnote>
  <w:footnote w:id="72">
    <w:p w14:paraId="69004159"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Należy posiadać wszystkie pozostałe decyzje, pozwolenia, uzgodnienia oraz opracowania składające się na dokumentację techniczną wymagane do złożenia wniosku o wydanie pozwolenia administracyjnego zezwalającego na realizację inwestycji.</w:t>
      </w:r>
    </w:p>
  </w:footnote>
  <w:footnote w:id="73">
    <w:p w14:paraId="49D7E2FA" w14:textId="77777777" w:rsidR="008711D0" w:rsidRPr="009012B4" w:rsidRDefault="008711D0" w:rsidP="00B73A17">
      <w:pPr>
        <w:pStyle w:val="Tekstprzypisudolnego"/>
        <w:rPr>
          <w:rFonts w:cs="Tahoma"/>
        </w:rPr>
      </w:pPr>
      <w:r w:rsidRPr="009012B4">
        <w:rPr>
          <w:rStyle w:val="Odwoanieprzypisudolnego"/>
          <w:rFonts w:cs="Tahoma"/>
        </w:rPr>
        <w:footnoteRef/>
      </w:r>
      <w:r w:rsidRPr="009012B4">
        <w:rPr>
          <w:rFonts w:cs="Tahoma"/>
        </w:rPr>
        <w:t xml:space="preserve"> W oparciu o przygotowany przez wnioskodawcę na etapie podpisania umowy harmonogram otrzymania takiego pozwolenia.</w:t>
      </w:r>
    </w:p>
  </w:footnote>
  <w:footnote w:id="74">
    <w:p w14:paraId="64E577B1" w14:textId="5174FF3B" w:rsidR="00980498" w:rsidRDefault="00980498">
      <w:pPr>
        <w:pStyle w:val="Tekstprzypisudolnego"/>
      </w:pPr>
      <w:r>
        <w:rPr>
          <w:rStyle w:val="Odwoanieprzypisudolnego"/>
        </w:rPr>
        <w:footnoteRef/>
      </w:r>
      <w:r>
        <w:t xml:space="preserve"> Przedstawiciele beneficjentów tych projektów wskazywali na problem niedostatecznego </w:t>
      </w:r>
      <w:r w:rsidR="00773D24">
        <w:t>zainteresowania</w:t>
      </w:r>
      <w:r>
        <w:t xml:space="preserve"> </w:t>
      </w:r>
      <w:r w:rsidR="00B76DEC">
        <w:t>wsparciem</w:t>
      </w:r>
      <w:r w:rsidR="00773D24">
        <w:t xml:space="preserve"> ze strony MŚP.</w:t>
      </w:r>
    </w:p>
  </w:footnote>
  <w:footnote w:id="75">
    <w:p w14:paraId="19D31543" w14:textId="563C9DFA"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Powinien mieć formę daty dziennej. Wyjątek stanowią rekomendacje przewidziane do wdrożenia w kolejnej perspektywie finansowej, dla których zamiast daty dziennej można zastosować kategorię „przyszła perspektywa finansowa”.</w:t>
      </w:r>
    </w:p>
  </w:footnote>
  <w:footnote w:id="76">
    <w:p w14:paraId="51E376F1" w14:textId="77777777"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Rekomendacja horyzontalna / Rekomendacja programowa operacyjna / Rekomendacja programowa strategiczna.</w:t>
      </w:r>
    </w:p>
  </w:footnote>
  <w:footnote w:id="77">
    <w:p w14:paraId="1E56DFF5" w14:textId="77777777" w:rsidR="00C60240" w:rsidRPr="009012B4" w:rsidRDefault="00C60240" w:rsidP="00C60240">
      <w:pPr>
        <w:pStyle w:val="Tekstprzypisudolnego"/>
        <w:rPr>
          <w:rFonts w:cs="Tahoma"/>
        </w:rPr>
      </w:pPr>
      <w:r w:rsidRPr="009012B4">
        <w:rPr>
          <w:rStyle w:val="Odwoanieprzypisudolnego"/>
          <w:rFonts w:cs="Tahoma"/>
        </w:rPr>
        <w:footnoteRef/>
      </w:r>
      <w:r w:rsidRPr="009012B4">
        <w:rPr>
          <w:rFonts w:cs="Tahoma"/>
        </w:rPr>
        <w:t xml:space="preserve"> Nadawany w momencie zatwierdzania rekomendacji.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0A92E" w14:textId="77777777" w:rsidR="002A7DF4" w:rsidRDefault="002A7DF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56F1"/>
    <w:multiLevelType w:val="hybridMultilevel"/>
    <w:tmpl w:val="E17CD4A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1EC79F0"/>
    <w:multiLevelType w:val="hybridMultilevel"/>
    <w:tmpl w:val="9C12DE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0457D0"/>
    <w:multiLevelType w:val="hybridMultilevel"/>
    <w:tmpl w:val="F85EEE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69D6785"/>
    <w:multiLevelType w:val="hybridMultilevel"/>
    <w:tmpl w:val="29BEECB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94966C4"/>
    <w:multiLevelType w:val="hybridMultilevel"/>
    <w:tmpl w:val="93C0AA32"/>
    <w:lvl w:ilvl="0" w:tplc="EA4C0264">
      <w:start w:val="1"/>
      <w:numFmt w:val="decimal"/>
      <w:lvlText w:val="%1."/>
      <w:lvlJc w:val="left"/>
      <w:pPr>
        <w:ind w:left="1020" w:hanging="360"/>
      </w:pPr>
    </w:lvl>
    <w:lvl w:ilvl="1" w:tplc="F1D65056">
      <w:start w:val="1"/>
      <w:numFmt w:val="decimal"/>
      <w:lvlText w:val="%2."/>
      <w:lvlJc w:val="left"/>
      <w:pPr>
        <w:ind w:left="1020" w:hanging="360"/>
      </w:pPr>
    </w:lvl>
    <w:lvl w:ilvl="2" w:tplc="4B903F82">
      <w:start w:val="1"/>
      <w:numFmt w:val="decimal"/>
      <w:lvlText w:val="%3."/>
      <w:lvlJc w:val="left"/>
      <w:pPr>
        <w:ind w:left="1020" w:hanging="360"/>
      </w:pPr>
    </w:lvl>
    <w:lvl w:ilvl="3" w:tplc="E3D617A8">
      <w:start w:val="1"/>
      <w:numFmt w:val="decimal"/>
      <w:lvlText w:val="%4."/>
      <w:lvlJc w:val="left"/>
      <w:pPr>
        <w:ind w:left="1020" w:hanging="360"/>
      </w:pPr>
    </w:lvl>
    <w:lvl w:ilvl="4" w:tplc="DDA0F8EC">
      <w:start w:val="1"/>
      <w:numFmt w:val="decimal"/>
      <w:lvlText w:val="%5."/>
      <w:lvlJc w:val="left"/>
      <w:pPr>
        <w:ind w:left="1020" w:hanging="360"/>
      </w:pPr>
    </w:lvl>
    <w:lvl w:ilvl="5" w:tplc="0BF8938A">
      <w:start w:val="1"/>
      <w:numFmt w:val="decimal"/>
      <w:lvlText w:val="%6."/>
      <w:lvlJc w:val="left"/>
      <w:pPr>
        <w:ind w:left="1020" w:hanging="360"/>
      </w:pPr>
    </w:lvl>
    <w:lvl w:ilvl="6" w:tplc="C32644E6">
      <w:start w:val="1"/>
      <w:numFmt w:val="decimal"/>
      <w:lvlText w:val="%7."/>
      <w:lvlJc w:val="left"/>
      <w:pPr>
        <w:ind w:left="1020" w:hanging="360"/>
      </w:pPr>
    </w:lvl>
    <w:lvl w:ilvl="7" w:tplc="A858CC32">
      <w:start w:val="1"/>
      <w:numFmt w:val="decimal"/>
      <w:lvlText w:val="%8."/>
      <w:lvlJc w:val="left"/>
      <w:pPr>
        <w:ind w:left="1020" w:hanging="360"/>
      </w:pPr>
    </w:lvl>
    <w:lvl w:ilvl="8" w:tplc="21F4E8D6">
      <w:start w:val="1"/>
      <w:numFmt w:val="decimal"/>
      <w:lvlText w:val="%9."/>
      <w:lvlJc w:val="left"/>
      <w:pPr>
        <w:ind w:left="1020" w:hanging="360"/>
      </w:pPr>
    </w:lvl>
  </w:abstractNum>
  <w:abstractNum w:abstractNumId="5" w15:restartNumberingAfterBreak="0">
    <w:nsid w:val="0AE530CA"/>
    <w:multiLevelType w:val="hybridMultilevel"/>
    <w:tmpl w:val="FA1499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BF579D2"/>
    <w:multiLevelType w:val="hybridMultilevel"/>
    <w:tmpl w:val="7F7C3B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C1074E8"/>
    <w:multiLevelType w:val="hybridMultilevel"/>
    <w:tmpl w:val="5B04321A"/>
    <w:lvl w:ilvl="0" w:tplc="9EB4FA3C">
      <w:start w:val="1"/>
      <w:numFmt w:val="bullet"/>
      <w:lvlText w:val=""/>
      <w:lvlJc w:val="left"/>
      <w:pPr>
        <w:ind w:left="400" w:hanging="360"/>
      </w:pPr>
      <w:rPr>
        <w:rFonts w:ascii="Symbol" w:hAnsi="Symbol"/>
      </w:rPr>
    </w:lvl>
    <w:lvl w:ilvl="1" w:tplc="724C3A8A">
      <w:start w:val="1"/>
      <w:numFmt w:val="bullet"/>
      <w:lvlText w:val="o"/>
      <w:lvlJc w:val="left"/>
      <w:pPr>
        <w:ind w:left="800" w:hanging="360"/>
      </w:pPr>
      <w:rPr>
        <w:rFonts w:ascii="Courier New" w:hAnsi="Courier New"/>
      </w:rPr>
    </w:lvl>
    <w:lvl w:ilvl="2" w:tplc="484613B4">
      <w:start w:val="1"/>
      <w:numFmt w:val="bullet"/>
      <w:lvlText w:val=""/>
      <w:lvlJc w:val="left"/>
      <w:pPr>
        <w:ind w:left="1200" w:hanging="360"/>
      </w:pPr>
      <w:rPr>
        <w:rFonts w:ascii="Wingdings" w:hAnsi="Wingdings"/>
      </w:rPr>
    </w:lvl>
    <w:lvl w:ilvl="3" w:tplc="2D4E87CC">
      <w:start w:val="1"/>
      <w:numFmt w:val="bullet"/>
      <w:lvlText w:val=""/>
      <w:lvlJc w:val="left"/>
      <w:pPr>
        <w:ind w:left="1600" w:hanging="360"/>
      </w:pPr>
      <w:rPr>
        <w:rFonts w:ascii="Symbol" w:hAnsi="Symbol"/>
      </w:rPr>
    </w:lvl>
    <w:lvl w:ilvl="4" w:tplc="42BC7DCC">
      <w:start w:val="1"/>
      <w:numFmt w:val="bullet"/>
      <w:lvlText w:val="o"/>
      <w:lvlJc w:val="left"/>
      <w:pPr>
        <w:ind w:left="2000" w:hanging="360"/>
      </w:pPr>
      <w:rPr>
        <w:rFonts w:ascii="Courier New" w:hAnsi="Courier New"/>
      </w:rPr>
    </w:lvl>
    <w:lvl w:ilvl="5" w:tplc="9CDE64F8">
      <w:start w:val="1"/>
      <w:numFmt w:val="bullet"/>
      <w:lvlText w:val=""/>
      <w:lvlJc w:val="left"/>
      <w:pPr>
        <w:ind w:left="2400" w:hanging="360"/>
      </w:pPr>
      <w:rPr>
        <w:rFonts w:ascii="Wingdings" w:hAnsi="Wingdings"/>
      </w:rPr>
    </w:lvl>
    <w:lvl w:ilvl="6" w:tplc="F724B862">
      <w:start w:val="1"/>
      <w:numFmt w:val="bullet"/>
      <w:lvlText w:val=""/>
      <w:lvlJc w:val="left"/>
      <w:pPr>
        <w:ind w:left="2800" w:hanging="360"/>
      </w:pPr>
      <w:rPr>
        <w:rFonts w:ascii="Symbol" w:hAnsi="Symbol"/>
      </w:rPr>
    </w:lvl>
    <w:lvl w:ilvl="7" w:tplc="087CF9B4">
      <w:start w:val="1"/>
      <w:numFmt w:val="bullet"/>
      <w:lvlText w:val="o"/>
      <w:lvlJc w:val="left"/>
      <w:pPr>
        <w:ind w:left="3200" w:hanging="360"/>
      </w:pPr>
      <w:rPr>
        <w:rFonts w:ascii="Courier New" w:hAnsi="Courier New"/>
      </w:rPr>
    </w:lvl>
    <w:lvl w:ilvl="8" w:tplc="F4EC9506">
      <w:numFmt w:val="decimal"/>
      <w:lvlText w:val=""/>
      <w:lvlJc w:val="left"/>
    </w:lvl>
  </w:abstractNum>
  <w:abstractNum w:abstractNumId="8" w15:restartNumberingAfterBreak="0">
    <w:nsid w:val="0D7C6E43"/>
    <w:multiLevelType w:val="hybridMultilevel"/>
    <w:tmpl w:val="C59438BC"/>
    <w:lvl w:ilvl="0" w:tplc="17E4F866">
      <w:start w:val="1"/>
      <w:numFmt w:val="bullet"/>
      <w:lvlText w:val=""/>
      <w:lvlJc w:val="left"/>
      <w:pPr>
        <w:ind w:left="400" w:hanging="360"/>
      </w:pPr>
      <w:rPr>
        <w:rFonts w:ascii="Symbol" w:hAnsi="Symbol"/>
      </w:rPr>
    </w:lvl>
    <w:lvl w:ilvl="1" w:tplc="28443372">
      <w:start w:val="1"/>
      <w:numFmt w:val="bullet"/>
      <w:lvlText w:val="o"/>
      <w:lvlJc w:val="left"/>
      <w:pPr>
        <w:ind w:left="800" w:hanging="360"/>
      </w:pPr>
      <w:rPr>
        <w:rFonts w:ascii="Courier New" w:hAnsi="Courier New"/>
      </w:rPr>
    </w:lvl>
    <w:lvl w:ilvl="2" w:tplc="1068A586">
      <w:start w:val="1"/>
      <w:numFmt w:val="bullet"/>
      <w:lvlText w:val=""/>
      <w:lvlJc w:val="left"/>
      <w:pPr>
        <w:ind w:left="1200" w:hanging="360"/>
      </w:pPr>
      <w:rPr>
        <w:rFonts w:ascii="Wingdings" w:hAnsi="Wingdings"/>
      </w:rPr>
    </w:lvl>
    <w:lvl w:ilvl="3" w:tplc="96C45B40">
      <w:start w:val="1"/>
      <w:numFmt w:val="bullet"/>
      <w:lvlText w:val=""/>
      <w:lvlJc w:val="left"/>
      <w:pPr>
        <w:ind w:left="1600" w:hanging="360"/>
      </w:pPr>
      <w:rPr>
        <w:rFonts w:ascii="Symbol" w:hAnsi="Symbol"/>
      </w:rPr>
    </w:lvl>
    <w:lvl w:ilvl="4" w:tplc="238AB3D2">
      <w:start w:val="1"/>
      <w:numFmt w:val="bullet"/>
      <w:lvlText w:val="o"/>
      <w:lvlJc w:val="left"/>
      <w:pPr>
        <w:ind w:left="2000" w:hanging="360"/>
      </w:pPr>
      <w:rPr>
        <w:rFonts w:ascii="Courier New" w:hAnsi="Courier New"/>
      </w:rPr>
    </w:lvl>
    <w:lvl w:ilvl="5" w:tplc="21FABA40">
      <w:start w:val="1"/>
      <w:numFmt w:val="bullet"/>
      <w:lvlText w:val=""/>
      <w:lvlJc w:val="left"/>
      <w:pPr>
        <w:ind w:left="2400" w:hanging="360"/>
      </w:pPr>
      <w:rPr>
        <w:rFonts w:ascii="Wingdings" w:hAnsi="Wingdings"/>
      </w:rPr>
    </w:lvl>
    <w:lvl w:ilvl="6" w:tplc="ACF4924A">
      <w:start w:val="1"/>
      <w:numFmt w:val="bullet"/>
      <w:lvlText w:val=""/>
      <w:lvlJc w:val="left"/>
      <w:pPr>
        <w:ind w:left="2800" w:hanging="360"/>
      </w:pPr>
      <w:rPr>
        <w:rFonts w:ascii="Symbol" w:hAnsi="Symbol"/>
      </w:rPr>
    </w:lvl>
    <w:lvl w:ilvl="7" w:tplc="87D8D3B0">
      <w:start w:val="1"/>
      <w:numFmt w:val="bullet"/>
      <w:lvlText w:val="o"/>
      <w:lvlJc w:val="left"/>
      <w:pPr>
        <w:ind w:left="3200" w:hanging="360"/>
      </w:pPr>
      <w:rPr>
        <w:rFonts w:ascii="Courier New" w:hAnsi="Courier New"/>
      </w:rPr>
    </w:lvl>
    <w:lvl w:ilvl="8" w:tplc="85349518">
      <w:numFmt w:val="decimal"/>
      <w:lvlText w:val=""/>
      <w:lvlJc w:val="left"/>
    </w:lvl>
  </w:abstractNum>
  <w:abstractNum w:abstractNumId="9" w15:restartNumberingAfterBreak="0">
    <w:nsid w:val="0E9179C3"/>
    <w:multiLevelType w:val="hybridMultilevel"/>
    <w:tmpl w:val="F1CA64B0"/>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10971BBC"/>
    <w:multiLevelType w:val="hybridMultilevel"/>
    <w:tmpl w:val="89FAAD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09B3C56"/>
    <w:multiLevelType w:val="hybridMultilevel"/>
    <w:tmpl w:val="E9CE4B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19E1776"/>
    <w:multiLevelType w:val="multilevel"/>
    <w:tmpl w:val="5AA8748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12492D15"/>
    <w:multiLevelType w:val="multilevel"/>
    <w:tmpl w:val="5276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A315FE"/>
    <w:multiLevelType w:val="hybridMultilevel"/>
    <w:tmpl w:val="A85A36D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5" w15:restartNumberingAfterBreak="0">
    <w:nsid w:val="1558047F"/>
    <w:multiLevelType w:val="hybridMultilevel"/>
    <w:tmpl w:val="627213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15FC1AB8"/>
    <w:multiLevelType w:val="hybridMultilevel"/>
    <w:tmpl w:val="5CC8FA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17BB1EFF"/>
    <w:multiLevelType w:val="hybridMultilevel"/>
    <w:tmpl w:val="B5A6459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7DD3558"/>
    <w:multiLevelType w:val="hybridMultilevel"/>
    <w:tmpl w:val="5ABAEA5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9" w15:restartNumberingAfterBreak="0">
    <w:nsid w:val="17FA0BFA"/>
    <w:multiLevelType w:val="hybridMultilevel"/>
    <w:tmpl w:val="4230AE6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82C187D"/>
    <w:multiLevelType w:val="hybridMultilevel"/>
    <w:tmpl w:val="6B74BE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1B9905C1"/>
    <w:multiLevelType w:val="hybridMultilevel"/>
    <w:tmpl w:val="E9E8FE9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1CF172FF"/>
    <w:multiLevelType w:val="hybridMultilevel"/>
    <w:tmpl w:val="CD6E82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1E63730F"/>
    <w:multiLevelType w:val="hybridMultilevel"/>
    <w:tmpl w:val="ADA4F2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F2B6DBF"/>
    <w:multiLevelType w:val="hybridMultilevel"/>
    <w:tmpl w:val="17B0052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5" w15:restartNumberingAfterBreak="0">
    <w:nsid w:val="209E0E0C"/>
    <w:multiLevelType w:val="hybridMultilevel"/>
    <w:tmpl w:val="28A248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21BA11C1"/>
    <w:multiLevelType w:val="hybridMultilevel"/>
    <w:tmpl w:val="D668F2B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22281DF9"/>
    <w:multiLevelType w:val="hybridMultilevel"/>
    <w:tmpl w:val="27184D7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3E6763E"/>
    <w:multiLevelType w:val="hybridMultilevel"/>
    <w:tmpl w:val="DD908CB8"/>
    <w:lvl w:ilvl="0" w:tplc="171E1ACE">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4C83634"/>
    <w:multiLevelType w:val="hybridMultilevel"/>
    <w:tmpl w:val="41D602CE"/>
    <w:lvl w:ilvl="0" w:tplc="EC204510">
      <w:start w:val="1"/>
      <w:numFmt w:val="bullet"/>
      <w:lvlText w:val=""/>
      <w:lvlJc w:val="left"/>
      <w:pPr>
        <w:ind w:left="400" w:hanging="360"/>
      </w:pPr>
      <w:rPr>
        <w:rFonts w:ascii="Symbol" w:hAnsi="Symbol"/>
      </w:rPr>
    </w:lvl>
    <w:lvl w:ilvl="1" w:tplc="F006BDF2">
      <w:start w:val="1"/>
      <w:numFmt w:val="bullet"/>
      <w:lvlText w:val="o"/>
      <w:lvlJc w:val="left"/>
      <w:pPr>
        <w:ind w:left="800" w:hanging="360"/>
      </w:pPr>
      <w:rPr>
        <w:rFonts w:ascii="Courier New" w:hAnsi="Courier New"/>
      </w:rPr>
    </w:lvl>
    <w:lvl w:ilvl="2" w:tplc="5D060616">
      <w:start w:val="1"/>
      <w:numFmt w:val="bullet"/>
      <w:lvlText w:val=""/>
      <w:lvlJc w:val="left"/>
      <w:pPr>
        <w:ind w:left="1200" w:hanging="360"/>
      </w:pPr>
      <w:rPr>
        <w:rFonts w:ascii="Wingdings" w:hAnsi="Wingdings"/>
      </w:rPr>
    </w:lvl>
    <w:lvl w:ilvl="3" w:tplc="F208DD1A">
      <w:start w:val="1"/>
      <w:numFmt w:val="bullet"/>
      <w:lvlText w:val=""/>
      <w:lvlJc w:val="left"/>
      <w:pPr>
        <w:ind w:left="1600" w:hanging="360"/>
      </w:pPr>
      <w:rPr>
        <w:rFonts w:ascii="Symbol" w:hAnsi="Symbol"/>
      </w:rPr>
    </w:lvl>
    <w:lvl w:ilvl="4" w:tplc="CC8E1038">
      <w:start w:val="1"/>
      <w:numFmt w:val="bullet"/>
      <w:lvlText w:val="o"/>
      <w:lvlJc w:val="left"/>
      <w:pPr>
        <w:ind w:left="2000" w:hanging="360"/>
      </w:pPr>
      <w:rPr>
        <w:rFonts w:ascii="Courier New" w:hAnsi="Courier New"/>
      </w:rPr>
    </w:lvl>
    <w:lvl w:ilvl="5" w:tplc="7F3CBE04">
      <w:start w:val="1"/>
      <w:numFmt w:val="bullet"/>
      <w:lvlText w:val=""/>
      <w:lvlJc w:val="left"/>
      <w:pPr>
        <w:ind w:left="2400" w:hanging="360"/>
      </w:pPr>
      <w:rPr>
        <w:rFonts w:ascii="Wingdings" w:hAnsi="Wingdings"/>
      </w:rPr>
    </w:lvl>
    <w:lvl w:ilvl="6" w:tplc="25B25F1C">
      <w:start w:val="1"/>
      <w:numFmt w:val="bullet"/>
      <w:lvlText w:val=""/>
      <w:lvlJc w:val="left"/>
      <w:pPr>
        <w:ind w:left="2800" w:hanging="360"/>
      </w:pPr>
      <w:rPr>
        <w:rFonts w:ascii="Symbol" w:hAnsi="Symbol"/>
      </w:rPr>
    </w:lvl>
    <w:lvl w:ilvl="7" w:tplc="0F8A62E2">
      <w:start w:val="1"/>
      <w:numFmt w:val="bullet"/>
      <w:lvlText w:val="o"/>
      <w:lvlJc w:val="left"/>
      <w:pPr>
        <w:ind w:left="3200" w:hanging="360"/>
      </w:pPr>
      <w:rPr>
        <w:rFonts w:ascii="Courier New" w:hAnsi="Courier New"/>
      </w:rPr>
    </w:lvl>
    <w:lvl w:ilvl="8" w:tplc="CD4EE22A">
      <w:numFmt w:val="decimal"/>
      <w:lvlText w:val=""/>
      <w:lvlJc w:val="left"/>
    </w:lvl>
  </w:abstractNum>
  <w:abstractNum w:abstractNumId="30" w15:restartNumberingAfterBreak="0">
    <w:nsid w:val="25F677C8"/>
    <w:multiLevelType w:val="hybridMultilevel"/>
    <w:tmpl w:val="6B121036"/>
    <w:lvl w:ilvl="0" w:tplc="0415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numFmt w:val="bullet"/>
      <w:lvlText w:val="•"/>
      <w:lvlJc w:val="left"/>
      <w:pPr>
        <w:ind w:left="2685" w:hanging="705"/>
      </w:pPr>
      <w:rPr>
        <w:rFonts w:ascii="Tahoma" w:eastAsiaTheme="minorHAnsi" w:hAnsi="Tahoma" w:cs="Tahoma"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7300422"/>
    <w:multiLevelType w:val="hybridMultilevel"/>
    <w:tmpl w:val="91E8EE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29724746"/>
    <w:multiLevelType w:val="hybridMultilevel"/>
    <w:tmpl w:val="C0C6DF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2E0E005E"/>
    <w:multiLevelType w:val="hybridMultilevel"/>
    <w:tmpl w:val="A1C462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2E680201"/>
    <w:multiLevelType w:val="hybridMultilevel"/>
    <w:tmpl w:val="02724E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2F8B2B98"/>
    <w:multiLevelType w:val="multilevel"/>
    <w:tmpl w:val="61822EF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15:restartNumberingAfterBreak="0">
    <w:nsid w:val="2FC66FAC"/>
    <w:multiLevelType w:val="hybridMultilevel"/>
    <w:tmpl w:val="8CC4B734"/>
    <w:lvl w:ilvl="0" w:tplc="CE289384">
      <w:start w:val="1"/>
      <w:numFmt w:val="decimal"/>
      <w:lvlText w:val="%1."/>
      <w:lvlJc w:val="left"/>
      <w:pPr>
        <w:ind w:left="360" w:hanging="360"/>
      </w:pPr>
      <w:rPr>
        <w:b w:val="0"/>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0F573CB"/>
    <w:multiLevelType w:val="hybridMultilevel"/>
    <w:tmpl w:val="17E0599C"/>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8" w15:restartNumberingAfterBreak="0">
    <w:nsid w:val="32AE6863"/>
    <w:multiLevelType w:val="hybridMultilevel"/>
    <w:tmpl w:val="EB129E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36EE131A"/>
    <w:multiLevelType w:val="hybridMultilevel"/>
    <w:tmpl w:val="DFD0EF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3C3F78DC"/>
    <w:multiLevelType w:val="hybridMultilevel"/>
    <w:tmpl w:val="DB9EF2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3E910D89"/>
    <w:multiLevelType w:val="hybridMultilevel"/>
    <w:tmpl w:val="F36C30CC"/>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42" w15:restartNumberingAfterBreak="0">
    <w:nsid w:val="3FE8799D"/>
    <w:multiLevelType w:val="hybridMultilevel"/>
    <w:tmpl w:val="C0367A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3E03CA9"/>
    <w:multiLevelType w:val="hybridMultilevel"/>
    <w:tmpl w:val="9CAA99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4453590D"/>
    <w:multiLevelType w:val="hybridMultilevel"/>
    <w:tmpl w:val="108885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9EC23CA"/>
    <w:multiLevelType w:val="hybridMultilevel"/>
    <w:tmpl w:val="58787D96"/>
    <w:lvl w:ilvl="0" w:tplc="43D6B5D8">
      <w:start w:val="1"/>
      <w:numFmt w:val="bullet"/>
      <w:lvlText w:val=""/>
      <w:lvlJc w:val="left"/>
      <w:pPr>
        <w:ind w:left="400" w:hanging="360"/>
      </w:pPr>
      <w:rPr>
        <w:rFonts w:ascii="Symbol" w:hAnsi="Symbol"/>
      </w:rPr>
    </w:lvl>
    <w:lvl w:ilvl="1" w:tplc="ACEC7E80">
      <w:start w:val="1"/>
      <w:numFmt w:val="bullet"/>
      <w:lvlText w:val="o"/>
      <w:lvlJc w:val="left"/>
      <w:pPr>
        <w:ind w:left="800" w:hanging="360"/>
      </w:pPr>
      <w:rPr>
        <w:rFonts w:ascii="Courier New" w:hAnsi="Courier New"/>
      </w:rPr>
    </w:lvl>
    <w:lvl w:ilvl="2" w:tplc="78D4E02A">
      <w:start w:val="1"/>
      <w:numFmt w:val="bullet"/>
      <w:lvlText w:val=""/>
      <w:lvlJc w:val="left"/>
      <w:pPr>
        <w:ind w:left="1200" w:hanging="360"/>
      </w:pPr>
      <w:rPr>
        <w:rFonts w:ascii="Wingdings" w:hAnsi="Wingdings"/>
      </w:rPr>
    </w:lvl>
    <w:lvl w:ilvl="3" w:tplc="538C9D42">
      <w:start w:val="1"/>
      <w:numFmt w:val="bullet"/>
      <w:lvlText w:val=""/>
      <w:lvlJc w:val="left"/>
      <w:pPr>
        <w:ind w:left="1600" w:hanging="360"/>
      </w:pPr>
      <w:rPr>
        <w:rFonts w:ascii="Symbol" w:hAnsi="Symbol"/>
      </w:rPr>
    </w:lvl>
    <w:lvl w:ilvl="4" w:tplc="5574D18C">
      <w:start w:val="1"/>
      <w:numFmt w:val="bullet"/>
      <w:lvlText w:val="o"/>
      <w:lvlJc w:val="left"/>
      <w:pPr>
        <w:ind w:left="2000" w:hanging="360"/>
      </w:pPr>
      <w:rPr>
        <w:rFonts w:ascii="Courier New" w:hAnsi="Courier New"/>
      </w:rPr>
    </w:lvl>
    <w:lvl w:ilvl="5" w:tplc="806C5652">
      <w:start w:val="1"/>
      <w:numFmt w:val="bullet"/>
      <w:lvlText w:val=""/>
      <w:lvlJc w:val="left"/>
      <w:pPr>
        <w:ind w:left="2400" w:hanging="360"/>
      </w:pPr>
      <w:rPr>
        <w:rFonts w:ascii="Wingdings" w:hAnsi="Wingdings"/>
      </w:rPr>
    </w:lvl>
    <w:lvl w:ilvl="6" w:tplc="08DC2F80">
      <w:start w:val="1"/>
      <w:numFmt w:val="bullet"/>
      <w:lvlText w:val=""/>
      <w:lvlJc w:val="left"/>
      <w:pPr>
        <w:ind w:left="2800" w:hanging="360"/>
      </w:pPr>
      <w:rPr>
        <w:rFonts w:ascii="Symbol" w:hAnsi="Symbol"/>
      </w:rPr>
    </w:lvl>
    <w:lvl w:ilvl="7" w:tplc="B22E2A68">
      <w:start w:val="1"/>
      <w:numFmt w:val="bullet"/>
      <w:lvlText w:val="o"/>
      <w:lvlJc w:val="left"/>
      <w:pPr>
        <w:ind w:left="3200" w:hanging="360"/>
      </w:pPr>
      <w:rPr>
        <w:rFonts w:ascii="Courier New" w:hAnsi="Courier New"/>
      </w:rPr>
    </w:lvl>
    <w:lvl w:ilvl="8" w:tplc="55F61306">
      <w:numFmt w:val="decimal"/>
      <w:lvlText w:val=""/>
      <w:lvlJc w:val="left"/>
    </w:lvl>
  </w:abstractNum>
  <w:abstractNum w:abstractNumId="46" w15:restartNumberingAfterBreak="0">
    <w:nsid w:val="4A5A22D0"/>
    <w:multiLevelType w:val="hybridMultilevel"/>
    <w:tmpl w:val="76EC99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4DDC2D1B"/>
    <w:multiLevelType w:val="hybridMultilevel"/>
    <w:tmpl w:val="4D005D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4EF83EA2"/>
    <w:multiLevelType w:val="hybridMultilevel"/>
    <w:tmpl w:val="417206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54C72289"/>
    <w:multiLevelType w:val="hybridMultilevel"/>
    <w:tmpl w:val="271A63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5558500C"/>
    <w:multiLevelType w:val="hybridMultilevel"/>
    <w:tmpl w:val="6242F062"/>
    <w:lvl w:ilvl="0" w:tplc="981274D2">
      <w:start w:val="1"/>
      <w:numFmt w:val="decimal"/>
      <w:lvlText w:val="%1."/>
      <w:lvlJc w:val="left"/>
      <w:pPr>
        <w:ind w:left="720" w:hanging="360"/>
      </w:pPr>
    </w:lvl>
    <w:lvl w:ilvl="1" w:tplc="FB7A00F8">
      <w:start w:val="1"/>
      <w:numFmt w:val="decimal"/>
      <w:lvlText w:val="%2."/>
      <w:lvlJc w:val="left"/>
      <w:pPr>
        <w:ind w:left="720" w:hanging="360"/>
      </w:pPr>
    </w:lvl>
    <w:lvl w:ilvl="2" w:tplc="7AF8FC5E">
      <w:start w:val="1"/>
      <w:numFmt w:val="decimal"/>
      <w:lvlText w:val="%3."/>
      <w:lvlJc w:val="left"/>
      <w:pPr>
        <w:ind w:left="720" w:hanging="360"/>
      </w:pPr>
    </w:lvl>
    <w:lvl w:ilvl="3" w:tplc="34F29F0E">
      <w:start w:val="1"/>
      <w:numFmt w:val="decimal"/>
      <w:lvlText w:val="%4."/>
      <w:lvlJc w:val="left"/>
      <w:pPr>
        <w:ind w:left="720" w:hanging="360"/>
      </w:pPr>
    </w:lvl>
    <w:lvl w:ilvl="4" w:tplc="65D4EB0A">
      <w:start w:val="1"/>
      <w:numFmt w:val="decimal"/>
      <w:lvlText w:val="%5."/>
      <w:lvlJc w:val="left"/>
      <w:pPr>
        <w:ind w:left="720" w:hanging="360"/>
      </w:pPr>
    </w:lvl>
    <w:lvl w:ilvl="5" w:tplc="79BA519C">
      <w:start w:val="1"/>
      <w:numFmt w:val="decimal"/>
      <w:lvlText w:val="%6."/>
      <w:lvlJc w:val="left"/>
      <w:pPr>
        <w:ind w:left="720" w:hanging="360"/>
      </w:pPr>
    </w:lvl>
    <w:lvl w:ilvl="6" w:tplc="26584AE8">
      <w:start w:val="1"/>
      <w:numFmt w:val="decimal"/>
      <w:lvlText w:val="%7."/>
      <w:lvlJc w:val="left"/>
      <w:pPr>
        <w:ind w:left="720" w:hanging="360"/>
      </w:pPr>
    </w:lvl>
    <w:lvl w:ilvl="7" w:tplc="11B0EF7C">
      <w:start w:val="1"/>
      <w:numFmt w:val="decimal"/>
      <w:lvlText w:val="%8."/>
      <w:lvlJc w:val="left"/>
      <w:pPr>
        <w:ind w:left="720" w:hanging="360"/>
      </w:pPr>
    </w:lvl>
    <w:lvl w:ilvl="8" w:tplc="EC8A1FBC">
      <w:start w:val="1"/>
      <w:numFmt w:val="decimal"/>
      <w:lvlText w:val="%9."/>
      <w:lvlJc w:val="left"/>
      <w:pPr>
        <w:ind w:left="720" w:hanging="360"/>
      </w:pPr>
    </w:lvl>
  </w:abstractNum>
  <w:abstractNum w:abstractNumId="51" w15:restartNumberingAfterBreak="0">
    <w:nsid w:val="56647FC3"/>
    <w:multiLevelType w:val="hybridMultilevel"/>
    <w:tmpl w:val="51C68D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6653302"/>
    <w:multiLevelType w:val="hybridMultilevel"/>
    <w:tmpl w:val="227E9C7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3" w15:restartNumberingAfterBreak="0">
    <w:nsid w:val="595678BC"/>
    <w:multiLevelType w:val="hybridMultilevel"/>
    <w:tmpl w:val="2132D63A"/>
    <w:lvl w:ilvl="0" w:tplc="2FD425E4">
      <w:start w:val="1"/>
      <w:numFmt w:val="decimal"/>
      <w:lvlText w:val="%1."/>
      <w:lvlJc w:val="left"/>
      <w:pPr>
        <w:ind w:left="1020" w:hanging="360"/>
      </w:pPr>
    </w:lvl>
    <w:lvl w:ilvl="1" w:tplc="E43EA11E">
      <w:start w:val="1"/>
      <w:numFmt w:val="decimal"/>
      <w:lvlText w:val="%2."/>
      <w:lvlJc w:val="left"/>
      <w:pPr>
        <w:ind w:left="1020" w:hanging="360"/>
      </w:pPr>
    </w:lvl>
    <w:lvl w:ilvl="2" w:tplc="6E261A80">
      <w:start w:val="1"/>
      <w:numFmt w:val="decimal"/>
      <w:lvlText w:val="%3."/>
      <w:lvlJc w:val="left"/>
      <w:pPr>
        <w:ind w:left="1020" w:hanging="360"/>
      </w:pPr>
    </w:lvl>
    <w:lvl w:ilvl="3" w:tplc="280E174E">
      <w:start w:val="1"/>
      <w:numFmt w:val="decimal"/>
      <w:lvlText w:val="%4."/>
      <w:lvlJc w:val="left"/>
      <w:pPr>
        <w:ind w:left="1020" w:hanging="360"/>
      </w:pPr>
    </w:lvl>
    <w:lvl w:ilvl="4" w:tplc="89CCF608">
      <w:start w:val="1"/>
      <w:numFmt w:val="decimal"/>
      <w:lvlText w:val="%5."/>
      <w:lvlJc w:val="left"/>
      <w:pPr>
        <w:ind w:left="1020" w:hanging="360"/>
      </w:pPr>
    </w:lvl>
    <w:lvl w:ilvl="5" w:tplc="53DEF932">
      <w:start w:val="1"/>
      <w:numFmt w:val="decimal"/>
      <w:lvlText w:val="%6."/>
      <w:lvlJc w:val="left"/>
      <w:pPr>
        <w:ind w:left="1020" w:hanging="360"/>
      </w:pPr>
    </w:lvl>
    <w:lvl w:ilvl="6" w:tplc="98881F9E">
      <w:start w:val="1"/>
      <w:numFmt w:val="decimal"/>
      <w:lvlText w:val="%7."/>
      <w:lvlJc w:val="left"/>
      <w:pPr>
        <w:ind w:left="1020" w:hanging="360"/>
      </w:pPr>
    </w:lvl>
    <w:lvl w:ilvl="7" w:tplc="64B6385A">
      <w:start w:val="1"/>
      <w:numFmt w:val="decimal"/>
      <w:lvlText w:val="%8."/>
      <w:lvlJc w:val="left"/>
      <w:pPr>
        <w:ind w:left="1020" w:hanging="360"/>
      </w:pPr>
    </w:lvl>
    <w:lvl w:ilvl="8" w:tplc="2166A754">
      <w:start w:val="1"/>
      <w:numFmt w:val="decimal"/>
      <w:lvlText w:val="%9."/>
      <w:lvlJc w:val="left"/>
      <w:pPr>
        <w:ind w:left="1020" w:hanging="360"/>
      </w:pPr>
    </w:lvl>
  </w:abstractNum>
  <w:abstractNum w:abstractNumId="54" w15:restartNumberingAfterBreak="0">
    <w:nsid w:val="5A4C520C"/>
    <w:multiLevelType w:val="hybridMultilevel"/>
    <w:tmpl w:val="DAC8EE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62F23289"/>
    <w:multiLevelType w:val="multilevel"/>
    <w:tmpl w:val="5F6C2580"/>
    <w:lvl w:ilvl="0">
      <w:start w:val="1"/>
      <w:numFmt w:val="decimal"/>
      <w:pStyle w:val="Nagwek1"/>
      <w:lvlText w:val="%1"/>
      <w:lvlJc w:val="left"/>
      <w:pPr>
        <w:ind w:left="432" w:hanging="432"/>
      </w:pPr>
      <w:rPr>
        <w:color w:val="0B0E9D" w:themeColor="accent1" w:themeShade="BF"/>
        <w:sz w:val="40"/>
        <w:szCs w:val="40"/>
      </w:rPr>
    </w:lvl>
    <w:lvl w:ilvl="1">
      <w:start w:val="1"/>
      <w:numFmt w:val="decimal"/>
      <w:pStyle w:val="Nagwek2"/>
      <w:lvlText w:val="%1.%2"/>
      <w:lvlJc w:val="left"/>
      <w:pPr>
        <w:ind w:left="576" w:hanging="576"/>
      </w:p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56" w15:restartNumberingAfterBreak="0">
    <w:nsid w:val="63A57457"/>
    <w:multiLevelType w:val="hybridMultilevel"/>
    <w:tmpl w:val="E0C686A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7" w15:restartNumberingAfterBreak="0">
    <w:nsid w:val="63A613E3"/>
    <w:multiLevelType w:val="hybridMultilevel"/>
    <w:tmpl w:val="2194AA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653E48CE"/>
    <w:multiLevelType w:val="hybridMultilevel"/>
    <w:tmpl w:val="BB7AD4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69040F9F"/>
    <w:multiLevelType w:val="hybridMultilevel"/>
    <w:tmpl w:val="E70A0A6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6A643E99"/>
    <w:multiLevelType w:val="hybridMultilevel"/>
    <w:tmpl w:val="48ECE31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A830446"/>
    <w:multiLevelType w:val="hybridMultilevel"/>
    <w:tmpl w:val="FFFFFFFF"/>
    <w:lvl w:ilvl="0" w:tplc="FAAC2318">
      <w:start w:val="1"/>
      <w:numFmt w:val="decimal"/>
      <w:lvlText w:val="%1."/>
      <w:lvlJc w:val="left"/>
      <w:pPr>
        <w:ind w:left="720" w:hanging="360"/>
      </w:pPr>
    </w:lvl>
    <w:lvl w:ilvl="1" w:tplc="AB2C5156">
      <w:start w:val="1"/>
      <w:numFmt w:val="lowerLetter"/>
      <w:lvlText w:val="%2."/>
      <w:lvlJc w:val="left"/>
      <w:pPr>
        <w:ind w:left="1440" w:hanging="360"/>
      </w:pPr>
    </w:lvl>
    <w:lvl w:ilvl="2" w:tplc="C96497E8">
      <w:start w:val="1"/>
      <w:numFmt w:val="lowerRoman"/>
      <w:lvlText w:val="%3."/>
      <w:lvlJc w:val="right"/>
      <w:pPr>
        <w:ind w:left="2160" w:hanging="180"/>
      </w:pPr>
    </w:lvl>
    <w:lvl w:ilvl="3" w:tplc="317E393C">
      <w:start w:val="1"/>
      <w:numFmt w:val="decimal"/>
      <w:lvlText w:val="%4."/>
      <w:lvlJc w:val="left"/>
      <w:pPr>
        <w:ind w:left="2880" w:hanging="360"/>
      </w:pPr>
    </w:lvl>
    <w:lvl w:ilvl="4" w:tplc="FA9012CA">
      <w:start w:val="1"/>
      <w:numFmt w:val="lowerLetter"/>
      <w:lvlText w:val="%5."/>
      <w:lvlJc w:val="left"/>
      <w:pPr>
        <w:ind w:left="3600" w:hanging="360"/>
      </w:pPr>
    </w:lvl>
    <w:lvl w:ilvl="5" w:tplc="16B692B6">
      <w:start w:val="1"/>
      <w:numFmt w:val="lowerRoman"/>
      <w:lvlText w:val="%6."/>
      <w:lvlJc w:val="right"/>
      <w:pPr>
        <w:ind w:left="4320" w:hanging="180"/>
      </w:pPr>
    </w:lvl>
    <w:lvl w:ilvl="6" w:tplc="BF26BB0C">
      <w:start w:val="1"/>
      <w:numFmt w:val="decimal"/>
      <w:lvlText w:val="%7."/>
      <w:lvlJc w:val="left"/>
      <w:pPr>
        <w:ind w:left="5040" w:hanging="360"/>
      </w:pPr>
    </w:lvl>
    <w:lvl w:ilvl="7" w:tplc="3F1ED5AE">
      <w:start w:val="1"/>
      <w:numFmt w:val="lowerLetter"/>
      <w:lvlText w:val="%8."/>
      <w:lvlJc w:val="left"/>
      <w:pPr>
        <w:ind w:left="5760" w:hanging="360"/>
      </w:pPr>
    </w:lvl>
    <w:lvl w:ilvl="8" w:tplc="36D84CEC">
      <w:start w:val="1"/>
      <w:numFmt w:val="lowerRoman"/>
      <w:lvlText w:val="%9."/>
      <w:lvlJc w:val="right"/>
      <w:pPr>
        <w:ind w:left="6480" w:hanging="180"/>
      </w:pPr>
    </w:lvl>
  </w:abstractNum>
  <w:abstractNum w:abstractNumId="62" w15:restartNumberingAfterBreak="0">
    <w:nsid w:val="6BE177C1"/>
    <w:multiLevelType w:val="multilevel"/>
    <w:tmpl w:val="E850F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DFE06D3"/>
    <w:multiLevelType w:val="hybridMultilevel"/>
    <w:tmpl w:val="E796298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E1742B5"/>
    <w:multiLevelType w:val="hybridMultilevel"/>
    <w:tmpl w:val="C3622376"/>
    <w:lvl w:ilvl="0" w:tplc="E02A62CC">
      <w:start w:val="1"/>
      <w:numFmt w:val="bullet"/>
      <w:lvlText w:val=""/>
      <w:lvlJc w:val="left"/>
      <w:pPr>
        <w:ind w:left="400" w:hanging="360"/>
      </w:pPr>
      <w:rPr>
        <w:rFonts w:ascii="Symbol" w:hAnsi="Symbol"/>
      </w:rPr>
    </w:lvl>
    <w:lvl w:ilvl="1" w:tplc="C12C62DA">
      <w:start w:val="1"/>
      <w:numFmt w:val="bullet"/>
      <w:lvlText w:val="o"/>
      <w:lvlJc w:val="left"/>
      <w:pPr>
        <w:ind w:left="800" w:hanging="360"/>
      </w:pPr>
      <w:rPr>
        <w:rFonts w:ascii="Courier New" w:hAnsi="Courier New"/>
      </w:rPr>
    </w:lvl>
    <w:lvl w:ilvl="2" w:tplc="C3D44CB4">
      <w:start w:val="1"/>
      <w:numFmt w:val="bullet"/>
      <w:lvlText w:val=""/>
      <w:lvlJc w:val="left"/>
      <w:pPr>
        <w:ind w:left="1200" w:hanging="360"/>
      </w:pPr>
      <w:rPr>
        <w:rFonts w:ascii="Wingdings" w:hAnsi="Wingdings"/>
      </w:rPr>
    </w:lvl>
    <w:lvl w:ilvl="3" w:tplc="15801748">
      <w:start w:val="1"/>
      <w:numFmt w:val="bullet"/>
      <w:lvlText w:val=""/>
      <w:lvlJc w:val="left"/>
      <w:pPr>
        <w:ind w:left="1600" w:hanging="360"/>
      </w:pPr>
      <w:rPr>
        <w:rFonts w:ascii="Symbol" w:hAnsi="Symbol"/>
      </w:rPr>
    </w:lvl>
    <w:lvl w:ilvl="4" w:tplc="9D58AE44">
      <w:start w:val="1"/>
      <w:numFmt w:val="bullet"/>
      <w:lvlText w:val="o"/>
      <w:lvlJc w:val="left"/>
      <w:pPr>
        <w:ind w:left="2000" w:hanging="360"/>
      </w:pPr>
      <w:rPr>
        <w:rFonts w:ascii="Courier New" w:hAnsi="Courier New"/>
      </w:rPr>
    </w:lvl>
    <w:lvl w:ilvl="5" w:tplc="D618E2F6">
      <w:start w:val="1"/>
      <w:numFmt w:val="bullet"/>
      <w:lvlText w:val=""/>
      <w:lvlJc w:val="left"/>
      <w:pPr>
        <w:ind w:left="2400" w:hanging="360"/>
      </w:pPr>
      <w:rPr>
        <w:rFonts w:ascii="Wingdings" w:hAnsi="Wingdings"/>
      </w:rPr>
    </w:lvl>
    <w:lvl w:ilvl="6" w:tplc="9CCE2D10">
      <w:start w:val="1"/>
      <w:numFmt w:val="bullet"/>
      <w:lvlText w:val=""/>
      <w:lvlJc w:val="left"/>
      <w:pPr>
        <w:ind w:left="2800" w:hanging="360"/>
      </w:pPr>
      <w:rPr>
        <w:rFonts w:ascii="Symbol" w:hAnsi="Symbol"/>
      </w:rPr>
    </w:lvl>
    <w:lvl w:ilvl="7" w:tplc="43488358">
      <w:start w:val="1"/>
      <w:numFmt w:val="bullet"/>
      <w:lvlText w:val="o"/>
      <w:lvlJc w:val="left"/>
      <w:pPr>
        <w:ind w:left="3200" w:hanging="360"/>
      </w:pPr>
      <w:rPr>
        <w:rFonts w:ascii="Courier New" w:hAnsi="Courier New"/>
      </w:rPr>
    </w:lvl>
    <w:lvl w:ilvl="8" w:tplc="5FCED928">
      <w:numFmt w:val="decimal"/>
      <w:lvlText w:val=""/>
      <w:lvlJc w:val="left"/>
    </w:lvl>
  </w:abstractNum>
  <w:abstractNum w:abstractNumId="65" w15:restartNumberingAfterBreak="0">
    <w:nsid w:val="70D43E05"/>
    <w:multiLevelType w:val="hybridMultilevel"/>
    <w:tmpl w:val="96BAF1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1B1A1F80">
      <w:numFmt w:val="bullet"/>
      <w:lvlText w:val="•"/>
      <w:lvlJc w:val="left"/>
      <w:pPr>
        <w:ind w:left="2685" w:hanging="705"/>
      </w:pPr>
      <w:rPr>
        <w:rFonts w:ascii="Tahoma" w:eastAsiaTheme="minorHAnsi" w:hAnsi="Tahoma" w:cs="Tahoma"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106457D"/>
    <w:multiLevelType w:val="hybridMultilevel"/>
    <w:tmpl w:val="0ECAB794"/>
    <w:lvl w:ilvl="0" w:tplc="517EA7DC">
      <w:start w:val="1"/>
      <w:numFmt w:val="bullet"/>
      <w:lvlText w:val=""/>
      <w:lvlJc w:val="left"/>
      <w:pPr>
        <w:ind w:left="400" w:hanging="360"/>
      </w:pPr>
      <w:rPr>
        <w:rFonts w:ascii="Symbol" w:hAnsi="Symbol"/>
      </w:rPr>
    </w:lvl>
    <w:lvl w:ilvl="1" w:tplc="4DD2FC08">
      <w:start w:val="1"/>
      <w:numFmt w:val="bullet"/>
      <w:lvlText w:val="o"/>
      <w:lvlJc w:val="left"/>
      <w:pPr>
        <w:ind w:left="800" w:hanging="360"/>
      </w:pPr>
      <w:rPr>
        <w:rFonts w:ascii="Courier New" w:hAnsi="Courier New"/>
      </w:rPr>
    </w:lvl>
    <w:lvl w:ilvl="2" w:tplc="5AF2666E">
      <w:start w:val="1"/>
      <w:numFmt w:val="bullet"/>
      <w:lvlText w:val=""/>
      <w:lvlJc w:val="left"/>
      <w:pPr>
        <w:ind w:left="1200" w:hanging="360"/>
      </w:pPr>
      <w:rPr>
        <w:rFonts w:ascii="Wingdings" w:hAnsi="Wingdings"/>
      </w:rPr>
    </w:lvl>
    <w:lvl w:ilvl="3" w:tplc="E75AE798">
      <w:start w:val="1"/>
      <w:numFmt w:val="bullet"/>
      <w:lvlText w:val=""/>
      <w:lvlJc w:val="left"/>
      <w:pPr>
        <w:ind w:left="1600" w:hanging="360"/>
      </w:pPr>
      <w:rPr>
        <w:rFonts w:ascii="Symbol" w:hAnsi="Symbol"/>
      </w:rPr>
    </w:lvl>
    <w:lvl w:ilvl="4" w:tplc="38AA1F2E">
      <w:start w:val="1"/>
      <w:numFmt w:val="bullet"/>
      <w:lvlText w:val="o"/>
      <w:lvlJc w:val="left"/>
      <w:pPr>
        <w:ind w:left="2000" w:hanging="360"/>
      </w:pPr>
      <w:rPr>
        <w:rFonts w:ascii="Courier New" w:hAnsi="Courier New"/>
      </w:rPr>
    </w:lvl>
    <w:lvl w:ilvl="5" w:tplc="93B65A74">
      <w:start w:val="1"/>
      <w:numFmt w:val="bullet"/>
      <w:lvlText w:val=""/>
      <w:lvlJc w:val="left"/>
      <w:pPr>
        <w:ind w:left="2400" w:hanging="360"/>
      </w:pPr>
      <w:rPr>
        <w:rFonts w:ascii="Wingdings" w:hAnsi="Wingdings"/>
      </w:rPr>
    </w:lvl>
    <w:lvl w:ilvl="6" w:tplc="A386F214">
      <w:start w:val="1"/>
      <w:numFmt w:val="bullet"/>
      <w:lvlText w:val=""/>
      <w:lvlJc w:val="left"/>
      <w:pPr>
        <w:ind w:left="2800" w:hanging="360"/>
      </w:pPr>
      <w:rPr>
        <w:rFonts w:ascii="Symbol" w:hAnsi="Symbol"/>
      </w:rPr>
    </w:lvl>
    <w:lvl w:ilvl="7" w:tplc="6EEE2C34">
      <w:start w:val="1"/>
      <w:numFmt w:val="bullet"/>
      <w:lvlText w:val="o"/>
      <w:lvlJc w:val="left"/>
      <w:pPr>
        <w:ind w:left="3200" w:hanging="360"/>
      </w:pPr>
      <w:rPr>
        <w:rFonts w:ascii="Courier New" w:hAnsi="Courier New"/>
      </w:rPr>
    </w:lvl>
    <w:lvl w:ilvl="8" w:tplc="254418B8">
      <w:numFmt w:val="decimal"/>
      <w:lvlText w:val=""/>
      <w:lvlJc w:val="left"/>
    </w:lvl>
  </w:abstractNum>
  <w:abstractNum w:abstractNumId="67" w15:restartNumberingAfterBreak="0">
    <w:nsid w:val="74610035"/>
    <w:multiLevelType w:val="hybridMultilevel"/>
    <w:tmpl w:val="D4CC262A"/>
    <w:lvl w:ilvl="0" w:tplc="929276BC">
      <w:start w:val="1"/>
      <w:numFmt w:val="decimal"/>
      <w:lvlText w:val="%1."/>
      <w:lvlJc w:val="left"/>
      <w:pPr>
        <w:ind w:left="72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60D087E"/>
    <w:multiLevelType w:val="hybridMultilevel"/>
    <w:tmpl w:val="FFFFFFFF"/>
    <w:lvl w:ilvl="0" w:tplc="32AE9348">
      <w:start w:val="1"/>
      <w:numFmt w:val="bullet"/>
      <w:lvlText w:val="·"/>
      <w:lvlJc w:val="left"/>
      <w:pPr>
        <w:ind w:left="720" w:hanging="360"/>
      </w:pPr>
      <w:rPr>
        <w:rFonts w:ascii="Symbol" w:hAnsi="Symbol" w:hint="default"/>
      </w:rPr>
    </w:lvl>
    <w:lvl w:ilvl="1" w:tplc="9E62967E">
      <w:start w:val="1"/>
      <w:numFmt w:val="bullet"/>
      <w:lvlText w:val="o"/>
      <w:lvlJc w:val="left"/>
      <w:pPr>
        <w:ind w:left="1440" w:hanging="360"/>
      </w:pPr>
      <w:rPr>
        <w:rFonts w:ascii="Courier New" w:hAnsi="Courier New" w:hint="default"/>
      </w:rPr>
    </w:lvl>
    <w:lvl w:ilvl="2" w:tplc="D3D07366">
      <w:start w:val="1"/>
      <w:numFmt w:val="bullet"/>
      <w:lvlText w:val=""/>
      <w:lvlJc w:val="left"/>
      <w:pPr>
        <w:ind w:left="2160" w:hanging="360"/>
      </w:pPr>
      <w:rPr>
        <w:rFonts w:ascii="Wingdings" w:hAnsi="Wingdings" w:hint="default"/>
      </w:rPr>
    </w:lvl>
    <w:lvl w:ilvl="3" w:tplc="814CA576">
      <w:start w:val="1"/>
      <w:numFmt w:val="bullet"/>
      <w:lvlText w:val=""/>
      <w:lvlJc w:val="left"/>
      <w:pPr>
        <w:ind w:left="2880" w:hanging="360"/>
      </w:pPr>
      <w:rPr>
        <w:rFonts w:ascii="Symbol" w:hAnsi="Symbol" w:hint="default"/>
      </w:rPr>
    </w:lvl>
    <w:lvl w:ilvl="4" w:tplc="118C8782">
      <w:start w:val="1"/>
      <w:numFmt w:val="bullet"/>
      <w:lvlText w:val="o"/>
      <w:lvlJc w:val="left"/>
      <w:pPr>
        <w:ind w:left="3600" w:hanging="360"/>
      </w:pPr>
      <w:rPr>
        <w:rFonts w:ascii="Courier New" w:hAnsi="Courier New" w:hint="default"/>
      </w:rPr>
    </w:lvl>
    <w:lvl w:ilvl="5" w:tplc="081EBEBC">
      <w:start w:val="1"/>
      <w:numFmt w:val="bullet"/>
      <w:lvlText w:val=""/>
      <w:lvlJc w:val="left"/>
      <w:pPr>
        <w:ind w:left="4320" w:hanging="360"/>
      </w:pPr>
      <w:rPr>
        <w:rFonts w:ascii="Wingdings" w:hAnsi="Wingdings" w:hint="default"/>
      </w:rPr>
    </w:lvl>
    <w:lvl w:ilvl="6" w:tplc="D96CA1B4">
      <w:start w:val="1"/>
      <w:numFmt w:val="bullet"/>
      <w:lvlText w:val=""/>
      <w:lvlJc w:val="left"/>
      <w:pPr>
        <w:ind w:left="5040" w:hanging="360"/>
      </w:pPr>
      <w:rPr>
        <w:rFonts w:ascii="Symbol" w:hAnsi="Symbol" w:hint="default"/>
      </w:rPr>
    </w:lvl>
    <w:lvl w:ilvl="7" w:tplc="246C8488">
      <w:start w:val="1"/>
      <w:numFmt w:val="bullet"/>
      <w:lvlText w:val="o"/>
      <w:lvlJc w:val="left"/>
      <w:pPr>
        <w:ind w:left="5760" w:hanging="360"/>
      </w:pPr>
      <w:rPr>
        <w:rFonts w:ascii="Courier New" w:hAnsi="Courier New" w:hint="default"/>
      </w:rPr>
    </w:lvl>
    <w:lvl w:ilvl="8" w:tplc="BA106E4C">
      <w:start w:val="1"/>
      <w:numFmt w:val="bullet"/>
      <w:lvlText w:val=""/>
      <w:lvlJc w:val="left"/>
      <w:pPr>
        <w:ind w:left="6480" w:hanging="360"/>
      </w:pPr>
      <w:rPr>
        <w:rFonts w:ascii="Wingdings" w:hAnsi="Wingdings" w:hint="default"/>
      </w:rPr>
    </w:lvl>
  </w:abstractNum>
  <w:abstractNum w:abstractNumId="69" w15:restartNumberingAfterBreak="0">
    <w:nsid w:val="77780826"/>
    <w:multiLevelType w:val="hybridMultilevel"/>
    <w:tmpl w:val="908E14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789D7F2C"/>
    <w:multiLevelType w:val="hybridMultilevel"/>
    <w:tmpl w:val="0A0015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7AF305ED"/>
    <w:multiLevelType w:val="multilevel"/>
    <w:tmpl w:val="F98E4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B972FCE"/>
    <w:multiLevelType w:val="hybridMultilevel"/>
    <w:tmpl w:val="511E66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69370195">
    <w:abstractNumId w:val="55"/>
  </w:num>
  <w:num w:numId="2" w16cid:durableId="1250965096">
    <w:abstractNumId w:val="69"/>
  </w:num>
  <w:num w:numId="3" w16cid:durableId="604575215">
    <w:abstractNumId w:val="15"/>
  </w:num>
  <w:num w:numId="4" w16cid:durableId="637611751">
    <w:abstractNumId w:val="23"/>
  </w:num>
  <w:num w:numId="5" w16cid:durableId="1755278400">
    <w:abstractNumId w:val="38"/>
  </w:num>
  <w:num w:numId="6" w16cid:durableId="974988971">
    <w:abstractNumId w:val="16"/>
  </w:num>
  <w:num w:numId="7" w16cid:durableId="610086919">
    <w:abstractNumId w:val="40"/>
  </w:num>
  <w:num w:numId="8" w16cid:durableId="684749681">
    <w:abstractNumId w:val="65"/>
  </w:num>
  <w:num w:numId="9" w16cid:durableId="795370413">
    <w:abstractNumId w:val="37"/>
  </w:num>
  <w:num w:numId="10" w16cid:durableId="1155687691">
    <w:abstractNumId w:val="21"/>
  </w:num>
  <w:num w:numId="11" w16cid:durableId="1114205881">
    <w:abstractNumId w:val="9"/>
  </w:num>
  <w:num w:numId="12" w16cid:durableId="303967770">
    <w:abstractNumId w:val="52"/>
  </w:num>
  <w:num w:numId="13" w16cid:durableId="608775267">
    <w:abstractNumId w:val="14"/>
  </w:num>
  <w:num w:numId="14" w16cid:durableId="484013362">
    <w:abstractNumId w:val="46"/>
  </w:num>
  <w:num w:numId="15" w16cid:durableId="1942834470">
    <w:abstractNumId w:val="72"/>
  </w:num>
  <w:num w:numId="16" w16cid:durableId="948314776">
    <w:abstractNumId w:val="0"/>
  </w:num>
  <w:num w:numId="17" w16cid:durableId="1719620511">
    <w:abstractNumId w:val="18"/>
  </w:num>
  <w:num w:numId="18" w16cid:durableId="1951668632">
    <w:abstractNumId w:val="68"/>
  </w:num>
  <w:num w:numId="19" w16cid:durableId="2122646525">
    <w:abstractNumId w:val="41"/>
  </w:num>
  <w:num w:numId="20" w16cid:durableId="1944454810">
    <w:abstractNumId w:val="63"/>
  </w:num>
  <w:num w:numId="21" w16cid:durableId="2095666053">
    <w:abstractNumId w:val="61"/>
  </w:num>
  <w:num w:numId="22" w16cid:durableId="1394885054">
    <w:abstractNumId w:val="58"/>
  </w:num>
  <w:num w:numId="23" w16cid:durableId="898173034">
    <w:abstractNumId w:val="70"/>
  </w:num>
  <w:num w:numId="24" w16cid:durableId="1997688411">
    <w:abstractNumId w:val="47"/>
  </w:num>
  <w:num w:numId="25" w16cid:durableId="1835032066">
    <w:abstractNumId w:val="34"/>
  </w:num>
  <w:num w:numId="26" w16cid:durableId="1961455002">
    <w:abstractNumId w:val="5"/>
  </w:num>
  <w:num w:numId="27" w16cid:durableId="728263830">
    <w:abstractNumId w:val="11"/>
  </w:num>
  <w:num w:numId="28" w16cid:durableId="901676899">
    <w:abstractNumId w:val="19"/>
  </w:num>
  <w:num w:numId="29" w16cid:durableId="1731493490">
    <w:abstractNumId w:val="28"/>
  </w:num>
  <w:num w:numId="30" w16cid:durableId="1958829603">
    <w:abstractNumId w:val="36"/>
  </w:num>
  <w:num w:numId="31" w16cid:durableId="778721911">
    <w:abstractNumId w:val="51"/>
  </w:num>
  <w:num w:numId="32" w16cid:durableId="385371241">
    <w:abstractNumId w:val="6"/>
  </w:num>
  <w:num w:numId="33" w16cid:durableId="1130250314">
    <w:abstractNumId w:val="32"/>
  </w:num>
  <w:num w:numId="34" w16cid:durableId="1096249244">
    <w:abstractNumId w:val="62"/>
  </w:num>
  <w:num w:numId="35" w16cid:durableId="1539465542">
    <w:abstractNumId w:val="71"/>
  </w:num>
  <w:num w:numId="36" w16cid:durableId="1966111507">
    <w:abstractNumId w:val="12"/>
  </w:num>
  <w:num w:numId="37" w16cid:durableId="964652017">
    <w:abstractNumId w:val="35"/>
  </w:num>
  <w:num w:numId="38" w16cid:durableId="1322587395">
    <w:abstractNumId w:val="42"/>
  </w:num>
  <w:num w:numId="39" w16cid:durableId="561520573">
    <w:abstractNumId w:val="44"/>
  </w:num>
  <w:num w:numId="40" w16cid:durableId="1932421845">
    <w:abstractNumId w:val="33"/>
  </w:num>
  <w:num w:numId="41" w16cid:durableId="1113090119">
    <w:abstractNumId w:val="39"/>
  </w:num>
  <w:num w:numId="42" w16cid:durableId="240260134">
    <w:abstractNumId w:val="20"/>
  </w:num>
  <w:num w:numId="43" w16cid:durableId="2079938686">
    <w:abstractNumId w:val="24"/>
  </w:num>
  <w:num w:numId="44" w16cid:durableId="1265114180">
    <w:abstractNumId w:val="26"/>
  </w:num>
  <w:num w:numId="45" w16cid:durableId="279532569">
    <w:abstractNumId w:val="4"/>
  </w:num>
  <w:num w:numId="46" w16cid:durableId="1859274464">
    <w:abstractNumId w:val="50"/>
  </w:num>
  <w:num w:numId="47" w16cid:durableId="1783457565">
    <w:abstractNumId w:val="53"/>
  </w:num>
  <w:num w:numId="48" w16cid:durableId="683552202">
    <w:abstractNumId w:val="54"/>
  </w:num>
  <w:num w:numId="49" w16cid:durableId="668484602">
    <w:abstractNumId w:val="60"/>
  </w:num>
  <w:num w:numId="50" w16cid:durableId="839855219">
    <w:abstractNumId w:val="67"/>
  </w:num>
  <w:num w:numId="51" w16cid:durableId="1123645949">
    <w:abstractNumId w:val="25"/>
  </w:num>
  <w:num w:numId="52" w16cid:durableId="17392673">
    <w:abstractNumId w:val="22"/>
  </w:num>
  <w:num w:numId="53" w16cid:durableId="46147757">
    <w:abstractNumId w:val="31"/>
  </w:num>
  <w:num w:numId="54" w16cid:durableId="303774712">
    <w:abstractNumId w:val="48"/>
  </w:num>
  <w:num w:numId="55" w16cid:durableId="2101441370">
    <w:abstractNumId w:val="2"/>
  </w:num>
  <w:num w:numId="56" w16cid:durableId="1827085833">
    <w:abstractNumId w:val="1"/>
  </w:num>
  <w:num w:numId="57" w16cid:durableId="907303390">
    <w:abstractNumId w:val="56"/>
  </w:num>
  <w:num w:numId="58" w16cid:durableId="2132245428">
    <w:abstractNumId w:val="13"/>
  </w:num>
  <w:num w:numId="59" w16cid:durableId="1033071540">
    <w:abstractNumId w:val="17"/>
  </w:num>
  <w:num w:numId="60" w16cid:durableId="882253914">
    <w:abstractNumId w:val="57"/>
  </w:num>
  <w:num w:numId="61" w16cid:durableId="2060205628">
    <w:abstractNumId w:val="30"/>
  </w:num>
  <w:num w:numId="62" w16cid:durableId="1456752375">
    <w:abstractNumId w:val="27"/>
  </w:num>
  <w:num w:numId="63" w16cid:durableId="794175230">
    <w:abstractNumId w:val="3"/>
  </w:num>
  <w:num w:numId="64" w16cid:durableId="1465736073">
    <w:abstractNumId w:val="49"/>
  </w:num>
  <w:num w:numId="65" w16cid:durableId="502621525">
    <w:abstractNumId w:val="43"/>
  </w:num>
  <w:num w:numId="66" w16cid:durableId="1961917451">
    <w:abstractNumId w:val="10"/>
  </w:num>
  <w:num w:numId="67" w16cid:durableId="1530337560">
    <w:abstractNumId w:val="59"/>
  </w:num>
  <w:num w:numId="68" w16cid:durableId="186872137">
    <w:abstractNumId w:val="45"/>
  </w:num>
  <w:num w:numId="69" w16cid:durableId="783156140">
    <w:abstractNumId w:val="64"/>
  </w:num>
  <w:num w:numId="70" w16cid:durableId="1518077773">
    <w:abstractNumId w:val="29"/>
  </w:num>
  <w:num w:numId="71" w16cid:durableId="846486023">
    <w:abstractNumId w:val="7"/>
  </w:num>
  <w:num w:numId="72" w16cid:durableId="1618247189">
    <w:abstractNumId w:val="8"/>
  </w:num>
  <w:num w:numId="73" w16cid:durableId="1095859941">
    <w:abstractNumId w:val="6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embedTrueTypeFonts/>
  <w:hideSpellingErrors/>
  <w:hideGrammaticalErrors/>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D3B"/>
    <w:rsid w:val="0000001E"/>
    <w:rsid w:val="00000171"/>
    <w:rsid w:val="000004C6"/>
    <w:rsid w:val="0000052A"/>
    <w:rsid w:val="000007E0"/>
    <w:rsid w:val="00000B27"/>
    <w:rsid w:val="00000BDD"/>
    <w:rsid w:val="00000BE5"/>
    <w:rsid w:val="00000F81"/>
    <w:rsid w:val="00000FD1"/>
    <w:rsid w:val="00000FF2"/>
    <w:rsid w:val="00001328"/>
    <w:rsid w:val="00001784"/>
    <w:rsid w:val="000017C5"/>
    <w:rsid w:val="00001A4C"/>
    <w:rsid w:val="00001A97"/>
    <w:rsid w:val="00001DD6"/>
    <w:rsid w:val="00001DD8"/>
    <w:rsid w:val="00001F02"/>
    <w:rsid w:val="000020F0"/>
    <w:rsid w:val="00002233"/>
    <w:rsid w:val="000022FA"/>
    <w:rsid w:val="00002869"/>
    <w:rsid w:val="00002932"/>
    <w:rsid w:val="00002E28"/>
    <w:rsid w:val="00003159"/>
    <w:rsid w:val="00003759"/>
    <w:rsid w:val="00003896"/>
    <w:rsid w:val="00003A50"/>
    <w:rsid w:val="00003DAB"/>
    <w:rsid w:val="000040E7"/>
    <w:rsid w:val="000044E1"/>
    <w:rsid w:val="000045D5"/>
    <w:rsid w:val="0000465B"/>
    <w:rsid w:val="00004701"/>
    <w:rsid w:val="000048F4"/>
    <w:rsid w:val="00004CFC"/>
    <w:rsid w:val="00004F80"/>
    <w:rsid w:val="0000502A"/>
    <w:rsid w:val="000051A2"/>
    <w:rsid w:val="000052D8"/>
    <w:rsid w:val="00005479"/>
    <w:rsid w:val="0000562C"/>
    <w:rsid w:val="00005661"/>
    <w:rsid w:val="00005797"/>
    <w:rsid w:val="00005931"/>
    <w:rsid w:val="00005952"/>
    <w:rsid w:val="00005985"/>
    <w:rsid w:val="00005B5A"/>
    <w:rsid w:val="00005E53"/>
    <w:rsid w:val="00005E9F"/>
    <w:rsid w:val="00005FFE"/>
    <w:rsid w:val="0000639A"/>
    <w:rsid w:val="00006482"/>
    <w:rsid w:val="0000654B"/>
    <w:rsid w:val="0000688C"/>
    <w:rsid w:val="000068A4"/>
    <w:rsid w:val="00006955"/>
    <w:rsid w:val="00006A31"/>
    <w:rsid w:val="00006CFC"/>
    <w:rsid w:val="00006E7D"/>
    <w:rsid w:val="00006E7F"/>
    <w:rsid w:val="00007475"/>
    <w:rsid w:val="0000756D"/>
    <w:rsid w:val="000078F8"/>
    <w:rsid w:val="00007987"/>
    <w:rsid w:val="000079B2"/>
    <w:rsid w:val="00007A6B"/>
    <w:rsid w:val="00007A7D"/>
    <w:rsid w:val="00007B9E"/>
    <w:rsid w:val="00007BC6"/>
    <w:rsid w:val="00007D06"/>
    <w:rsid w:val="00007F08"/>
    <w:rsid w:val="00010002"/>
    <w:rsid w:val="00010229"/>
    <w:rsid w:val="000103A0"/>
    <w:rsid w:val="00010419"/>
    <w:rsid w:val="0001050D"/>
    <w:rsid w:val="00010638"/>
    <w:rsid w:val="00010714"/>
    <w:rsid w:val="0001090B"/>
    <w:rsid w:val="00010CF7"/>
    <w:rsid w:val="00010F57"/>
    <w:rsid w:val="00011132"/>
    <w:rsid w:val="00011396"/>
    <w:rsid w:val="00011428"/>
    <w:rsid w:val="00011567"/>
    <w:rsid w:val="000119C5"/>
    <w:rsid w:val="00011D92"/>
    <w:rsid w:val="00011DE8"/>
    <w:rsid w:val="00011E3E"/>
    <w:rsid w:val="00011ECC"/>
    <w:rsid w:val="00012024"/>
    <w:rsid w:val="000120CF"/>
    <w:rsid w:val="00012490"/>
    <w:rsid w:val="00012702"/>
    <w:rsid w:val="00012B49"/>
    <w:rsid w:val="00012DB9"/>
    <w:rsid w:val="000131F5"/>
    <w:rsid w:val="00013301"/>
    <w:rsid w:val="00013373"/>
    <w:rsid w:val="00013386"/>
    <w:rsid w:val="00013431"/>
    <w:rsid w:val="00013685"/>
    <w:rsid w:val="000138A3"/>
    <w:rsid w:val="00013ABF"/>
    <w:rsid w:val="00013D13"/>
    <w:rsid w:val="00013FE6"/>
    <w:rsid w:val="0001406C"/>
    <w:rsid w:val="0001435B"/>
    <w:rsid w:val="000145D3"/>
    <w:rsid w:val="000148B8"/>
    <w:rsid w:val="00014B06"/>
    <w:rsid w:val="00014E25"/>
    <w:rsid w:val="00015032"/>
    <w:rsid w:val="000151BA"/>
    <w:rsid w:val="0001552A"/>
    <w:rsid w:val="0001558C"/>
    <w:rsid w:val="000157D8"/>
    <w:rsid w:val="00015828"/>
    <w:rsid w:val="000158E9"/>
    <w:rsid w:val="0001596A"/>
    <w:rsid w:val="00015D25"/>
    <w:rsid w:val="00015D4B"/>
    <w:rsid w:val="00015ED5"/>
    <w:rsid w:val="00016740"/>
    <w:rsid w:val="00016790"/>
    <w:rsid w:val="000167CB"/>
    <w:rsid w:val="000167FF"/>
    <w:rsid w:val="00016802"/>
    <w:rsid w:val="000168ED"/>
    <w:rsid w:val="00017075"/>
    <w:rsid w:val="00017115"/>
    <w:rsid w:val="000175A6"/>
    <w:rsid w:val="00017D3D"/>
    <w:rsid w:val="00017DD7"/>
    <w:rsid w:val="0002027A"/>
    <w:rsid w:val="00020316"/>
    <w:rsid w:val="000203C5"/>
    <w:rsid w:val="000204ED"/>
    <w:rsid w:val="00020559"/>
    <w:rsid w:val="00020C5F"/>
    <w:rsid w:val="00020DCB"/>
    <w:rsid w:val="00020EF0"/>
    <w:rsid w:val="00020FCD"/>
    <w:rsid w:val="000212BC"/>
    <w:rsid w:val="00021572"/>
    <w:rsid w:val="0002198E"/>
    <w:rsid w:val="000219B3"/>
    <w:rsid w:val="00021BCC"/>
    <w:rsid w:val="00021C75"/>
    <w:rsid w:val="00021CA9"/>
    <w:rsid w:val="00021E12"/>
    <w:rsid w:val="00021EFB"/>
    <w:rsid w:val="00022242"/>
    <w:rsid w:val="000224FE"/>
    <w:rsid w:val="00022517"/>
    <w:rsid w:val="00022837"/>
    <w:rsid w:val="00022BCA"/>
    <w:rsid w:val="00022C58"/>
    <w:rsid w:val="00022C59"/>
    <w:rsid w:val="00022C74"/>
    <w:rsid w:val="000230AA"/>
    <w:rsid w:val="000232EF"/>
    <w:rsid w:val="00023524"/>
    <w:rsid w:val="00023946"/>
    <w:rsid w:val="000239DE"/>
    <w:rsid w:val="00023A9C"/>
    <w:rsid w:val="00023AF7"/>
    <w:rsid w:val="00023C20"/>
    <w:rsid w:val="00024295"/>
    <w:rsid w:val="000246D7"/>
    <w:rsid w:val="0002475B"/>
    <w:rsid w:val="000247E5"/>
    <w:rsid w:val="000249FB"/>
    <w:rsid w:val="00024B65"/>
    <w:rsid w:val="00024D1B"/>
    <w:rsid w:val="00024F93"/>
    <w:rsid w:val="00024F9D"/>
    <w:rsid w:val="0002521D"/>
    <w:rsid w:val="000253DE"/>
    <w:rsid w:val="00025B79"/>
    <w:rsid w:val="00025BD0"/>
    <w:rsid w:val="00025C4C"/>
    <w:rsid w:val="00025CCD"/>
    <w:rsid w:val="00025E1B"/>
    <w:rsid w:val="00025EEC"/>
    <w:rsid w:val="00025F50"/>
    <w:rsid w:val="00026160"/>
    <w:rsid w:val="00026331"/>
    <w:rsid w:val="000266AA"/>
    <w:rsid w:val="000266BC"/>
    <w:rsid w:val="00026716"/>
    <w:rsid w:val="00026842"/>
    <w:rsid w:val="00026B8E"/>
    <w:rsid w:val="00026B96"/>
    <w:rsid w:val="00026BEE"/>
    <w:rsid w:val="00026C6C"/>
    <w:rsid w:val="0002703F"/>
    <w:rsid w:val="000270EF"/>
    <w:rsid w:val="000272AF"/>
    <w:rsid w:val="000274D4"/>
    <w:rsid w:val="00027625"/>
    <w:rsid w:val="00027774"/>
    <w:rsid w:val="00027839"/>
    <w:rsid w:val="00027E3E"/>
    <w:rsid w:val="000302BC"/>
    <w:rsid w:val="000303B7"/>
    <w:rsid w:val="000303FD"/>
    <w:rsid w:val="000307CC"/>
    <w:rsid w:val="000309DF"/>
    <w:rsid w:val="00030AAB"/>
    <w:rsid w:val="00030C02"/>
    <w:rsid w:val="00030CC2"/>
    <w:rsid w:val="00030D12"/>
    <w:rsid w:val="00030DAD"/>
    <w:rsid w:val="00030DFF"/>
    <w:rsid w:val="00030EB6"/>
    <w:rsid w:val="00030F62"/>
    <w:rsid w:val="000315EA"/>
    <w:rsid w:val="0003177C"/>
    <w:rsid w:val="00031869"/>
    <w:rsid w:val="000319CC"/>
    <w:rsid w:val="000319E0"/>
    <w:rsid w:val="00031A12"/>
    <w:rsid w:val="00031BB3"/>
    <w:rsid w:val="00031BEB"/>
    <w:rsid w:val="00031F30"/>
    <w:rsid w:val="000324E3"/>
    <w:rsid w:val="00032788"/>
    <w:rsid w:val="000327C5"/>
    <w:rsid w:val="000328CB"/>
    <w:rsid w:val="0003298E"/>
    <w:rsid w:val="00032E5E"/>
    <w:rsid w:val="00032EC2"/>
    <w:rsid w:val="00033063"/>
    <w:rsid w:val="0003316B"/>
    <w:rsid w:val="0003316F"/>
    <w:rsid w:val="0003359C"/>
    <w:rsid w:val="000335D3"/>
    <w:rsid w:val="00033A4F"/>
    <w:rsid w:val="00033ACE"/>
    <w:rsid w:val="00033AE0"/>
    <w:rsid w:val="00033B26"/>
    <w:rsid w:val="00033B39"/>
    <w:rsid w:val="00033E15"/>
    <w:rsid w:val="00033FE5"/>
    <w:rsid w:val="0003415F"/>
    <w:rsid w:val="0003420C"/>
    <w:rsid w:val="000343DB"/>
    <w:rsid w:val="000345E0"/>
    <w:rsid w:val="00034685"/>
    <w:rsid w:val="00034739"/>
    <w:rsid w:val="0003478D"/>
    <w:rsid w:val="000347ED"/>
    <w:rsid w:val="00034C49"/>
    <w:rsid w:val="000355C8"/>
    <w:rsid w:val="00035755"/>
    <w:rsid w:val="00035838"/>
    <w:rsid w:val="00035925"/>
    <w:rsid w:val="00035A5D"/>
    <w:rsid w:val="00035CFD"/>
    <w:rsid w:val="00036059"/>
    <w:rsid w:val="00036250"/>
    <w:rsid w:val="000362FA"/>
    <w:rsid w:val="000364B6"/>
    <w:rsid w:val="000367CD"/>
    <w:rsid w:val="00036BA8"/>
    <w:rsid w:val="00036F20"/>
    <w:rsid w:val="00037090"/>
    <w:rsid w:val="000370C3"/>
    <w:rsid w:val="0003717E"/>
    <w:rsid w:val="000372A7"/>
    <w:rsid w:val="000373FE"/>
    <w:rsid w:val="000375CD"/>
    <w:rsid w:val="00037620"/>
    <w:rsid w:val="000379A4"/>
    <w:rsid w:val="000379F8"/>
    <w:rsid w:val="00037C54"/>
    <w:rsid w:val="00037D1F"/>
    <w:rsid w:val="00037D46"/>
    <w:rsid w:val="00037E9A"/>
    <w:rsid w:val="00040076"/>
    <w:rsid w:val="00040106"/>
    <w:rsid w:val="0004028B"/>
    <w:rsid w:val="0004055F"/>
    <w:rsid w:val="000408F3"/>
    <w:rsid w:val="0004099E"/>
    <w:rsid w:val="000409C9"/>
    <w:rsid w:val="00040E3C"/>
    <w:rsid w:val="00040EF2"/>
    <w:rsid w:val="000411CF"/>
    <w:rsid w:val="00041228"/>
    <w:rsid w:val="00041622"/>
    <w:rsid w:val="000416A6"/>
    <w:rsid w:val="000418D9"/>
    <w:rsid w:val="00041990"/>
    <w:rsid w:val="00041A6C"/>
    <w:rsid w:val="00041A6D"/>
    <w:rsid w:val="00041B13"/>
    <w:rsid w:val="00041B70"/>
    <w:rsid w:val="000422D2"/>
    <w:rsid w:val="000422F1"/>
    <w:rsid w:val="0004236B"/>
    <w:rsid w:val="00042376"/>
    <w:rsid w:val="0004257C"/>
    <w:rsid w:val="00042727"/>
    <w:rsid w:val="00042A72"/>
    <w:rsid w:val="00042FA6"/>
    <w:rsid w:val="000432B7"/>
    <w:rsid w:val="00043339"/>
    <w:rsid w:val="000433B1"/>
    <w:rsid w:val="00043B09"/>
    <w:rsid w:val="00043B98"/>
    <w:rsid w:val="00044045"/>
    <w:rsid w:val="000444E2"/>
    <w:rsid w:val="000444E9"/>
    <w:rsid w:val="000445AD"/>
    <w:rsid w:val="00044609"/>
    <w:rsid w:val="0004463A"/>
    <w:rsid w:val="0004476E"/>
    <w:rsid w:val="000447F2"/>
    <w:rsid w:val="00044925"/>
    <w:rsid w:val="00044943"/>
    <w:rsid w:val="00044AF3"/>
    <w:rsid w:val="00044CD2"/>
    <w:rsid w:val="00044FB5"/>
    <w:rsid w:val="000451CB"/>
    <w:rsid w:val="0004522F"/>
    <w:rsid w:val="00045248"/>
    <w:rsid w:val="0004558A"/>
    <w:rsid w:val="00045605"/>
    <w:rsid w:val="00045809"/>
    <w:rsid w:val="00045CC2"/>
    <w:rsid w:val="00045FA0"/>
    <w:rsid w:val="0004600D"/>
    <w:rsid w:val="0004604D"/>
    <w:rsid w:val="000462E7"/>
    <w:rsid w:val="000462EC"/>
    <w:rsid w:val="0004638F"/>
    <w:rsid w:val="000464AB"/>
    <w:rsid w:val="0004663E"/>
    <w:rsid w:val="000466AB"/>
    <w:rsid w:val="00046A3F"/>
    <w:rsid w:val="00046F14"/>
    <w:rsid w:val="000471D8"/>
    <w:rsid w:val="000473DD"/>
    <w:rsid w:val="00047445"/>
    <w:rsid w:val="000475AF"/>
    <w:rsid w:val="00047608"/>
    <w:rsid w:val="00047A47"/>
    <w:rsid w:val="00047FE3"/>
    <w:rsid w:val="000505A8"/>
    <w:rsid w:val="000506AA"/>
    <w:rsid w:val="00050863"/>
    <w:rsid w:val="00050BE9"/>
    <w:rsid w:val="00050F9A"/>
    <w:rsid w:val="000510FE"/>
    <w:rsid w:val="000514D1"/>
    <w:rsid w:val="0005155F"/>
    <w:rsid w:val="000515B9"/>
    <w:rsid w:val="000515EE"/>
    <w:rsid w:val="0005168A"/>
    <w:rsid w:val="00051788"/>
    <w:rsid w:val="000519B8"/>
    <w:rsid w:val="00051B1A"/>
    <w:rsid w:val="00051B52"/>
    <w:rsid w:val="00051B6E"/>
    <w:rsid w:val="00051CB6"/>
    <w:rsid w:val="00051F69"/>
    <w:rsid w:val="00051FC0"/>
    <w:rsid w:val="00052005"/>
    <w:rsid w:val="00052207"/>
    <w:rsid w:val="000522B5"/>
    <w:rsid w:val="00052777"/>
    <w:rsid w:val="00052840"/>
    <w:rsid w:val="0005299C"/>
    <w:rsid w:val="00052B7C"/>
    <w:rsid w:val="00052F65"/>
    <w:rsid w:val="00053161"/>
    <w:rsid w:val="00053247"/>
    <w:rsid w:val="000532AA"/>
    <w:rsid w:val="000532B3"/>
    <w:rsid w:val="000532F3"/>
    <w:rsid w:val="0005399A"/>
    <w:rsid w:val="00053BC7"/>
    <w:rsid w:val="00053DC5"/>
    <w:rsid w:val="000542A9"/>
    <w:rsid w:val="00054305"/>
    <w:rsid w:val="000545C7"/>
    <w:rsid w:val="00054711"/>
    <w:rsid w:val="00054949"/>
    <w:rsid w:val="0005497A"/>
    <w:rsid w:val="00054992"/>
    <w:rsid w:val="00054ACB"/>
    <w:rsid w:val="00054D72"/>
    <w:rsid w:val="00054D8E"/>
    <w:rsid w:val="00054FFB"/>
    <w:rsid w:val="00055151"/>
    <w:rsid w:val="000554C5"/>
    <w:rsid w:val="000555AA"/>
    <w:rsid w:val="000555B0"/>
    <w:rsid w:val="000557AE"/>
    <w:rsid w:val="000557D4"/>
    <w:rsid w:val="00055CAC"/>
    <w:rsid w:val="00055D38"/>
    <w:rsid w:val="00055F03"/>
    <w:rsid w:val="00055F8E"/>
    <w:rsid w:val="000566D8"/>
    <w:rsid w:val="00056A34"/>
    <w:rsid w:val="00056B31"/>
    <w:rsid w:val="00056BAF"/>
    <w:rsid w:val="00056BC2"/>
    <w:rsid w:val="00056C38"/>
    <w:rsid w:val="00056CE0"/>
    <w:rsid w:val="00056D51"/>
    <w:rsid w:val="00056DCD"/>
    <w:rsid w:val="00056EBA"/>
    <w:rsid w:val="000570D0"/>
    <w:rsid w:val="00057AD8"/>
    <w:rsid w:val="00057FBF"/>
    <w:rsid w:val="00060068"/>
    <w:rsid w:val="000606F7"/>
    <w:rsid w:val="000607F7"/>
    <w:rsid w:val="00060847"/>
    <w:rsid w:val="000608C7"/>
    <w:rsid w:val="00060954"/>
    <w:rsid w:val="00060971"/>
    <w:rsid w:val="00060A6E"/>
    <w:rsid w:val="00060DEB"/>
    <w:rsid w:val="00060E0A"/>
    <w:rsid w:val="00060E70"/>
    <w:rsid w:val="00061085"/>
    <w:rsid w:val="000610A5"/>
    <w:rsid w:val="000610AB"/>
    <w:rsid w:val="000613F7"/>
    <w:rsid w:val="0006156E"/>
    <w:rsid w:val="000615D0"/>
    <w:rsid w:val="000617F5"/>
    <w:rsid w:val="00061849"/>
    <w:rsid w:val="00061CA7"/>
    <w:rsid w:val="000625F8"/>
    <w:rsid w:val="000625FC"/>
    <w:rsid w:val="0006271D"/>
    <w:rsid w:val="0006277D"/>
    <w:rsid w:val="000627D2"/>
    <w:rsid w:val="00062B4C"/>
    <w:rsid w:val="00062B6A"/>
    <w:rsid w:val="00063329"/>
    <w:rsid w:val="00063341"/>
    <w:rsid w:val="000634BC"/>
    <w:rsid w:val="00063556"/>
    <w:rsid w:val="000639EE"/>
    <w:rsid w:val="00063BB8"/>
    <w:rsid w:val="00063C7B"/>
    <w:rsid w:val="00063DEB"/>
    <w:rsid w:val="00063E1B"/>
    <w:rsid w:val="000640CF"/>
    <w:rsid w:val="0006410E"/>
    <w:rsid w:val="00064224"/>
    <w:rsid w:val="000642B6"/>
    <w:rsid w:val="000643E7"/>
    <w:rsid w:val="000644D3"/>
    <w:rsid w:val="00064BBE"/>
    <w:rsid w:val="00064E0E"/>
    <w:rsid w:val="00065017"/>
    <w:rsid w:val="00065229"/>
    <w:rsid w:val="00065A5F"/>
    <w:rsid w:val="00065E8F"/>
    <w:rsid w:val="00065E97"/>
    <w:rsid w:val="00065FC0"/>
    <w:rsid w:val="000662AB"/>
    <w:rsid w:val="00066411"/>
    <w:rsid w:val="0006677A"/>
    <w:rsid w:val="00066825"/>
    <w:rsid w:val="0006694F"/>
    <w:rsid w:val="00066EA8"/>
    <w:rsid w:val="00066F7E"/>
    <w:rsid w:val="00067009"/>
    <w:rsid w:val="00067201"/>
    <w:rsid w:val="000672E1"/>
    <w:rsid w:val="00067463"/>
    <w:rsid w:val="00067532"/>
    <w:rsid w:val="0006771D"/>
    <w:rsid w:val="000678B8"/>
    <w:rsid w:val="000679C9"/>
    <w:rsid w:val="00067AD6"/>
    <w:rsid w:val="00067B18"/>
    <w:rsid w:val="00067BA9"/>
    <w:rsid w:val="0007002A"/>
    <w:rsid w:val="00070585"/>
    <w:rsid w:val="000706FF"/>
    <w:rsid w:val="00070794"/>
    <w:rsid w:val="000707FD"/>
    <w:rsid w:val="00070C8D"/>
    <w:rsid w:val="00070E15"/>
    <w:rsid w:val="00070F61"/>
    <w:rsid w:val="00070FD3"/>
    <w:rsid w:val="0007100C"/>
    <w:rsid w:val="000711EF"/>
    <w:rsid w:val="00071725"/>
    <w:rsid w:val="00071782"/>
    <w:rsid w:val="000717FB"/>
    <w:rsid w:val="0007192F"/>
    <w:rsid w:val="00071A2F"/>
    <w:rsid w:val="00071A5B"/>
    <w:rsid w:val="00071C06"/>
    <w:rsid w:val="00072170"/>
    <w:rsid w:val="0007231F"/>
    <w:rsid w:val="000724AB"/>
    <w:rsid w:val="000724B4"/>
    <w:rsid w:val="0007261C"/>
    <w:rsid w:val="000727FB"/>
    <w:rsid w:val="00072952"/>
    <w:rsid w:val="00072B56"/>
    <w:rsid w:val="00072DDA"/>
    <w:rsid w:val="00072E38"/>
    <w:rsid w:val="00072FA0"/>
    <w:rsid w:val="000731EF"/>
    <w:rsid w:val="00073782"/>
    <w:rsid w:val="00073ABC"/>
    <w:rsid w:val="00073AE8"/>
    <w:rsid w:val="00073C51"/>
    <w:rsid w:val="00073F46"/>
    <w:rsid w:val="00074267"/>
    <w:rsid w:val="00074877"/>
    <w:rsid w:val="00074BE7"/>
    <w:rsid w:val="00074D2E"/>
    <w:rsid w:val="00074FCB"/>
    <w:rsid w:val="000751F7"/>
    <w:rsid w:val="0007523C"/>
    <w:rsid w:val="00075298"/>
    <w:rsid w:val="0007534E"/>
    <w:rsid w:val="00075504"/>
    <w:rsid w:val="000758B2"/>
    <w:rsid w:val="00075BC5"/>
    <w:rsid w:val="00075D93"/>
    <w:rsid w:val="0007632B"/>
    <w:rsid w:val="000765CA"/>
    <w:rsid w:val="000765D0"/>
    <w:rsid w:val="00076827"/>
    <w:rsid w:val="00076B2E"/>
    <w:rsid w:val="00076E7D"/>
    <w:rsid w:val="00076F7D"/>
    <w:rsid w:val="000771E4"/>
    <w:rsid w:val="00077314"/>
    <w:rsid w:val="000774D1"/>
    <w:rsid w:val="00077B34"/>
    <w:rsid w:val="00077B51"/>
    <w:rsid w:val="00077B70"/>
    <w:rsid w:val="00077C4C"/>
    <w:rsid w:val="00077CA0"/>
    <w:rsid w:val="00077D45"/>
    <w:rsid w:val="00077D6D"/>
    <w:rsid w:val="00077DA1"/>
    <w:rsid w:val="00077F1B"/>
    <w:rsid w:val="00077FC5"/>
    <w:rsid w:val="00077FCE"/>
    <w:rsid w:val="00080033"/>
    <w:rsid w:val="0008029B"/>
    <w:rsid w:val="000803DE"/>
    <w:rsid w:val="000805B8"/>
    <w:rsid w:val="000806F3"/>
    <w:rsid w:val="0008070E"/>
    <w:rsid w:val="0008073D"/>
    <w:rsid w:val="000807CE"/>
    <w:rsid w:val="000808AD"/>
    <w:rsid w:val="00080A9F"/>
    <w:rsid w:val="00080ACA"/>
    <w:rsid w:val="00080ACE"/>
    <w:rsid w:val="00080C2C"/>
    <w:rsid w:val="00080C96"/>
    <w:rsid w:val="00081135"/>
    <w:rsid w:val="00081291"/>
    <w:rsid w:val="00081393"/>
    <w:rsid w:val="00081482"/>
    <w:rsid w:val="000816A7"/>
    <w:rsid w:val="00081868"/>
    <w:rsid w:val="0008194A"/>
    <w:rsid w:val="00081C0D"/>
    <w:rsid w:val="00081E46"/>
    <w:rsid w:val="00081E87"/>
    <w:rsid w:val="00081F6E"/>
    <w:rsid w:val="00082057"/>
    <w:rsid w:val="00082118"/>
    <w:rsid w:val="0008223F"/>
    <w:rsid w:val="00082475"/>
    <w:rsid w:val="000824BD"/>
    <w:rsid w:val="000824E0"/>
    <w:rsid w:val="000826E8"/>
    <w:rsid w:val="000827A7"/>
    <w:rsid w:val="0008294C"/>
    <w:rsid w:val="00082AAE"/>
    <w:rsid w:val="00082BEA"/>
    <w:rsid w:val="00082D69"/>
    <w:rsid w:val="00082E6C"/>
    <w:rsid w:val="00082F83"/>
    <w:rsid w:val="00082F88"/>
    <w:rsid w:val="000830A9"/>
    <w:rsid w:val="00083153"/>
    <w:rsid w:val="000831C7"/>
    <w:rsid w:val="00083304"/>
    <w:rsid w:val="000839A1"/>
    <w:rsid w:val="00083C3C"/>
    <w:rsid w:val="00083E33"/>
    <w:rsid w:val="00083EBB"/>
    <w:rsid w:val="00084146"/>
    <w:rsid w:val="00084290"/>
    <w:rsid w:val="00084434"/>
    <w:rsid w:val="0008444A"/>
    <w:rsid w:val="000844E6"/>
    <w:rsid w:val="0008456E"/>
    <w:rsid w:val="0008457E"/>
    <w:rsid w:val="00084603"/>
    <w:rsid w:val="0008461A"/>
    <w:rsid w:val="00084855"/>
    <w:rsid w:val="000849CA"/>
    <w:rsid w:val="000849FF"/>
    <w:rsid w:val="00084B6F"/>
    <w:rsid w:val="0008514A"/>
    <w:rsid w:val="000851E3"/>
    <w:rsid w:val="00085890"/>
    <w:rsid w:val="000859E3"/>
    <w:rsid w:val="00085A01"/>
    <w:rsid w:val="00085A7D"/>
    <w:rsid w:val="00085C2C"/>
    <w:rsid w:val="00085C69"/>
    <w:rsid w:val="00085F88"/>
    <w:rsid w:val="00086182"/>
    <w:rsid w:val="00086222"/>
    <w:rsid w:val="0008622B"/>
    <w:rsid w:val="0008628C"/>
    <w:rsid w:val="00086434"/>
    <w:rsid w:val="000864D8"/>
    <w:rsid w:val="000865B4"/>
    <w:rsid w:val="000865CE"/>
    <w:rsid w:val="0008671D"/>
    <w:rsid w:val="000867E3"/>
    <w:rsid w:val="00086887"/>
    <w:rsid w:val="000868FD"/>
    <w:rsid w:val="00086970"/>
    <w:rsid w:val="000869E4"/>
    <w:rsid w:val="00086BA1"/>
    <w:rsid w:val="00086BB3"/>
    <w:rsid w:val="00086D65"/>
    <w:rsid w:val="00087049"/>
    <w:rsid w:val="0008705C"/>
    <w:rsid w:val="00087218"/>
    <w:rsid w:val="00087259"/>
    <w:rsid w:val="0008725A"/>
    <w:rsid w:val="000872D0"/>
    <w:rsid w:val="00087525"/>
    <w:rsid w:val="000876E5"/>
    <w:rsid w:val="00087898"/>
    <w:rsid w:val="000879CC"/>
    <w:rsid w:val="00087ED3"/>
    <w:rsid w:val="00087F24"/>
    <w:rsid w:val="000900F7"/>
    <w:rsid w:val="000903CA"/>
    <w:rsid w:val="000903F6"/>
    <w:rsid w:val="00090586"/>
    <w:rsid w:val="000908C4"/>
    <w:rsid w:val="00090A57"/>
    <w:rsid w:val="00090B72"/>
    <w:rsid w:val="00090C7F"/>
    <w:rsid w:val="00090E63"/>
    <w:rsid w:val="00090EF9"/>
    <w:rsid w:val="00090FF3"/>
    <w:rsid w:val="0009103E"/>
    <w:rsid w:val="000911E2"/>
    <w:rsid w:val="000915D4"/>
    <w:rsid w:val="00091687"/>
    <w:rsid w:val="00091843"/>
    <w:rsid w:val="00091CE3"/>
    <w:rsid w:val="00091FBA"/>
    <w:rsid w:val="000920CE"/>
    <w:rsid w:val="000922ED"/>
    <w:rsid w:val="00092592"/>
    <w:rsid w:val="000925CF"/>
    <w:rsid w:val="000925F5"/>
    <w:rsid w:val="0009273D"/>
    <w:rsid w:val="000927E3"/>
    <w:rsid w:val="00092904"/>
    <w:rsid w:val="00092B26"/>
    <w:rsid w:val="00092C6A"/>
    <w:rsid w:val="00092D4D"/>
    <w:rsid w:val="00092D54"/>
    <w:rsid w:val="00093197"/>
    <w:rsid w:val="0009343E"/>
    <w:rsid w:val="0009348F"/>
    <w:rsid w:val="0009398B"/>
    <w:rsid w:val="00093C62"/>
    <w:rsid w:val="00093D09"/>
    <w:rsid w:val="00093D1A"/>
    <w:rsid w:val="00093F1B"/>
    <w:rsid w:val="00093F38"/>
    <w:rsid w:val="00094022"/>
    <w:rsid w:val="00094189"/>
    <w:rsid w:val="00094474"/>
    <w:rsid w:val="00094700"/>
    <w:rsid w:val="000947D6"/>
    <w:rsid w:val="000947EA"/>
    <w:rsid w:val="00094D02"/>
    <w:rsid w:val="00094EB4"/>
    <w:rsid w:val="00094FFF"/>
    <w:rsid w:val="00095093"/>
    <w:rsid w:val="0009510C"/>
    <w:rsid w:val="000951FF"/>
    <w:rsid w:val="00095230"/>
    <w:rsid w:val="00095326"/>
    <w:rsid w:val="00095497"/>
    <w:rsid w:val="0009565C"/>
    <w:rsid w:val="00095DD4"/>
    <w:rsid w:val="00095E1C"/>
    <w:rsid w:val="000961A6"/>
    <w:rsid w:val="00096452"/>
    <w:rsid w:val="0009679B"/>
    <w:rsid w:val="000967C1"/>
    <w:rsid w:val="00096915"/>
    <w:rsid w:val="00096ADC"/>
    <w:rsid w:val="00096BC7"/>
    <w:rsid w:val="00096E59"/>
    <w:rsid w:val="000970B9"/>
    <w:rsid w:val="00097387"/>
    <w:rsid w:val="00097524"/>
    <w:rsid w:val="00097542"/>
    <w:rsid w:val="00097AE9"/>
    <w:rsid w:val="00097D7F"/>
    <w:rsid w:val="00097DB5"/>
    <w:rsid w:val="00097F38"/>
    <w:rsid w:val="000A016C"/>
    <w:rsid w:val="000A06DD"/>
    <w:rsid w:val="000A0843"/>
    <w:rsid w:val="000A0A05"/>
    <w:rsid w:val="000A0B31"/>
    <w:rsid w:val="000A0C7A"/>
    <w:rsid w:val="000A0E37"/>
    <w:rsid w:val="000A17FF"/>
    <w:rsid w:val="000A1EAA"/>
    <w:rsid w:val="000A1F72"/>
    <w:rsid w:val="000A2445"/>
    <w:rsid w:val="000A270F"/>
    <w:rsid w:val="000A2AFA"/>
    <w:rsid w:val="000A2BAA"/>
    <w:rsid w:val="000A2DF9"/>
    <w:rsid w:val="000A3068"/>
    <w:rsid w:val="000A30D2"/>
    <w:rsid w:val="000A30E7"/>
    <w:rsid w:val="000A32BB"/>
    <w:rsid w:val="000A32E5"/>
    <w:rsid w:val="000A33BE"/>
    <w:rsid w:val="000A35C7"/>
    <w:rsid w:val="000A37F3"/>
    <w:rsid w:val="000A3833"/>
    <w:rsid w:val="000A38AD"/>
    <w:rsid w:val="000A39C8"/>
    <w:rsid w:val="000A3C20"/>
    <w:rsid w:val="000A3CD1"/>
    <w:rsid w:val="000A3CF1"/>
    <w:rsid w:val="000A3D58"/>
    <w:rsid w:val="000A3D7B"/>
    <w:rsid w:val="000A3E71"/>
    <w:rsid w:val="000A3EF3"/>
    <w:rsid w:val="000A3F80"/>
    <w:rsid w:val="000A4360"/>
    <w:rsid w:val="000A439E"/>
    <w:rsid w:val="000A4532"/>
    <w:rsid w:val="000A4959"/>
    <w:rsid w:val="000A4CC2"/>
    <w:rsid w:val="000A52CB"/>
    <w:rsid w:val="000A5306"/>
    <w:rsid w:val="000A53E3"/>
    <w:rsid w:val="000A56C3"/>
    <w:rsid w:val="000A573F"/>
    <w:rsid w:val="000A58C5"/>
    <w:rsid w:val="000A58E9"/>
    <w:rsid w:val="000A59A8"/>
    <w:rsid w:val="000A5C8A"/>
    <w:rsid w:val="000A615F"/>
    <w:rsid w:val="000A624A"/>
    <w:rsid w:val="000A628D"/>
    <w:rsid w:val="000A67C1"/>
    <w:rsid w:val="000A67C6"/>
    <w:rsid w:val="000A67E2"/>
    <w:rsid w:val="000A6B24"/>
    <w:rsid w:val="000A6B30"/>
    <w:rsid w:val="000A6F7A"/>
    <w:rsid w:val="000A732B"/>
    <w:rsid w:val="000A7376"/>
    <w:rsid w:val="000A7424"/>
    <w:rsid w:val="000A76CF"/>
    <w:rsid w:val="000A78C0"/>
    <w:rsid w:val="000A7962"/>
    <w:rsid w:val="000A7BEE"/>
    <w:rsid w:val="000B009F"/>
    <w:rsid w:val="000B01BE"/>
    <w:rsid w:val="000B0211"/>
    <w:rsid w:val="000B0260"/>
    <w:rsid w:val="000B029D"/>
    <w:rsid w:val="000B0379"/>
    <w:rsid w:val="000B046C"/>
    <w:rsid w:val="000B05B0"/>
    <w:rsid w:val="000B0895"/>
    <w:rsid w:val="000B0A33"/>
    <w:rsid w:val="000B0AB5"/>
    <w:rsid w:val="000B0C4C"/>
    <w:rsid w:val="000B0ED8"/>
    <w:rsid w:val="000B106B"/>
    <w:rsid w:val="000B1346"/>
    <w:rsid w:val="000B13FE"/>
    <w:rsid w:val="000B14AB"/>
    <w:rsid w:val="000B14C3"/>
    <w:rsid w:val="000B17CD"/>
    <w:rsid w:val="000B19F1"/>
    <w:rsid w:val="000B1A27"/>
    <w:rsid w:val="000B1C64"/>
    <w:rsid w:val="000B1C8A"/>
    <w:rsid w:val="000B20AE"/>
    <w:rsid w:val="000B21FC"/>
    <w:rsid w:val="000B2241"/>
    <w:rsid w:val="000B26A3"/>
    <w:rsid w:val="000B281C"/>
    <w:rsid w:val="000B2826"/>
    <w:rsid w:val="000B29C9"/>
    <w:rsid w:val="000B2C0C"/>
    <w:rsid w:val="000B2C6E"/>
    <w:rsid w:val="000B3239"/>
    <w:rsid w:val="000B35CB"/>
    <w:rsid w:val="000B3832"/>
    <w:rsid w:val="000B3878"/>
    <w:rsid w:val="000B3962"/>
    <w:rsid w:val="000B3D6F"/>
    <w:rsid w:val="000B3EF1"/>
    <w:rsid w:val="000B40A1"/>
    <w:rsid w:val="000B424E"/>
    <w:rsid w:val="000B42DC"/>
    <w:rsid w:val="000B435E"/>
    <w:rsid w:val="000B470E"/>
    <w:rsid w:val="000B47A3"/>
    <w:rsid w:val="000B4924"/>
    <w:rsid w:val="000B4A59"/>
    <w:rsid w:val="000B4B18"/>
    <w:rsid w:val="000B4BD9"/>
    <w:rsid w:val="000B4F70"/>
    <w:rsid w:val="000B4FD3"/>
    <w:rsid w:val="000B51AC"/>
    <w:rsid w:val="000B52B9"/>
    <w:rsid w:val="000B5327"/>
    <w:rsid w:val="000B56B9"/>
    <w:rsid w:val="000B57CB"/>
    <w:rsid w:val="000B587A"/>
    <w:rsid w:val="000B5883"/>
    <w:rsid w:val="000B5B95"/>
    <w:rsid w:val="000B5F45"/>
    <w:rsid w:val="000B6087"/>
    <w:rsid w:val="000B61CB"/>
    <w:rsid w:val="000B61CD"/>
    <w:rsid w:val="000B62DA"/>
    <w:rsid w:val="000B642F"/>
    <w:rsid w:val="000B6559"/>
    <w:rsid w:val="000B6963"/>
    <w:rsid w:val="000B6B85"/>
    <w:rsid w:val="000B6D92"/>
    <w:rsid w:val="000B6DBF"/>
    <w:rsid w:val="000B7074"/>
    <w:rsid w:val="000B70E0"/>
    <w:rsid w:val="000B727A"/>
    <w:rsid w:val="000B72A9"/>
    <w:rsid w:val="000B731F"/>
    <w:rsid w:val="000B7396"/>
    <w:rsid w:val="000B746A"/>
    <w:rsid w:val="000B7483"/>
    <w:rsid w:val="000B7B43"/>
    <w:rsid w:val="000C0011"/>
    <w:rsid w:val="000C02BC"/>
    <w:rsid w:val="000C02FF"/>
    <w:rsid w:val="000C0337"/>
    <w:rsid w:val="000C0550"/>
    <w:rsid w:val="000C0AE0"/>
    <w:rsid w:val="000C0EC1"/>
    <w:rsid w:val="000C11AE"/>
    <w:rsid w:val="000C13B8"/>
    <w:rsid w:val="000C186A"/>
    <w:rsid w:val="000C1A85"/>
    <w:rsid w:val="000C1AC6"/>
    <w:rsid w:val="000C1B92"/>
    <w:rsid w:val="000C1C6E"/>
    <w:rsid w:val="000C1CEB"/>
    <w:rsid w:val="000C1F38"/>
    <w:rsid w:val="000C21DD"/>
    <w:rsid w:val="000C23A3"/>
    <w:rsid w:val="000C23BB"/>
    <w:rsid w:val="000C23C8"/>
    <w:rsid w:val="000C23D1"/>
    <w:rsid w:val="000C23E5"/>
    <w:rsid w:val="000C256D"/>
    <w:rsid w:val="000C2596"/>
    <w:rsid w:val="000C26E8"/>
    <w:rsid w:val="000C28BC"/>
    <w:rsid w:val="000C2AA6"/>
    <w:rsid w:val="000C2E67"/>
    <w:rsid w:val="000C3188"/>
    <w:rsid w:val="000C31D8"/>
    <w:rsid w:val="000C330E"/>
    <w:rsid w:val="000C33E1"/>
    <w:rsid w:val="000C33E7"/>
    <w:rsid w:val="000C3679"/>
    <w:rsid w:val="000C392D"/>
    <w:rsid w:val="000C3A6C"/>
    <w:rsid w:val="000C3ABA"/>
    <w:rsid w:val="000C3B2B"/>
    <w:rsid w:val="000C3C20"/>
    <w:rsid w:val="000C3CD5"/>
    <w:rsid w:val="000C3E66"/>
    <w:rsid w:val="000C403E"/>
    <w:rsid w:val="000C477C"/>
    <w:rsid w:val="000C4838"/>
    <w:rsid w:val="000C489B"/>
    <w:rsid w:val="000C4B1F"/>
    <w:rsid w:val="000C4DEB"/>
    <w:rsid w:val="000C5085"/>
    <w:rsid w:val="000C5092"/>
    <w:rsid w:val="000C52D5"/>
    <w:rsid w:val="000C53C0"/>
    <w:rsid w:val="000C5E4D"/>
    <w:rsid w:val="000C5E52"/>
    <w:rsid w:val="000C5E64"/>
    <w:rsid w:val="000C603B"/>
    <w:rsid w:val="000C611F"/>
    <w:rsid w:val="000C655D"/>
    <w:rsid w:val="000C65BD"/>
    <w:rsid w:val="000C65C2"/>
    <w:rsid w:val="000C67CC"/>
    <w:rsid w:val="000C6C11"/>
    <w:rsid w:val="000C6E29"/>
    <w:rsid w:val="000C7124"/>
    <w:rsid w:val="000C7197"/>
    <w:rsid w:val="000C731A"/>
    <w:rsid w:val="000C733E"/>
    <w:rsid w:val="000C78AA"/>
    <w:rsid w:val="000C7B28"/>
    <w:rsid w:val="000C7E3D"/>
    <w:rsid w:val="000D029A"/>
    <w:rsid w:val="000D05E9"/>
    <w:rsid w:val="000D0740"/>
    <w:rsid w:val="000D080E"/>
    <w:rsid w:val="000D0D57"/>
    <w:rsid w:val="000D11E6"/>
    <w:rsid w:val="000D128D"/>
    <w:rsid w:val="000D1684"/>
    <w:rsid w:val="000D1C82"/>
    <w:rsid w:val="000D2213"/>
    <w:rsid w:val="000D230F"/>
    <w:rsid w:val="000D23E1"/>
    <w:rsid w:val="000D2849"/>
    <w:rsid w:val="000D2A01"/>
    <w:rsid w:val="000D2B44"/>
    <w:rsid w:val="000D2D3D"/>
    <w:rsid w:val="000D30C4"/>
    <w:rsid w:val="000D3149"/>
    <w:rsid w:val="000D31A5"/>
    <w:rsid w:val="000D3260"/>
    <w:rsid w:val="000D36AC"/>
    <w:rsid w:val="000D3786"/>
    <w:rsid w:val="000D37F9"/>
    <w:rsid w:val="000D3E3B"/>
    <w:rsid w:val="000D3E42"/>
    <w:rsid w:val="000D43E5"/>
    <w:rsid w:val="000D48DE"/>
    <w:rsid w:val="000D48F5"/>
    <w:rsid w:val="000D4C94"/>
    <w:rsid w:val="000D4D99"/>
    <w:rsid w:val="000D4E01"/>
    <w:rsid w:val="000D4F4A"/>
    <w:rsid w:val="000D5323"/>
    <w:rsid w:val="000D5453"/>
    <w:rsid w:val="000D5721"/>
    <w:rsid w:val="000D5835"/>
    <w:rsid w:val="000D5C53"/>
    <w:rsid w:val="000D62F5"/>
    <w:rsid w:val="000D63BC"/>
    <w:rsid w:val="000D6406"/>
    <w:rsid w:val="000D656D"/>
    <w:rsid w:val="000D677B"/>
    <w:rsid w:val="000D6788"/>
    <w:rsid w:val="000D6CF7"/>
    <w:rsid w:val="000D7100"/>
    <w:rsid w:val="000D7133"/>
    <w:rsid w:val="000D763D"/>
    <w:rsid w:val="000D764F"/>
    <w:rsid w:val="000D799A"/>
    <w:rsid w:val="000D7A0E"/>
    <w:rsid w:val="000E026F"/>
    <w:rsid w:val="000E02A9"/>
    <w:rsid w:val="000E0464"/>
    <w:rsid w:val="000E056B"/>
    <w:rsid w:val="000E0BBE"/>
    <w:rsid w:val="000E0C47"/>
    <w:rsid w:val="000E10F0"/>
    <w:rsid w:val="000E148F"/>
    <w:rsid w:val="000E14A4"/>
    <w:rsid w:val="000E167D"/>
    <w:rsid w:val="000E1774"/>
    <w:rsid w:val="000E182E"/>
    <w:rsid w:val="000E189F"/>
    <w:rsid w:val="000E18C0"/>
    <w:rsid w:val="000E1965"/>
    <w:rsid w:val="000E1D3F"/>
    <w:rsid w:val="000E2094"/>
    <w:rsid w:val="000E2280"/>
    <w:rsid w:val="000E22C1"/>
    <w:rsid w:val="000E22E2"/>
    <w:rsid w:val="000E23FA"/>
    <w:rsid w:val="000E249E"/>
    <w:rsid w:val="000E24FA"/>
    <w:rsid w:val="000E258E"/>
    <w:rsid w:val="000E2A56"/>
    <w:rsid w:val="000E3016"/>
    <w:rsid w:val="000E333E"/>
    <w:rsid w:val="000E38B2"/>
    <w:rsid w:val="000E391F"/>
    <w:rsid w:val="000E396D"/>
    <w:rsid w:val="000E39A5"/>
    <w:rsid w:val="000E3ACF"/>
    <w:rsid w:val="000E3BE7"/>
    <w:rsid w:val="000E3DE3"/>
    <w:rsid w:val="000E3E76"/>
    <w:rsid w:val="000E3FAC"/>
    <w:rsid w:val="000E44D0"/>
    <w:rsid w:val="000E45EF"/>
    <w:rsid w:val="000E46F2"/>
    <w:rsid w:val="000E47E0"/>
    <w:rsid w:val="000E4A1F"/>
    <w:rsid w:val="000E4DB4"/>
    <w:rsid w:val="000E5134"/>
    <w:rsid w:val="000E515F"/>
    <w:rsid w:val="000E5526"/>
    <w:rsid w:val="000E57FB"/>
    <w:rsid w:val="000E5AC0"/>
    <w:rsid w:val="000E5C5E"/>
    <w:rsid w:val="000E5C6E"/>
    <w:rsid w:val="000E60E9"/>
    <w:rsid w:val="000E639D"/>
    <w:rsid w:val="000E65D5"/>
    <w:rsid w:val="000E6655"/>
    <w:rsid w:val="000E69DD"/>
    <w:rsid w:val="000E6B01"/>
    <w:rsid w:val="000E6B62"/>
    <w:rsid w:val="000E7064"/>
    <w:rsid w:val="000E71E2"/>
    <w:rsid w:val="000E74A3"/>
    <w:rsid w:val="000E74EE"/>
    <w:rsid w:val="000E77F3"/>
    <w:rsid w:val="000E77FA"/>
    <w:rsid w:val="000E784B"/>
    <w:rsid w:val="000E7A30"/>
    <w:rsid w:val="000E7A82"/>
    <w:rsid w:val="000E7AF6"/>
    <w:rsid w:val="000E7BA0"/>
    <w:rsid w:val="000E7F13"/>
    <w:rsid w:val="000F0106"/>
    <w:rsid w:val="000F010B"/>
    <w:rsid w:val="000F01CD"/>
    <w:rsid w:val="000F022D"/>
    <w:rsid w:val="000F0521"/>
    <w:rsid w:val="000F07D4"/>
    <w:rsid w:val="000F0B1D"/>
    <w:rsid w:val="000F0E69"/>
    <w:rsid w:val="000F0F19"/>
    <w:rsid w:val="000F111C"/>
    <w:rsid w:val="000F1997"/>
    <w:rsid w:val="000F1A0A"/>
    <w:rsid w:val="000F1A28"/>
    <w:rsid w:val="000F213F"/>
    <w:rsid w:val="000F21C6"/>
    <w:rsid w:val="000F24C2"/>
    <w:rsid w:val="000F28CE"/>
    <w:rsid w:val="000F2AF8"/>
    <w:rsid w:val="000F2BBA"/>
    <w:rsid w:val="000F2E51"/>
    <w:rsid w:val="000F3073"/>
    <w:rsid w:val="000F30ED"/>
    <w:rsid w:val="000F31A6"/>
    <w:rsid w:val="000F331D"/>
    <w:rsid w:val="000F33D2"/>
    <w:rsid w:val="000F3893"/>
    <w:rsid w:val="000F3927"/>
    <w:rsid w:val="000F3A99"/>
    <w:rsid w:val="000F4044"/>
    <w:rsid w:val="000F406A"/>
    <w:rsid w:val="000F4572"/>
    <w:rsid w:val="000F482F"/>
    <w:rsid w:val="000F49F1"/>
    <w:rsid w:val="000F4B4E"/>
    <w:rsid w:val="000F4E6C"/>
    <w:rsid w:val="000F502C"/>
    <w:rsid w:val="000F5156"/>
    <w:rsid w:val="000F5293"/>
    <w:rsid w:val="000F56E8"/>
    <w:rsid w:val="000F58B9"/>
    <w:rsid w:val="000F5C25"/>
    <w:rsid w:val="000F5C83"/>
    <w:rsid w:val="000F5F7C"/>
    <w:rsid w:val="000F61D7"/>
    <w:rsid w:val="000F622E"/>
    <w:rsid w:val="000F62BD"/>
    <w:rsid w:val="000F6477"/>
    <w:rsid w:val="000F64DC"/>
    <w:rsid w:val="000F6E29"/>
    <w:rsid w:val="000F726A"/>
    <w:rsid w:val="000F7276"/>
    <w:rsid w:val="000F73A4"/>
    <w:rsid w:val="000F76B4"/>
    <w:rsid w:val="000F7886"/>
    <w:rsid w:val="001001AD"/>
    <w:rsid w:val="001002AB"/>
    <w:rsid w:val="001002C9"/>
    <w:rsid w:val="001002DC"/>
    <w:rsid w:val="001002F2"/>
    <w:rsid w:val="00100DF6"/>
    <w:rsid w:val="001010AB"/>
    <w:rsid w:val="0010120F"/>
    <w:rsid w:val="00101327"/>
    <w:rsid w:val="001015F7"/>
    <w:rsid w:val="001019BE"/>
    <w:rsid w:val="00101B3D"/>
    <w:rsid w:val="00101DC3"/>
    <w:rsid w:val="00101FF2"/>
    <w:rsid w:val="00102071"/>
    <w:rsid w:val="001020B7"/>
    <w:rsid w:val="001024BE"/>
    <w:rsid w:val="001025AA"/>
    <w:rsid w:val="00102898"/>
    <w:rsid w:val="00102947"/>
    <w:rsid w:val="00102BEC"/>
    <w:rsid w:val="00102CEE"/>
    <w:rsid w:val="00102F56"/>
    <w:rsid w:val="00103119"/>
    <w:rsid w:val="00103312"/>
    <w:rsid w:val="001035E9"/>
    <w:rsid w:val="00103ACE"/>
    <w:rsid w:val="00103AD2"/>
    <w:rsid w:val="00103B96"/>
    <w:rsid w:val="00103BE8"/>
    <w:rsid w:val="00103D76"/>
    <w:rsid w:val="00103E69"/>
    <w:rsid w:val="00103EAC"/>
    <w:rsid w:val="0010402C"/>
    <w:rsid w:val="00104927"/>
    <w:rsid w:val="00104AFB"/>
    <w:rsid w:val="00104CF3"/>
    <w:rsid w:val="00104D7E"/>
    <w:rsid w:val="00104DD2"/>
    <w:rsid w:val="00104EC3"/>
    <w:rsid w:val="0010515E"/>
    <w:rsid w:val="001053FF"/>
    <w:rsid w:val="00105613"/>
    <w:rsid w:val="00105664"/>
    <w:rsid w:val="001056B6"/>
    <w:rsid w:val="001057F8"/>
    <w:rsid w:val="0010590B"/>
    <w:rsid w:val="00105A82"/>
    <w:rsid w:val="00105AFA"/>
    <w:rsid w:val="00105F2A"/>
    <w:rsid w:val="00105FA9"/>
    <w:rsid w:val="00106298"/>
    <w:rsid w:val="001062D7"/>
    <w:rsid w:val="001062DA"/>
    <w:rsid w:val="001066B2"/>
    <w:rsid w:val="001067B3"/>
    <w:rsid w:val="00106BAC"/>
    <w:rsid w:val="00106C45"/>
    <w:rsid w:val="00106D4B"/>
    <w:rsid w:val="00106F66"/>
    <w:rsid w:val="00107028"/>
    <w:rsid w:val="00107048"/>
    <w:rsid w:val="001070AA"/>
    <w:rsid w:val="001071C6"/>
    <w:rsid w:val="0010798F"/>
    <w:rsid w:val="00107A35"/>
    <w:rsid w:val="00107C29"/>
    <w:rsid w:val="00107E3A"/>
    <w:rsid w:val="00107ED1"/>
    <w:rsid w:val="00107F98"/>
    <w:rsid w:val="00110033"/>
    <w:rsid w:val="00110108"/>
    <w:rsid w:val="00110388"/>
    <w:rsid w:val="00110720"/>
    <w:rsid w:val="00110E54"/>
    <w:rsid w:val="00111569"/>
    <w:rsid w:val="001115A7"/>
    <w:rsid w:val="00111BDC"/>
    <w:rsid w:val="00111C17"/>
    <w:rsid w:val="00111DAA"/>
    <w:rsid w:val="00111EBC"/>
    <w:rsid w:val="001123AA"/>
    <w:rsid w:val="001123B0"/>
    <w:rsid w:val="001123BC"/>
    <w:rsid w:val="0011243B"/>
    <w:rsid w:val="00112550"/>
    <w:rsid w:val="00112A57"/>
    <w:rsid w:val="00112AA0"/>
    <w:rsid w:val="00112AE0"/>
    <w:rsid w:val="00112B17"/>
    <w:rsid w:val="00112B77"/>
    <w:rsid w:val="00112C80"/>
    <w:rsid w:val="00112CC4"/>
    <w:rsid w:val="00112DF8"/>
    <w:rsid w:val="00112E6F"/>
    <w:rsid w:val="00112FC9"/>
    <w:rsid w:val="00113010"/>
    <w:rsid w:val="0011301C"/>
    <w:rsid w:val="00113274"/>
    <w:rsid w:val="001132BF"/>
    <w:rsid w:val="00113313"/>
    <w:rsid w:val="0011342B"/>
    <w:rsid w:val="001135C9"/>
    <w:rsid w:val="001136E9"/>
    <w:rsid w:val="0011391D"/>
    <w:rsid w:val="00113B7A"/>
    <w:rsid w:val="00113CE4"/>
    <w:rsid w:val="00113D14"/>
    <w:rsid w:val="0011402B"/>
    <w:rsid w:val="00114203"/>
    <w:rsid w:val="00114803"/>
    <w:rsid w:val="0011483D"/>
    <w:rsid w:val="0011484F"/>
    <w:rsid w:val="00114BAA"/>
    <w:rsid w:val="00114D06"/>
    <w:rsid w:val="00114D52"/>
    <w:rsid w:val="00114EB1"/>
    <w:rsid w:val="0011575D"/>
    <w:rsid w:val="0011593D"/>
    <w:rsid w:val="0011595A"/>
    <w:rsid w:val="00115A9A"/>
    <w:rsid w:val="00115EA8"/>
    <w:rsid w:val="00115FFE"/>
    <w:rsid w:val="00116050"/>
    <w:rsid w:val="0011613E"/>
    <w:rsid w:val="0011624E"/>
    <w:rsid w:val="00116278"/>
    <w:rsid w:val="001163F9"/>
    <w:rsid w:val="001163FF"/>
    <w:rsid w:val="001164B4"/>
    <w:rsid w:val="0011653B"/>
    <w:rsid w:val="001165A0"/>
    <w:rsid w:val="001165BE"/>
    <w:rsid w:val="0011661C"/>
    <w:rsid w:val="00116629"/>
    <w:rsid w:val="001167FC"/>
    <w:rsid w:val="00116A0E"/>
    <w:rsid w:val="00116B90"/>
    <w:rsid w:val="00117136"/>
    <w:rsid w:val="00117651"/>
    <w:rsid w:val="00117AE7"/>
    <w:rsid w:val="00117B32"/>
    <w:rsid w:val="00117C9A"/>
    <w:rsid w:val="00117E37"/>
    <w:rsid w:val="00117F9B"/>
    <w:rsid w:val="00117FAD"/>
    <w:rsid w:val="001202ED"/>
    <w:rsid w:val="001203A3"/>
    <w:rsid w:val="001204FF"/>
    <w:rsid w:val="001207BD"/>
    <w:rsid w:val="00120BAD"/>
    <w:rsid w:val="00120C0E"/>
    <w:rsid w:val="00120CEC"/>
    <w:rsid w:val="00120D49"/>
    <w:rsid w:val="00120FE0"/>
    <w:rsid w:val="00121022"/>
    <w:rsid w:val="0012114F"/>
    <w:rsid w:val="00121B8C"/>
    <w:rsid w:val="00121C96"/>
    <w:rsid w:val="00121CA0"/>
    <w:rsid w:val="00121D27"/>
    <w:rsid w:val="00121D4A"/>
    <w:rsid w:val="00121E35"/>
    <w:rsid w:val="001220BD"/>
    <w:rsid w:val="001220E7"/>
    <w:rsid w:val="001223E9"/>
    <w:rsid w:val="001226A2"/>
    <w:rsid w:val="00122757"/>
    <w:rsid w:val="00122A17"/>
    <w:rsid w:val="00122AE4"/>
    <w:rsid w:val="00122B76"/>
    <w:rsid w:val="00122D19"/>
    <w:rsid w:val="00122E80"/>
    <w:rsid w:val="001230C9"/>
    <w:rsid w:val="0012314A"/>
    <w:rsid w:val="001232DE"/>
    <w:rsid w:val="0012349F"/>
    <w:rsid w:val="001237C2"/>
    <w:rsid w:val="0012382F"/>
    <w:rsid w:val="00123D65"/>
    <w:rsid w:val="00123D96"/>
    <w:rsid w:val="00123EB8"/>
    <w:rsid w:val="00123FA3"/>
    <w:rsid w:val="001240F4"/>
    <w:rsid w:val="001242F9"/>
    <w:rsid w:val="00124396"/>
    <w:rsid w:val="001245AB"/>
    <w:rsid w:val="00124654"/>
    <w:rsid w:val="00124680"/>
    <w:rsid w:val="00124A38"/>
    <w:rsid w:val="00124AFA"/>
    <w:rsid w:val="00124C31"/>
    <w:rsid w:val="00124C63"/>
    <w:rsid w:val="00124CA7"/>
    <w:rsid w:val="00124D2B"/>
    <w:rsid w:val="00124DFE"/>
    <w:rsid w:val="00124E3F"/>
    <w:rsid w:val="00124E48"/>
    <w:rsid w:val="00124FA4"/>
    <w:rsid w:val="00124FAA"/>
    <w:rsid w:val="00125052"/>
    <w:rsid w:val="00125191"/>
    <w:rsid w:val="001251A4"/>
    <w:rsid w:val="001254DD"/>
    <w:rsid w:val="00125643"/>
    <w:rsid w:val="00125A06"/>
    <w:rsid w:val="00125A20"/>
    <w:rsid w:val="00125AD4"/>
    <w:rsid w:val="00125C44"/>
    <w:rsid w:val="001260B1"/>
    <w:rsid w:val="00126337"/>
    <w:rsid w:val="001263D9"/>
    <w:rsid w:val="001268CE"/>
    <w:rsid w:val="00126A3A"/>
    <w:rsid w:val="00126B02"/>
    <w:rsid w:val="00126F5C"/>
    <w:rsid w:val="0012723F"/>
    <w:rsid w:val="001272E6"/>
    <w:rsid w:val="001272F9"/>
    <w:rsid w:val="0012741D"/>
    <w:rsid w:val="00127427"/>
    <w:rsid w:val="0012756D"/>
    <w:rsid w:val="0012766D"/>
    <w:rsid w:val="001278EB"/>
    <w:rsid w:val="00127932"/>
    <w:rsid w:val="00127BD0"/>
    <w:rsid w:val="0013006D"/>
    <w:rsid w:val="001300B6"/>
    <w:rsid w:val="001300F9"/>
    <w:rsid w:val="00130223"/>
    <w:rsid w:val="00130686"/>
    <w:rsid w:val="00130D3A"/>
    <w:rsid w:val="0013102D"/>
    <w:rsid w:val="001310BB"/>
    <w:rsid w:val="001311B9"/>
    <w:rsid w:val="00131D10"/>
    <w:rsid w:val="00131D89"/>
    <w:rsid w:val="00131E56"/>
    <w:rsid w:val="00131F7B"/>
    <w:rsid w:val="00132021"/>
    <w:rsid w:val="0013267F"/>
    <w:rsid w:val="0013271C"/>
    <w:rsid w:val="00132CE4"/>
    <w:rsid w:val="00132D94"/>
    <w:rsid w:val="00132F0F"/>
    <w:rsid w:val="00132FC2"/>
    <w:rsid w:val="00133308"/>
    <w:rsid w:val="001333A2"/>
    <w:rsid w:val="001335B6"/>
    <w:rsid w:val="001339AC"/>
    <w:rsid w:val="00133B4A"/>
    <w:rsid w:val="00133B6E"/>
    <w:rsid w:val="00133BB9"/>
    <w:rsid w:val="00133E46"/>
    <w:rsid w:val="00133F60"/>
    <w:rsid w:val="00134215"/>
    <w:rsid w:val="001344AA"/>
    <w:rsid w:val="001345F2"/>
    <w:rsid w:val="001347F6"/>
    <w:rsid w:val="00134877"/>
    <w:rsid w:val="00134A56"/>
    <w:rsid w:val="00134B05"/>
    <w:rsid w:val="00134DB0"/>
    <w:rsid w:val="00134DE4"/>
    <w:rsid w:val="00134E11"/>
    <w:rsid w:val="00134F00"/>
    <w:rsid w:val="00135531"/>
    <w:rsid w:val="00135798"/>
    <w:rsid w:val="00135886"/>
    <w:rsid w:val="00135C0D"/>
    <w:rsid w:val="001365D1"/>
    <w:rsid w:val="00136B2E"/>
    <w:rsid w:val="00136B63"/>
    <w:rsid w:val="00136E6E"/>
    <w:rsid w:val="00137103"/>
    <w:rsid w:val="0013711C"/>
    <w:rsid w:val="001373E6"/>
    <w:rsid w:val="0013774B"/>
    <w:rsid w:val="001378A9"/>
    <w:rsid w:val="001379ED"/>
    <w:rsid w:val="00137BC0"/>
    <w:rsid w:val="00137D1B"/>
    <w:rsid w:val="00137E1C"/>
    <w:rsid w:val="00137F04"/>
    <w:rsid w:val="001403C9"/>
    <w:rsid w:val="001403CE"/>
    <w:rsid w:val="001409F5"/>
    <w:rsid w:val="00140A1B"/>
    <w:rsid w:val="00140AC5"/>
    <w:rsid w:val="00140C92"/>
    <w:rsid w:val="001410C3"/>
    <w:rsid w:val="001410DD"/>
    <w:rsid w:val="001413EE"/>
    <w:rsid w:val="00141650"/>
    <w:rsid w:val="00141684"/>
    <w:rsid w:val="001417EA"/>
    <w:rsid w:val="00141991"/>
    <w:rsid w:val="00141BF1"/>
    <w:rsid w:val="00141C1D"/>
    <w:rsid w:val="00141D37"/>
    <w:rsid w:val="00141DE6"/>
    <w:rsid w:val="00142097"/>
    <w:rsid w:val="0014215D"/>
    <w:rsid w:val="001421CB"/>
    <w:rsid w:val="00142417"/>
    <w:rsid w:val="00142897"/>
    <w:rsid w:val="00142AF4"/>
    <w:rsid w:val="00142C0F"/>
    <w:rsid w:val="00142D53"/>
    <w:rsid w:val="00142DD3"/>
    <w:rsid w:val="0014316B"/>
    <w:rsid w:val="00143435"/>
    <w:rsid w:val="00143466"/>
    <w:rsid w:val="00143633"/>
    <w:rsid w:val="00143797"/>
    <w:rsid w:val="001438E6"/>
    <w:rsid w:val="00143E58"/>
    <w:rsid w:val="00143F6A"/>
    <w:rsid w:val="00144101"/>
    <w:rsid w:val="00144251"/>
    <w:rsid w:val="001442A1"/>
    <w:rsid w:val="00144428"/>
    <w:rsid w:val="0014462A"/>
    <w:rsid w:val="0014472E"/>
    <w:rsid w:val="00144B68"/>
    <w:rsid w:val="00144C32"/>
    <w:rsid w:val="00144C89"/>
    <w:rsid w:val="00144E64"/>
    <w:rsid w:val="00144F57"/>
    <w:rsid w:val="00144FDC"/>
    <w:rsid w:val="001450E7"/>
    <w:rsid w:val="0014510F"/>
    <w:rsid w:val="00145168"/>
    <w:rsid w:val="0014533A"/>
    <w:rsid w:val="00145431"/>
    <w:rsid w:val="00145817"/>
    <w:rsid w:val="00145A22"/>
    <w:rsid w:val="00145A75"/>
    <w:rsid w:val="00145C7A"/>
    <w:rsid w:val="00145D16"/>
    <w:rsid w:val="00145D44"/>
    <w:rsid w:val="00145DEA"/>
    <w:rsid w:val="00145FAA"/>
    <w:rsid w:val="00145FAB"/>
    <w:rsid w:val="00146090"/>
    <w:rsid w:val="001460F1"/>
    <w:rsid w:val="00146302"/>
    <w:rsid w:val="00146379"/>
    <w:rsid w:val="00146465"/>
    <w:rsid w:val="001464B2"/>
    <w:rsid w:val="001464D1"/>
    <w:rsid w:val="001469F9"/>
    <w:rsid w:val="00146C6F"/>
    <w:rsid w:val="00146D85"/>
    <w:rsid w:val="00146EA2"/>
    <w:rsid w:val="00146F15"/>
    <w:rsid w:val="00146F23"/>
    <w:rsid w:val="00147362"/>
    <w:rsid w:val="00147560"/>
    <w:rsid w:val="00147629"/>
    <w:rsid w:val="00147DB1"/>
    <w:rsid w:val="00147E69"/>
    <w:rsid w:val="00147FF2"/>
    <w:rsid w:val="0015032E"/>
    <w:rsid w:val="001504E1"/>
    <w:rsid w:val="00150DA7"/>
    <w:rsid w:val="00150F68"/>
    <w:rsid w:val="00150FAC"/>
    <w:rsid w:val="001513F8"/>
    <w:rsid w:val="00151545"/>
    <w:rsid w:val="00151CA4"/>
    <w:rsid w:val="00151E1C"/>
    <w:rsid w:val="00151F49"/>
    <w:rsid w:val="00152216"/>
    <w:rsid w:val="00152413"/>
    <w:rsid w:val="00152527"/>
    <w:rsid w:val="00152808"/>
    <w:rsid w:val="0015282C"/>
    <w:rsid w:val="00152B84"/>
    <w:rsid w:val="00152BA8"/>
    <w:rsid w:val="0015315F"/>
    <w:rsid w:val="00153375"/>
    <w:rsid w:val="00153382"/>
    <w:rsid w:val="001533F2"/>
    <w:rsid w:val="00153742"/>
    <w:rsid w:val="00153918"/>
    <w:rsid w:val="00153CA8"/>
    <w:rsid w:val="00154091"/>
    <w:rsid w:val="001541D3"/>
    <w:rsid w:val="001542B4"/>
    <w:rsid w:val="00154341"/>
    <w:rsid w:val="00154448"/>
    <w:rsid w:val="001544C4"/>
    <w:rsid w:val="00154685"/>
    <w:rsid w:val="001546C6"/>
    <w:rsid w:val="0015490A"/>
    <w:rsid w:val="00154F1E"/>
    <w:rsid w:val="001550EA"/>
    <w:rsid w:val="0015543B"/>
    <w:rsid w:val="0015552F"/>
    <w:rsid w:val="001556B1"/>
    <w:rsid w:val="00155983"/>
    <w:rsid w:val="001559BA"/>
    <w:rsid w:val="001559C5"/>
    <w:rsid w:val="00155B2A"/>
    <w:rsid w:val="00155B7E"/>
    <w:rsid w:val="00155F87"/>
    <w:rsid w:val="00156111"/>
    <w:rsid w:val="001562D9"/>
    <w:rsid w:val="001568BA"/>
    <w:rsid w:val="00156C92"/>
    <w:rsid w:val="00156D20"/>
    <w:rsid w:val="00156F15"/>
    <w:rsid w:val="00156FF3"/>
    <w:rsid w:val="001570BD"/>
    <w:rsid w:val="001570DD"/>
    <w:rsid w:val="00157257"/>
    <w:rsid w:val="0015731D"/>
    <w:rsid w:val="00157366"/>
    <w:rsid w:val="00157448"/>
    <w:rsid w:val="00157477"/>
    <w:rsid w:val="00157902"/>
    <w:rsid w:val="00157C65"/>
    <w:rsid w:val="00157D90"/>
    <w:rsid w:val="00157E5E"/>
    <w:rsid w:val="0016033D"/>
    <w:rsid w:val="001603E1"/>
    <w:rsid w:val="00160540"/>
    <w:rsid w:val="001607E0"/>
    <w:rsid w:val="00160928"/>
    <w:rsid w:val="0016097F"/>
    <w:rsid w:val="00160B0A"/>
    <w:rsid w:val="00160CCE"/>
    <w:rsid w:val="00161095"/>
    <w:rsid w:val="00161B0A"/>
    <w:rsid w:val="00161B3B"/>
    <w:rsid w:val="00161CBC"/>
    <w:rsid w:val="00161CEF"/>
    <w:rsid w:val="00161E69"/>
    <w:rsid w:val="00161F5E"/>
    <w:rsid w:val="00161FBC"/>
    <w:rsid w:val="0016228F"/>
    <w:rsid w:val="0016232A"/>
    <w:rsid w:val="0016233B"/>
    <w:rsid w:val="001624B9"/>
    <w:rsid w:val="0016259A"/>
    <w:rsid w:val="001625B7"/>
    <w:rsid w:val="001627A8"/>
    <w:rsid w:val="0016289D"/>
    <w:rsid w:val="0016292B"/>
    <w:rsid w:val="001629A7"/>
    <w:rsid w:val="00162B22"/>
    <w:rsid w:val="00162BAA"/>
    <w:rsid w:val="00162BB6"/>
    <w:rsid w:val="00162F43"/>
    <w:rsid w:val="001636A0"/>
    <w:rsid w:val="0016382B"/>
    <w:rsid w:val="00163E1E"/>
    <w:rsid w:val="00163EF5"/>
    <w:rsid w:val="001642B7"/>
    <w:rsid w:val="001646CF"/>
    <w:rsid w:val="0016472A"/>
    <w:rsid w:val="001648DA"/>
    <w:rsid w:val="001648F8"/>
    <w:rsid w:val="001649DA"/>
    <w:rsid w:val="001649EB"/>
    <w:rsid w:val="0016503D"/>
    <w:rsid w:val="001650A5"/>
    <w:rsid w:val="0016541B"/>
    <w:rsid w:val="0016560B"/>
    <w:rsid w:val="0016575F"/>
    <w:rsid w:val="0016597D"/>
    <w:rsid w:val="00166118"/>
    <w:rsid w:val="00166256"/>
    <w:rsid w:val="001662E7"/>
    <w:rsid w:val="0016641E"/>
    <w:rsid w:val="00166440"/>
    <w:rsid w:val="001664CD"/>
    <w:rsid w:val="00166752"/>
    <w:rsid w:val="001667D1"/>
    <w:rsid w:val="00166B0C"/>
    <w:rsid w:val="00166CE8"/>
    <w:rsid w:val="00166EBD"/>
    <w:rsid w:val="00167017"/>
    <w:rsid w:val="0016727C"/>
    <w:rsid w:val="0016762B"/>
    <w:rsid w:val="00167820"/>
    <w:rsid w:val="001678CE"/>
    <w:rsid w:val="00167DDE"/>
    <w:rsid w:val="00167DE2"/>
    <w:rsid w:val="00167E9F"/>
    <w:rsid w:val="00167FC9"/>
    <w:rsid w:val="001700DA"/>
    <w:rsid w:val="001701BC"/>
    <w:rsid w:val="001701DA"/>
    <w:rsid w:val="00170205"/>
    <w:rsid w:val="0017036A"/>
    <w:rsid w:val="00170BEB"/>
    <w:rsid w:val="00170C04"/>
    <w:rsid w:val="00171160"/>
    <w:rsid w:val="00171250"/>
    <w:rsid w:val="0017168A"/>
    <w:rsid w:val="00171873"/>
    <w:rsid w:val="00171D09"/>
    <w:rsid w:val="00171D29"/>
    <w:rsid w:val="00171D58"/>
    <w:rsid w:val="00172107"/>
    <w:rsid w:val="00172177"/>
    <w:rsid w:val="00172751"/>
    <w:rsid w:val="00172756"/>
    <w:rsid w:val="00172778"/>
    <w:rsid w:val="00172885"/>
    <w:rsid w:val="001729C7"/>
    <w:rsid w:val="00172B27"/>
    <w:rsid w:val="00172B46"/>
    <w:rsid w:val="00172B73"/>
    <w:rsid w:val="00172CDE"/>
    <w:rsid w:val="00172D9A"/>
    <w:rsid w:val="00172EFA"/>
    <w:rsid w:val="00172FA2"/>
    <w:rsid w:val="00172FED"/>
    <w:rsid w:val="00173020"/>
    <w:rsid w:val="001733CB"/>
    <w:rsid w:val="00173497"/>
    <w:rsid w:val="001736BB"/>
    <w:rsid w:val="001738F9"/>
    <w:rsid w:val="00173944"/>
    <w:rsid w:val="00173B08"/>
    <w:rsid w:val="00173B32"/>
    <w:rsid w:val="00173D87"/>
    <w:rsid w:val="00174342"/>
    <w:rsid w:val="00174430"/>
    <w:rsid w:val="001745C5"/>
    <w:rsid w:val="001746E2"/>
    <w:rsid w:val="0017471A"/>
    <w:rsid w:val="00174C39"/>
    <w:rsid w:val="00174CEE"/>
    <w:rsid w:val="00174E8D"/>
    <w:rsid w:val="0017504C"/>
    <w:rsid w:val="001750B3"/>
    <w:rsid w:val="0017513D"/>
    <w:rsid w:val="001752CF"/>
    <w:rsid w:val="00175589"/>
    <w:rsid w:val="001756CA"/>
    <w:rsid w:val="00175863"/>
    <w:rsid w:val="00175B95"/>
    <w:rsid w:val="00175C68"/>
    <w:rsid w:val="00175CA9"/>
    <w:rsid w:val="00175DA9"/>
    <w:rsid w:val="00175E0A"/>
    <w:rsid w:val="00175F39"/>
    <w:rsid w:val="0017647B"/>
    <w:rsid w:val="00176568"/>
    <w:rsid w:val="001767B5"/>
    <w:rsid w:val="001767FA"/>
    <w:rsid w:val="00176B0E"/>
    <w:rsid w:val="00176D2A"/>
    <w:rsid w:val="00176E68"/>
    <w:rsid w:val="00176FBF"/>
    <w:rsid w:val="0017727D"/>
    <w:rsid w:val="001772ED"/>
    <w:rsid w:val="001775CA"/>
    <w:rsid w:val="00177AAE"/>
    <w:rsid w:val="00177BB0"/>
    <w:rsid w:val="00177C56"/>
    <w:rsid w:val="00180065"/>
    <w:rsid w:val="001800CB"/>
    <w:rsid w:val="001800E9"/>
    <w:rsid w:val="00180132"/>
    <w:rsid w:val="0018044A"/>
    <w:rsid w:val="00180579"/>
    <w:rsid w:val="001806F2"/>
    <w:rsid w:val="00180ACB"/>
    <w:rsid w:val="00180BAB"/>
    <w:rsid w:val="00180BF4"/>
    <w:rsid w:val="00180C2E"/>
    <w:rsid w:val="00180E3B"/>
    <w:rsid w:val="00181054"/>
    <w:rsid w:val="00181228"/>
    <w:rsid w:val="00181493"/>
    <w:rsid w:val="00181504"/>
    <w:rsid w:val="00181691"/>
    <w:rsid w:val="00181829"/>
    <w:rsid w:val="00181848"/>
    <w:rsid w:val="00181D9C"/>
    <w:rsid w:val="00181DDF"/>
    <w:rsid w:val="00181EF4"/>
    <w:rsid w:val="00181FF0"/>
    <w:rsid w:val="00182205"/>
    <w:rsid w:val="00182219"/>
    <w:rsid w:val="00182664"/>
    <w:rsid w:val="00182BD8"/>
    <w:rsid w:val="00182D65"/>
    <w:rsid w:val="00182DF1"/>
    <w:rsid w:val="00182F09"/>
    <w:rsid w:val="001830A9"/>
    <w:rsid w:val="0018317D"/>
    <w:rsid w:val="001836E3"/>
    <w:rsid w:val="00183769"/>
    <w:rsid w:val="001837D6"/>
    <w:rsid w:val="001838F0"/>
    <w:rsid w:val="00183D6C"/>
    <w:rsid w:val="00183E65"/>
    <w:rsid w:val="00183FC9"/>
    <w:rsid w:val="001841BC"/>
    <w:rsid w:val="001843BE"/>
    <w:rsid w:val="001843E4"/>
    <w:rsid w:val="0018441D"/>
    <w:rsid w:val="00184508"/>
    <w:rsid w:val="0018475B"/>
    <w:rsid w:val="001847D8"/>
    <w:rsid w:val="0018490E"/>
    <w:rsid w:val="00184988"/>
    <w:rsid w:val="00184A27"/>
    <w:rsid w:val="00184B2F"/>
    <w:rsid w:val="00184C15"/>
    <w:rsid w:val="00185004"/>
    <w:rsid w:val="00185227"/>
    <w:rsid w:val="00185A99"/>
    <w:rsid w:val="00185CF7"/>
    <w:rsid w:val="00185D9F"/>
    <w:rsid w:val="00186019"/>
    <w:rsid w:val="00186335"/>
    <w:rsid w:val="00186450"/>
    <w:rsid w:val="00186479"/>
    <w:rsid w:val="00186560"/>
    <w:rsid w:val="00186B7F"/>
    <w:rsid w:val="00186D65"/>
    <w:rsid w:val="00186E4C"/>
    <w:rsid w:val="001870EE"/>
    <w:rsid w:val="0018720E"/>
    <w:rsid w:val="0018738D"/>
    <w:rsid w:val="001874C1"/>
    <w:rsid w:val="001874DC"/>
    <w:rsid w:val="00187507"/>
    <w:rsid w:val="00187517"/>
    <w:rsid w:val="0018794B"/>
    <w:rsid w:val="001879D5"/>
    <w:rsid w:val="00187A91"/>
    <w:rsid w:val="00187F39"/>
    <w:rsid w:val="00190068"/>
    <w:rsid w:val="00190340"/>
    <w:rsid w:val="00190600"/>
    <w:rsid w:val="00190918"/>
    <w:rsid w:val="00190A36"/>
    <w:rsid w:val="00190C87"/>
    <w:rsid w:val="00190D6C"/>
    <w:rsid w:val="001910E0"/>
    <w:rsid w:val="001917C3"/>
    <w:rsid w:val="00191881"/>
    <w:rsid w:val="00191ADF"/>
    <w:rsid w:val="00191B8A"/>
    <w:rsid w:val="00191CBE"/>
    <w:rsid w:val="001926E8"/>
    <w:rsid w:val="001927CA"/>
    <w:rsid w:val="00192B3A"/>
    <w:rsid w:val="00192CC7"/>
    <w:rsid w:val="00192E50"/>
    <w:rsid w:val="00193266"/>
    <w:rsid w:val="001933E1"/>
    <w:rsid w:val="00193779"/>
    <w:rsid w:val="001937CC"/>
    <w:rsid w:val="00193A4B"/>
    <w:rsid w:val="00193BDE"/>
    <w:rsid w:val="00193BF5"/>
    <w:rsid w:val="00193F7D"/>
    <w:rsid w:val="00194369"/>
    <w:rsid w:val="00194422"/>
    <w:rsid w:val="001944A0"/>
    <w:rsid w:val="00194B1F"/>
    <w:rsid w:val="00194E88"/>
    <w:rsid w:val="0019501F"/>
    <w:rsid w:val="00195099"/>
    <w:rsid w:val="001950BB"/>
    <w:rsid w:val="00195140"/>
    <w:rsid w:val="0019517F"/>
    <w:rsid w:val="001951B1"/>
    <w:rsid w:val="001953E2"/>
    <w:rsid w:val="00195FB0"/>
    <w:rsid w:val="00196029"/>
    <w:rsid w:val="001961D2"/>
    <w:rsid w:val="001961E0"/>
    <w:rsid w:val="001962B2"/>
    <w:rsid w:val="001964FB"/>
    <w:rsid w:val="0019654A"/>
    <w:rsid w:val="001966A2"/>
    <w:rsid w:val="0019674E"/>
    <w:rsid w:val="00196932"/>
    <w:rsid w:val="00196AB9"/>
    <w:rsid w:val="00196D0A"/>
    <w:rsid w:val="00196D3B"/>
    <w:rsid w:val="00196FF4"/>
    <w:rsid w:val="0019713B"/>
    <w:rsid w:val="0019716A"/>
    <w:rsid w:val="001972CD"/>
    <w:rsid w:val="0019731B"/>
    <w:rsid w:val="00197485"/>
    <w:rsid w:val="0019762D"/>
    <w:rsid w:val="001977D1"/>
    <w:rsid w:val="0019794D"/>
    <w:rsid w:val="00197B1F"/>
    <w:rsid w:val="00197D12"/>
    <w:rsid w:val="00197F73"/>
    <w:rsid w:val="001A0303"/>
    <w:rsid w:val="001A0358"/>
    <w:rsid w:val="001A04D3"/>
    <w:rsid w:val="001A0654"/>
    <w:rsid w:val="001A096B"/>
    <w:rsid w:val="001A0A4E"/>
    <w:rsid w:val="001A0CEB"/>
    <w:rsid w:val="001A0D55"/>
    <w:rsid w:val="001A0DC0"/>
    <w:rsid w:val="001A0EC3"/>
    <w:rsid w:val="001A0FF0"/>
    <w:rsid w:val="001A10A7"/>
    <w:rsid w:val="001A10C3"/>
    <w:rsid w:val="001A144C"/>
    <w:rsid w:val="001A1616"/>
    <w:rsid w:val="001A1ACD"/>
    <w:rsid w:val="001A1AE5"/>
    <w:rsid w:val="001A1B12"/>
    <w:rsid w:val="001A1BE4"/>
    <w:rsid w:val="001A1F84"/>
    <w:rsid w:val="001A1FC3"/>
    <w:rsid w:val="001A20FC"/>
    <w:rsid w:val="001A229D"/>
    <w:rsid w:val="001A26A7"/>
    <w:rsid w:val="001A2866"/>
    <w:rsid w:val="001A299C"/>
    <w:rsid w:val="001A2CC3"/>
    <w:rsid w:val="001A30D2"/>
    <w:rsid w:val="001A329B"/>
    <w:rsid w:val="001A3898"/>
    <w:rsid w:val="001A38AB"/>
    <w:rsid w:val="001A3AC3"/>
    <w:rsid w:val="001A3CC0"/>
    <w:rsid w:val="001A3D8D"/>
    <w:rsid w:val="001A3E5C"/>
    <w:rsid w:val="001A3F3A"/>
    <w:rsid w:val="001A4119"/>
    <w:rsid w:val="001A4296"/>
    <w:rsid w:val="001A44EE"/>
    <w:rsid w:val="001A49C3"/>
    <w:rsid w:val="001A4C47"/>
    <w:rsid w:val="001A4E6C"/>
    <w:rsid w:val="001A5323"/>
    <w:rsid w:val="001A5557"/>
    <w:rsid w:val="001A5625"/>
    <w:rsid w:val="001A574F"/>
    <w:rsid w:val="001A578F"/>
    <w:rsid w:val="001A5A76"/>
    <w:rsid w:val="001A5ACD"/>
    <w:rsid w:val="001A5AF6"/>
    <w:rsid w:val="001A5B9C"/>
    <w:rsid w:val="001A5E52"/>
    <w:rsid w:val="001A5F99"/>
    <w:rsid w:val="001A5FE0"/>
    <w:rsid w:val="001A606F"/>
    <w:rsid w:val="001A6215"/>
    <w:rsid w:val="001A6858"/>
    <w:rsid w:val="001A69D6"/>
    <w:rsid w:val="001A6A61"/>
    <w:rsid w:val="001A6A89"/>
    <w:rsid w:val="001A6C09"/>
    <w:rsid w:val="001A6E04"/>
    <w:rsid w:val="001A72F9"/>
    <w:rsid w:val="001A7622"/>
    <w:rsid w:val="001A79B5"/>
    <w:rsid w:val="001A7A62"/>
    <w:rsid w:val="001A7ECC"/>
    <w:rsid w:val="001A7EE4"/>
    <w:rsid w:val="001A7F75"/>
    <w:rsid w:val="001B01FF"/>
    <w:rsid w:val="001B064C"/>
    <w:rsid w:val="001B0790"/>
    <w:rsid w:val="001B08AD"/>
    <w:rsid w:val="001B0A61"/>
    <w:rsid w:val="001B11AC"/>
    <w:rsid w:val="001B11C8"/>
    <w:rsid w:val="001B121C"/>
    <w:rsid w:val="001B1226"/>
    <w:rsid w:val="001B12D5"/>
    <w:rsid w:val="001B139C"/>
    <w:rsid w:val="001B13CD"/>
    <w:rsid w:val="001B14D2"/>
    <w:rsid w:val="001B152F"/>
    <w:rsid w:val="001B16A1"/>
    <w:rsid w:val="001B1A53"/>
    <w:rsid w:val="001B1E01"/>
    <w:rsid w:val="001B2557"/>
    <w:rsid w:val="001B2A0E"/>
    <w:rsid w:val="001B2C34"/>
    <w:rsid w:val="001B32B1"/>
    <w:rsid w:val="001B32D9"/>
    <w:rsid w:val="001B3673"/>
    <w:rsid w:val="001B3868"/>
    <w:rsid w:val="001B395E"/>
    <w:rsid w:val="001B3AE6"/>
    <w:rsid w:val="001B3B5D"/>
    <w:rsid w:val="001B3DDF"/>
    <w:rsid w:val="001B3EA1"/>
    <w:rsid w:val="001B3FA4"/>
    <w:rsid w:val="001B4129"/>
    <w:rsid w:val="001B430D"/>
    <w:rsid w:val="001B4516"/>
    <w:rsid w:val="001B49A0"/>
    <w:rsid w:val="001B49B8"/>
    <w:rsid w:val="001B52F7"/>
    <w:rsid w:val="001B544E"/>
    <w:rsid w:val="001B549C"/>
    <w:rsid w:val="001B6068"/>
    <w:rsid w:val="001B6121"/>
    <w:rsid w:val="001B619A"/>
    <w:rsid w:val="001B61BE"/>
    <w:rsid w:val="001B65E3"/>
    <w:rsid w:val="001B69BA"/>
    <w:rsid w:val="001B6B0A"/>
    <w:rsid w:val="001B6DE7"/>
    <w:rsid w:val="001B71E9"/>
    <w:rsid w:val="001B7457"/>
    <w:rsid w:val="001B7554"/>
    <w:rsid w:val="001B75DB"/>
    <w:rsid w:val="001B75FF"/>
    <w:rsid w:val="001B791E"/>
    <w:rsid w:val="001B79D0"/>
    <w:rsid w:val="001B7D93"/>
    <w:rsid w:val="001C02C1"/>
    <w:rsid w:val="001C0402"/>
    <w:rsid w:val="001C0513"/>
    <w:rsid w:val="001C0568"/>
    <w:rsid w:val="001C0A3D"/>
    <w:rsid w:val="001C0AB7"/>
    <w:rsid w:val="001C0AD2"/>
    <w:rsid w:val="001C0AE9"/>
    <w:rsid w:val="001C0BD9"/>
    <w:rsid w:val="001C0E5E"/>
    <w:rsid w:val="001C0F62"/>
    <w:rsid w:val="001C14EC"/>
    <w:rsid w:val="001C15A5"/>
    <w:rsid w:val="001C1738"/>
    <w:rsid w:val="001C1813"/>
    <w:rsid w:val="001C181F"/>
    <w:rsid w:val="001C1BB3"/>
    <w:rsid w:val="001C1C47"/>
    <w:rsid w:val="001C1C73"/>
    <w:rsid w:val="001C1DA5"/>
    <w:rsid w:val="001C22E3"/>
    <w:rsid w:val="001C262A"/>
    <w:rsid w:val="001C26D0"/>
    <w:rsid w:val="001C2A66"/>
    <w:rsid w:val="001C2C74"/>
    <w:rsid w:val="001C2C77"/>
    <w:rsid w:val="001C2F3A"/>
    <w:rsid w:val="001C2F61"/>
    <w:rsid w:val="001C2FEA"/>
    <w:rsid w:val="001C348F"/>
    <w:rsid w:val="001C36F4"/>
    <w:rsid w:val="001C37A5"/>
    <w:rsid w:val="001C3805"/>
    <w:rsid w:val="001C385E"/>
    <w:rsid w:val="001C3997"/>
    <w:rsid w:val="001C418B"/>
    <w:rsid w:val="001C4446"/>
    <w:rsid w:val="001C4B2B"/>
    <w:rsid w:val="001C4BF5"/>
    <w:rsid w:val="001C5188"/>
    <w:rsid w:val="001C51A0"/>
    <w:rsid w:val="001C57E6"/>
    <w:rsid w:val="001C5812"/>
    <w:rsid w:val="001C5CEB"/>
    <w:rsid w:val="001C5E21"/>
    <w:rsid w:val="001C601D"/>
    <w:rsid w:val="001C6457"/>
    <w:rsid w:val="001C6474"/>
    <w:rsid w:val="001C6530"/>
    <w:rsid w:val="001C69CB"/>
    <w:rsid w:val="001C6B35"/>
    <w:rsid w:val="001C6CF8"/>
    <w:rsid w:val="001C6DA4"/>
    <w:rsid w:val="001C6ECB"/>
    <w:rsid w:val="001C6F15"/>
    <w:rsid w:val="001C715E"/>
    <w:rsid w:val="001C7229"/>
    <w:rsid w:val="001C7310"/>
    <w:rsid w:val="001C7740"/>
    <w:rsid w:val="001C77B0"/>
    <w:rsid w:val="001C7A74"/>
    <w:rsid w:val="001C7ADF"/>
    <w:rsid w:val="001C7DAF"/>
    <w:rsid w:val="001C7FE8"/>
    <w:rsid w:val="001D0047"/>
    <w:rsid w:val="001D03D0"/>
    <w:rsid w:val="001D03D2"/>
    <w:rsid w:val="001D052E"/>
    <w:rsid w:val="001D05AA"/>
    <w:rsid w:val="001D098A"/>
    <w:rsid w:val="001D0AA5"/>
    <w:rsid w:val="001D0CE9"/>
    <w:rsid w:val="001D0F82"/>
    <w:rsid w:val="001D10D4"/>
    <w:rsid w:val="001D1306"/>
    <w:rsid w:val="001D1582"/>
    <w:rsid w:val="001D1618"/>
    <w:rsid w:val="001D1696"/>
    <w:rsid w:val="001D16A8"/>
    <w:rsid w:val="001D183B"/>
    <w:rsid w:val="001D184C"/>
    <w:rsid w:val="001D1850"/>
    <w:rsid w:val="001D18F4"/>
    <w:rsid w:val="001D1A38"/>
    <w:rsid w:val="001D1AD8"/>
    <w:rsid w:val="001D1DD1"/>
    <w:rsid w:val="001D2057"/>
    <w:rsid w:val="001D208A"/>
    <w:rsid w:val="001D2207"/>
    <w:rsid w:val="001D230B"/>
    <w:rsid w:val="001D2329"/>
    <w:rsid w:val="001D2448"/>
    <w:rsid w:val="001D2592"/>
    <w:rsid w:val="001D2C1B"/>
    <w:rsid w:val="001D2C90"/>
    <w:rsid w:val="001D2EBF"/>
    <w:rsid w:val="001D2FF2"/>
    <w:rsid w:val="001D3187"/>
    <w:rsid w:val="001D354A"/>
    <w:rsid w:val="001D35D6"/>
    <w:rsid w:val="001D35E0"/>
    <w:rsid w:val="001D3650"/>
    <w:rsid w:val="001D373E"/>
    <w:rsid w:val="001D381C"/>
    <w:rsid w:val="001D3B18"/>
    <w:rsid w:val="001D3F87"/>
    <w:rsid w:val="001D3FC8"/>
    <w:rsid w:val="001D4795"/>
    <w:rsid w:val="001D47EF"/>
    <w:rsid w:val="001D4CF4"/>
    <w:rsid w:val="001D4D8A"/>
    <w:rsid w:val="001D4F81"/>
    <w:rsid w:val="001D5379"/>
    <w:rsid w:val="001D540F"/>
    <w:rsid w:val="001D5794"/>
    <w:rsid w:val="001D57C4"/>
    <w:rsid w:val="001D587F"/>
    <w:rsid w:val="001D5903"/>
    <w:rsid w:val="001D5A1B"/>
    <w:rsid w:val="001D5BD0"/>
    <w:rsid w:val="001D5C7C"/>
    <w:rsid w:val="001D6779"/>
    <w:rsid w:val="001D68B8"/>
    <w:rsid w:val="001D695A"/>
    <w:rsid w:val="001D6A44"/>
    <w:rsid w:val="001D6E27"/>
    <w:rsid w:val="001D72EF"/>
    <w:rsid w:val="001D7397"/>
    <w:rsid w:val="001D75B4"/>
    <w:rsid w:val="001D7988"/>
    <w:rsid w:val="001D7A77"/>
    <w:rsid w:val="001D7BF1"/>
    <w:rsid w:val="001D7C29"/>
    <w:rsid w:val="001D7EF8"/>
    <w:rsid w:val="001D7FED"/>
    <w:rsid w:val="001E00F7"/>
    <w:rsid w:val="001E02AF"/>
    <w:rsid w:val="001E0338"/>
    <w:rsid w:val="001E050E"/>
    <w:rsid w:val="001E0764"/>
    <w:rsid w:val="001E0982"/>
    <w:rsid w:val="001E09A2"/>
    <w:rsid w:val="001E0CE6"/>
    <w:rsid w:val="001E0EB7"/>
    <w:rsid w:val="001E0F32"/>
    <w:rsid w:val="001E12CD"/>
    <w:rsid w:val="001E13E5"/>
    <w:rsid w:val="001E1570"/>
    <w:rsid w:val="001E183C"/>
    <w:rsid w:val="001E19D9"/>
    <w:rsid w:val="001E1AAC"/>
    <w:rsid w:val="001E1CF1"/>
    <w:rsid w:val="001E201B"/>
    <w:rsid w:val="001E205E"/>
    <w:rsid w:val="001E23B9"/>
    <w:rsid w:val="001E2437"/>
    <w:rsid w:val="001E2445"/>
    <w:rsid w:val="001E24C6"/>
    <w:rsid w:val="001E27C9"/>
    <w:rsid w:val="001E2978"/>
    <w:rsid w:val="001E2BB8"/>
    <w:rsid w:val="001E2E14"/>
    <w:rsid w:val="001E329D"/>
    <w:rsid w:val="001E3313"/>
    <w:rsid w:val="001E3470"/>
    <w:rsid w:val="001E368C"/>
    <w:rsid w:val="001E36BC"/>
    <w:rsid w:val="001E39E3"/>
    <w:rsid w:val="001E3A00"/>
    <w:rsid w:val="001E3CE5"/>
    <w:rsid w:val="001E3F8D"/>
    <w:rsid w:val="001E404E"/>
    <w:rsid w:val="001E4330"/>
    <w:rsid w:val="001E450B"/>
    <w:rsid w:val="001E4AE8"/>
    <w:rsid w:val="001E4E0D"/>
    <w:rsid w:val="001E4E8F"/>
    <w:rsid w:val="001E4EF8"/>
    <w:rsid w:val="001E516D"/>
    <w:rsid w:val="001E51CE"/>
    <w:rsid w:val="001E52B9"/>
    <w:rsid w:val="001E5474"/>
    <w:rsid w:val="001E566C"/>
    <w:rsid w:val="001E577C"/>
    <w:rsid w:val="001E5B6B"/>
    <w:rsid w:val="001E5BF1"/>
    <w:rsid w:val="001E5E82"/>
    <w:rsid w:val="001E5F59"/>
    <w:rsid w:val="001E60CE"/>
    <w:rsid w:val="001E6108"/>
    <w:rsid w:val="001E6A52"/>
    <w:rsid w:val="001E6B91"/>
    <w:rsid w:val="001E6E49"/>
    <w:rsid w:val="001E6EDC"/>
    <w:rsid w:val="001E6FF7"/>
    <w:rsid w:val="001E7012"/>
    <w:rsid w:val="001E7287"/>
    <w:rsid w:val="001E7456"/>
    <w:rsid w:val="001E7482"/>
    <w:rsid w:val="001E75F5"/>
    <w:rsid w:val="001E7754"/>
    <w:rsid w:val="001E78A7"/>
    <w:rsid w:val="001E7CB7"/>
    <w:rsid w:val="001E7DC6"/>
    <w:rsid w:val="001F0003"/>
    <w:rsid w:val="001F0036"/>
    <w:rsid w:val="001F02B8"/>
    <w:rsid w:val="001F03D4"/>
    <w:rsid w:val="001F0419"/>
    <w:rsid w:val="001F0461"/>
    <w:rsid w:val="001F0592"/>
    <w:rsid w:val="001F089D"/>
    <w:rsid w:val="001F0A8B"/>
    <w:rsid w:val="001F0BE6"/>
    <w:rsid w:val="001F0BEB"/>
    <w:rsid w:val="001F101C"/>
    <w:rsid w:val="001F1068"/>
    <w:rsid w:val="001F1278"/>
    <w:rsid w:val="001F1822"/>
    <w:rsid w:val="001F1B93"/>
    <w:rsid w:val="001F1C1D"/>
    <w:rsid w:val="001F1E13"/>
    <w:rsid w:val="001F1F27"/>
    <w:rsid w:val="001F2043"/>
    <w:rsid w:val="001F21A1"/>
    <w:rsid w:val="001F22FA"/>
    <w:rsid w:val="001F2472"/>
    <w:rsid w:val="001F2626"/>
    <w:rsid w:val="001F268D"/>
    <w:rsid w:val="001F2797"/>
    <w:rsid w:val="001F29B0"/>
    <w:rsid w:val="001F2D51"/>
    <w:rsid w:val="001F33D8"/>
    <w:rsid w:val="001F3553"/>
    <w:rsid w:val="001F3BD3"/>
    <w:rsid w:val="001F3C61"/>
    <w:rsid w:val="001F3C86"/>
    <w:rsid w:val="001F3F62"/>
    <w:rsid w:val="001F4138"/>
    <w:rsid w:val="001F4264"/>
    <w:rsid w:val="001F4415"/>
    <w:rsid w:val="001F441D"/>
    <w:rsid w:val="001F46B9"/>
    <w:rsid w:val="001F4944"/>
    <w:rsid w:val="001F4A0E"/>
    <w:rsid w:val="001F4A13"/>
    <w:rsid w:val="001F4A50"/>
    <w:rsid w:val="001F4DFC"/>
    <w:rsid w:val="001F5178"/>
    <w:rsid w:val="001F51C6"/>
    <w:rsid w:val="001F527A"/>
    <w:rsid w:val="001F533F"/>
    <w:rsid w:val="001F5502"/>
    <w:rsid w:val="001F557F"/>
    <w:rsid w:val="001F564B"/>
    <w:rsid w:val="001F567E"/>
    <w:rsid w:val="001F5850"/>
    <w:rsid w:val="001F5991"/>
    <w:rsid w:val="001F5E90"/>
    <w:rsid w:val="001F5EBE"/>
    <w:rsid w:val="001F63BA"/>
    <w:rsid w:val="001F6615"/>
    <w:rsid w:val="001F6644"/>
    <w:rsid w:val="001F6C66"/>
    <w:rsid w:val="001F6CD0"/>
    <w:rsid w:val="001F6DCF"/>
    <w:rsid w:val="001F72B7"/>
    <w:rsid w:val="001F72BB"/>
    <w:rsid w:val="001F72FB"/>
    <w:rsid w:val="001F73E4"/>
    <w:rsid w:val="001F74CF"/>
    <w:rsid w:val="001F74F1"/>
    <w:rsid w:val="001F75EE"/>
    <w:rsid w:val="001F761E"/>
    <w:rsid w:val="001F7963"/>
    <w:rsid w:val="001F796F"/>
    <w:rsid w:val="001F7A38"/>
    <w:rsid w:val="001F7B29"/>
    <w:rsid w:val="001F7D71"/>
    <w:rsid w:val="001F7F96"/>
    <w:rsid w:val="00200079"/>
    <w:rsid w:val="00200431"/>
    <w:rsid w:val="002004E3"/>
    <w:rsid w:val="002004F5"/>
    <w:rsid w:val="00200582"/>
    <w:rsid w:val="00200DC3"/>
    <w:rsid w:val="00201449"/>
    <w:rsid w:val="002016CF"/>
    <w:rsid w:val="00201949"/>
    <w:rsid w:val="00201D1D"/>
    <w:rsid w:val="0020217F"/>
    <w:rsid w:val="00202266"/>
    <w:rsid w:val="002023A2"/>
    <w:rsid w:val="00202618"/>
    <w:rsid w:val="002026C2"/>
    <w:rsid w:val="00202863"/>
    <w:rsid w:val="002029E7"/>
    <w:rsid w:val="00202C4F"/>
    <w:rsid w:val="00202D7C"/>
    <w:rsid w:val="00202F1A"/>
    <w:rsid w:val="00203111"/>
    <w:rsid w:val="002032B4"/>
    <w:rsid w:val="0020351D"/>
    <w:rsid w:val="0020378C"/>
    <w:rsid w:val="00203AF2"/>
    <w:rsid w:val="00203B98"/>
    <w:rsid w:val="00203D22"/>
    <w:rsid w:val="00203D98"/>
    <w:rsid w:val="00204099"/>
    <w:rsid w:val="002041D0"/>
    <w:rsid w:val="002041FE"/>
    <w:rsid w:val="00204272"/>
    <w:rsid w:val="002042AE"/>
    <w:rsid w:val="00204357"/>
    <w:rsid w:val="00204368"/>
    <w:rsid w:val="00204718"/>
    <w:rsid w:val="002049DB"/>
    <w:rsid w:val="00204A42"/>
    <w:rsid w:val="00204ECB"/>
    <w:rsid w:val="002051BD"/>
    <w:rsid w:val="00205755"/>
    <w:rsid w:val="0020587B"/>
    <w:rsid w:val="00205E78"/>
    <w:rsid w:val="00205EA8"/>
    <w:rsid w:val="00206458"/>
    <w:rsid w:val="00206A0B"/>
    <w:rsid w:val="00206AA5"/>
    <w:rsid w:val="00206AE6"/>
    <w:rsid w:val="00206FFE"/>
    <w:rsid w:val="00207480"/>
    <w:rsid w:val="002074C9"/>
    <w:rsid w:val="00207536"/>
    <w:rsid w:val="00207633"/>
    <w:rsid w:val="00207721"/>
    <w:rsid w:val="002077A5"/>
    <w:rsid w:val="002079A4"/>
    <w:rsid w:val="00207A08"/>
    <w:rsid w:val="00207CEB"/>
    <w:rsid w:val="00207FC7"/>
    <w:rsid w:val="00207FDD"/>
    <w:rsid w:val="0021019D"/>
    <w:rsid w:val="00210560"/>
    <w:rsid w:val="0021066C"/>
    <w:rsid w:val="00210A3F"/>
    <w:rsid w:val="00210A98"/>
    <w:rsid w:val="00210EE4"/>
    <w:rsid w:val="00210F3A"/>
    <w:rsid w:val="00211682"/>
    <w:rsid w:val="00211743"/>
    <w:rsid w:val="00211769"/>
    <w:rsid w:val="002119F4"/>
    <w:rsid w:val="00211E15"/>
    <w:rsid w:val="00211E64"/>
    <w:rsid w:val="00211E67"/>
    <w:rsid w:val="002120EB"/>
    <w:rsid w:val="00212170"/>
    <w:rsid w:val="00212202"/>
    <w:rsid w:val="00212558"/>
    <w:rsid w:val="002125A5"/>
    <w:rsid w:val="00212BE3"/>
    <w:rsid w:val="00212CD6"/>
    <w:rsid w:val="00212D18"/>
    <w:rsid w:val="00212D4D"/>
    <w:rsid w:val="00212F7A"/>
    <w:rsid w:val="002131EE"/>
    <w:rsid w:val="0021333C"/>
    <w:rsid w:val="0021379E"/>
    <w:rsid w:val="00213809"/>
    <w:rsid w:val="00213A14"/>
    <w:rsid w:val="00213B38"/>
    <w:rsid w:val="00213BD9"/>
    <w:rsid w:val="00213F40"/>
    <w:rsid w:val="00214252"/>
    <w:rsid w:val="00214468"/>
    <w:rsid w:val="002149E7"/>
    <w:rsid w:val="00214BC1"/>
    <w:rsid w:val="00214C2A"/>
    <w:rsid w:val="00214DC7"/>
    <w:rsid w:val="00214E78"/>
    <w:rsid w:val="002150D6"/>
    <w:rsid w:val="002155B2"/>
    <w:rsid w:val="00215F9E"/>
    <w:rsid w:val="00216123"/>
    <w:rsid w:val="002163F9"/>
    <w:rsid w:val="0021642C"/>
    <w:rsid w:val="00216507"/>
    <w:rsid w:val="00216746"/>
    <w:rsid w:val="0021683F"/>
    <w:rsid w:val="00216AB6"/>
    <w:rsid w:val="00216FF0"/>
    <w:rsid w:val="002172BF"/>
    <w:rsid w:val="00217480"/>
    <w:rsid w:val="0021768A"/>
    <w:rsid w:val="00217870"/>
    <w:rsid w:val="00217891"/>
    <w:rsid w:val="00217B68"/>
    <w:rsid w:val="00217B90"/>
    <w:rsid w:val="00217DF5"/>
    <w:rsid w:val="00217EBB"/>
    <w:rsid w:val="0022008B"/>
    <w:rsid w:val="0022009B"/>
    <w:rsid w:val="00220103"/>
    <w:rsid w:val="002201B2"/>
    <w:rsid w:val="00220489"/>
    <w:rsid w:val="00220523"/>
    <w:rsid w:val="00220A4B"/>
    <w:rsid w:val="00220AAE"/>
    <w:rsid w:val="0022108A"/>
    <w:rsid w:val="00221316"/>
    <w:rsid w:val="0022139F"/>
    <w:rsid w:val="002213F6"/>
    <w:rsid w:val="00221549"/>
    <w:rsid w:val="00221586"/>
    <w:rsid w:val="00221848"/>
    <w:rsid w:val="002218C5"/>
    <w:rsid w:val="00221982"/>
    <w:rsid w:val="00221A2E"/>
    <w:rsid w:val="00221BC9"/>
    <w:rsid w:val="00221CC5"/>
    <w:rsid w:val="00221E47"/>
    <w:rsid w:val="00221F79"/>
    <w:rsid w:val="002222D1"/>
    <w:rsid w:val="002222E9"/>
    <w:rsid w:val="00222375"/>
    <w:rsid w:val="002223A5"/>
    <w:rsid w:val="00222682"/>
    <w:rsid w:val="002228C5"/>
    <w:rsid w:val="00222A52"/>
    <w:rsid w:val="00222AAE"/>
    <w:rsid w:val="00222DA3"/>
    <w:rsid w:val="00222DC7"/>
    <w:rsid w:val="00222ED7"/>
    <w:rsid w:val="00222F30"/>
    <w:rsid w:val="00223132"/>
    <w:rsid w:val="0022321A"/>
    <w:rsid w:val="00223291"/>
    <w:rsid w:val="002233B8"/>
    <w:rsid w:val="00223410"/>
    <w:rsid w:val="0022360A"/>
    <w:rsid w:val="0022381B"/>
    <w:rsid w:val="00223DC9"/>
    <w:rsid w:val="00223FD8"/>
    <w:rsid w:val="002242C4"/>
    <w:rsid w:val="00224615"/>
    <w:rsid w:val="00224A02"/>
    <w:rsid w:val="00224D4A"/>
    <w:rsid w:val="00224E01"/>
    <w:rsid w:val="00225097"/>
    <w:rsid w:val="00225320"/>
    <w:rsid w:val="00225581"/>
    <w:rsid w:val="002255AC"/>
    <w:rsid w:val="002257A0"/>
    <w:rsid w:val="00225A1F"/>
    <w:rsid w:val="00225DC3"/>
    <w:rsid w:val="00225E18"/>
    <w:rsid w:val="00226737"/>
    <w:rsid w:val="00226873"/>
    <w:rsid w:val="00226944"/>
    <w:rsid w:val="00226D7A"/>
    <w:rsid w:val="00226F71"/>
    <w:rsid w:val="00227104"/>
    <w:rsid w:val="00227207"/>
    <w:rsid w:val="00227277"/>
    <w:rsid w:val="00227748"/>
    <w:rsid w:val="002279E4"/>
    <w:rsid w:val="00227B13"/>
    <w:rsid w:val="00230091"/>
    <w:rsid w:val="0023012B"/>
    <w:rsid w:val="002302CB"/>
    <w:rsid w:val="00230378"/>
    <w:rsid w:val="0023076F"/>
    <w:rsid w:val="002309E9"/>
    <w:rsid w:val="00230A14"/>
    <w:rsid w:val="00230BD1"/>
    <w:rsid w:val="00230EA9"/>
    <w:rsid w:val="00230F09"/>
    <w:rsid w:val="002314CD"/>
    <w:rsid w:val="00231E04"/>
    <w:rsid w:val="00231E14"/>
    <w:rsid w:val="00231FA6"/>
    <w:rsid w:val="0023211B"/>
    <w:rsid w:val="002322B9"/>
    <w:rsid w:val="00232419"/>
    <w:rsid w:val="002324AE"/>
    <w:rsid w:val="0023272D"/>
    <w:rsid w:val="00232B00"/>
    <w:rsid w:val="00232E1D"/>
    <w:rsid w:val="00232F5A"/>
    <w:rsid w:val="002331DD"/>
    <w:rsid w:val="002335C0"/>
    <w:rsid w:val="002336D2"/>
    <w:rsid w:val="0023394F"/>
    <w:rsid w:val="002339C6"/>
    <w:rsid w:val="00233CD0"/>
    <w:rsid w:val="00233CEB"/>
    <w:rsid w:val="00233E15"/>
    <w:rsid w:val="00234132"/>
    <w:rsid w:val="0023428D"/>
    <w:rsid w:val="00234571"/>
    <w:rsid w:val="002345EA"/>
    <w:rsid w:val="00234689"/>
    <w:rsid w:val="0023478E"/>
    <w:rsid w:val="00234803"/>
    <w:rsid w:val="00234F0E"/>
    <w:rsid w:val="00234F3D"/>
    <w:rsid w:val="00234F8B"/>
    <w:rsid w:val="00235081"/>
    <w:rsid w:val="002350AD"/>
    <w:rsid w:val="00235443"/>
    <w:rsid w:val="00235503"/>
    <w:rsid w:val="002357C5"/>
    <w:rsid w:val="00235C28"/>
    <w:rsid w:val="002360C3"/>
    <w:rsid w:val="00236100"/>
    <w:rsid w:val="0023637B"/>
    <w:rsid w:val="00236538"/>
    <w:rsid w:val="0023663D"/>
    <w:rsid w:val="002366DC"/>
    <w:rsid w:val="00236D84"/>
    <w:rsid w:val="00236E11"/>
    <w:rsid w:val="00236EBC"/>
    <w:rsid w:val="00237028"/>
    <w:rsid w:val="0023703C"/>
    <w:rsid w:val="002371EC"/>
    <w:rsid w:val="002375F3"/>
    <w:rsid w:val="00237636"/>
    <w:rsid w:val="00237AFA"/>
    <w:rsid w:val="00237E35"/>
    <w:rsid w:val="002402D8"/>
    <w:rsid w:val="00240572"/>
    <w:rsid w:val="00240695"/>
    <w:rsid w:val="002409E7"/>
    <w:rsid w:val="00240ABE"/>
    <w:rsid w:val="00240C99"/>
    <w:rsid w:val="00240DA7"/>
    <w:rsid w:val="00240E83"/>
    <w:rsid w:val="00240EA5"/>
    <w:rsid w:val="00240EA6"/>
    <w:rsid w:val="002411CD"/>
    <w:rsid w:val="0024128B"/>
    <w:rsid w:val="002412A7"/>
    <w:rsid w:val="00241449"/>
    <w:rsid w:val="002414F4"/>
    <w:rsid w:val="00241578"/>
    <w:rsid w:val="00241B32"/>
    <w:rsid w:val="002420E6"/>
    <w:rsid w:val="0024276C"/>
    <w:rsid w:val="0024291F"/>
    <w:rsid w:val="00242B4E"/>
    <w:rsid w:val="00242F08"/>
    <w:rsid w:val="002432AE"/>
    <w:rsid w:val="00243383"/>
    <w:rsid w:val="002434EA"/>
    <w:rsid w:val="00243548"/>
    <w:rsid w:val="0024385F"/>
    <w:rsid w:val="00243892"/>
    <w:rsid w:val="00243EE4"/>
    <w:rsid w:val="0024401B"/>
    <w:rsid w:val="00244295"/>
    <w:rsid w:val="00244725"/>
    <w:rsid w:val="0024478E"/>
    <w:rsid w:val="00244A5C"/>
    <w:rsid w:val="00244BDA"/>
    <w:rsid w:val="00244CE9"/>
    <w:rsid w:val="00244F1B"/>
    <w:rsid w:val="002451D6"/>
    <w:rsid w:val="0024532A"/>
    <w:rsid w:val="00245540"/>
    <w:rsid w:val="00245760"/>
    <w:rsid w:val="00245976"/>
    <w:rsid w:val="00245BE6"/>
    <w:rsid w:val="00245D1B"/>
    <w:rsid w:val="00245FA3"/>
    <w:rsid w:val="00245FAA"/>
    <w:rsid w:val="00246387"/>
    <w:rsid w:val="00246DE7"/>
    <w:rsid w:val="0024739F"/>
    <w:rsid w:val="002473D5"/>
    <w:rsid w:val="002473E8"/>
    <w:rsid w:val="00247763"/>
    <w:rsid w:val="00247768"/>
    <w:rsid w:val="002479D1"/>
    <w:rsid w:val="00247C58"/>
    <w:rsid w:val="00247C82"/>
    <w:rsid w:val="00247CA0"/>
    <w:rsid w:val="00247D04"/>
    <w:rsid w:val="00247FD8"/>
    <w:rsid w:val="00250249"/>
    <w:rsid w:val="0025027E"/>
    <w:rsid w:val="00250444"/>
    <w:rsid w:val="0025047B"/>
    <w:rsid w:val="0025071E"/>
    <w:rsid w:val="00250738"/>
    <w:rsid w:val="002507A2"/>
    <w:rsid w:val="002507BE"/>
    <w:rsid w:val="00250996"/>
    <w:rsid w:val="00250D0E"/>
    <w:rsid w:val="00250D76"/>
    <w:rsid w:val="00250EAA"/>
    <w:rsid w:val="00251045"/>
    <w:rsid w:val="0025110F"/>
    <w:rsid w:val="002512BE"/>
    <w:rsid w:val="002513CD"/>
    <w:rsid w:val="002519DD"/>
    <w:rsid w:val="00251A21"/>
    <w:rsid w:val="00251ACE"/>
    <w:rsid w:val="00251B8D"/>
    <w:rsid w:val="00251CE8"/>
    <w:rsid w:val="00251F93"/>
    <w:rsid w:val="0025215C"/>
    <w:rsid w:val="00252183"/>
    <w:rsid w:val="00252636"/>
    <w:rsid w:val="00252986"/>
    <w:rsid w:val="00252D42"/>
    <w:rsid w:val="00253391"/>
    <w:rsid w:val="002537CA"/>
    <w:rsid w:val="00253874"/>
    <w:rsid w:val="002538A3"/>
    <w:rsid w:val="00253A0B"/>
    <w:rsid w:val="00253A93"/>
    <w:rsid w:val="00254067"/>
    <w:rsid w:val="002540EF"/>
    <w:rsid w:val="00254113"/>
    <w:rsid w:val="00254296"/>
    <w:rsid w:val="00254412"/>
    <w:rsid w:val="002546FB"/>
    <w:rsid w:val="002547B7"/>
    <w:rsid w:val="002547C2"/>
    <w:rsid w:val="002547F6"/>
    <w:rsid w:val="00254894"/>
    <w:rsid w:val="002548A2"/>
    <w:rsid w:val="0025494E"/>
    <w:rsid w:val="002549C7"/>
    <w:rsid w:val="00254A93"/>
    <w:rsid w:val="00254AED"/>
    <w:rsid w:val="00254B49"/>
    <w:rsid w:val="00254E35"/>
    <w:rsid w:val="00254E88"/>
    <w:rsid w:val="0025539E"/>
    <w:rsid w:val="00255531"/>
    <w:rsid w:val="00255538"/>
    <w:rsid w:val="00255838"/>
    <w:rsid w:val="00255E3E"/>
    <w:rsid w:val="00256111"/>
    <w:rsid w:val="00256242"/>
    <w:rsid w:val="0025672B"/>
    <w:rsid w:val="00256DC4"/>
    <w:rsid w:val="00256F50"/>
    <w:rsid w:val="00257173"/>
    <w:rsid w:val="00257200"/>
    <w:rsid w:val="002572F8"/>
    <w:rsid w:val="00257388"/>
    <w:rsid w:val="00257467"/>
    <w:rsid w:val="00257614"/>
    <w:rsid w:val="0025781B"/>
    <w:rsid w:val="0025791E"/>
    <w:rsid w:val="002600AC"/>
    <w:rsid w:val="002606AB"/>
    <w:rsid w:val="002606B9"/>
    <w:rsid w:val="00260A0B"/>
    <w:rsid w:val="0026109E"/>
    <w:rsid w:val="002611A7"/>
    <w:rsid w:val="00261299"/>
    <w:rsid w:val="002614FC"/>
    <w:rsid w:val="00261C7D"/>
    <w:rsid w:val="00261F17"/>
    <w:rsid w:val="00262011"/>
    <w:rsid w:val="00262041"/>
    <w:rsid w:val="00262125"/>
    <w:rsid w:val="002623F7"/>
    <w:rsid w:val="00262759"/>
    <w:rsid w:val="0026278D"/>
    <w:rsid w:val="00262797"/>
    <w:rsid w:val="0026281C"/>
    <w:rsid w:val="00262B2E"/>
    <w:rsid w:val="00262BC1"/>
    <w:rsid w:val="00262D88"/>
    <w:rsid w:val="0026314E"/>
    <w:rsid w:val="0026325E"/>
    <w:rsid w:val="0026339A"/>
    <w:rsid w:val="002633D5"/>
    <w:rsid w:val="002639C8"/>
    <w:rsid w:val="00263A09"/>
    <w:rsid w:val="00263AC1"/>
    <w:rsid w:val="00263BE7"/>
    <w:rsid w:val="00263CD6"/>
    <w:rsid w:val="00263D5F"/>
    <w:rsid w:val="00263DAA"/>
    <w:rsid w:val="0026408F"/>
    <w:rsid w:val="00264322"/>
    <w:rsid w:val="00264355"/>
    <w:rsid w:val="0026435B"/>
    <w:rsid w:val="00264401"/>
    <w:rsid w:val="002644CF"/>
    <w:rsid w:val="002647C9"/>
    <w:rsid w:val="002649F7"/>
    <w:rsid w:val="00264A59"/>
    <w:rsid w:val="00264A9D"/>
    <w:rsid w:val="00264C4C"/>
    <w:rsid w:val="00264CB9"/>
    <w:rsid w:val="00264CCD"/>
    <w:rsid w:val="00264D5E"/>
    <w:rsid w:val="00264F87"/>
    <w:rsid w:val="00265022"/>
    <w:rsid w:val="00265062"/>
    <w:rsid w:val="002654BF"/>
    <w:rsid w:val="00265662"/>
    <w:rsid w:val="00265C6C"/>
    <w:rsid w:val="00265E24"/>
    <w:rsid w:val="00265EC5"/>
    <w:rsid w:val="00265ED5"/>
    <w:rsid w:val="00265F9E"/>
    <w:rsid w:val="00265FBF"/>
    <w:rsid w:val="00266188"/>
    <w:rsid w:val="002662A8"/>
    <w:rsid w:val="002663B4"/>
    <w:rsid w:val="002663E0"/>
    <w:rsid w:val="00266568"/>
    <w:rsid w:val="00266A43"/>
    <w:rsid w:val="00266B5F"/>
    <w:rsid w:val="00266B96"/>
    <w:rsid w:val="00266E2B"/>
    <w:rsid w:val="00266F5B"/>
    <w:rsid w:val="00266FA9"/>
    <w:rsid w:val="00267231"/>
    <w:rsid w:val="002672DF"/>
    <w:rsid w:val="00267466"/>
    <w:rsid w:val="002675A4"/>
    <w:rsid w:val="00267992"/>
    <w:rsid w:val="00267CD4"/>
    <w:rsid w:val="00267D32"/>
    <w:rsid w:val="00267E89"/>
    <w:rsid w:val="00267EDB"/>
    <w:rsid w:val="00270042"/>
    <w:rsid w:val="002700BA"/>
    <w:rsid w:val="0027020B"/>
    <w:rsid w:val="0027021A"/>
    <w:rsid w:val="002705BD"/>
    <w:rsid w:val="002706D7"/>
    <w:rsid w:val="002709BA"/>
    <w:rsid w:val="00270A7A"/>
    <w:rsid w:val="00270ABB"/>
    <w:rsid w:val="00270B52"/>
    <w:rsid w:val="0027120F"/>
    <w:rsid w:val="00271386"/>
    <w:rsid w:val="002713A4"/>
    <w:rsid w:val="002713B6"/>
    <w:rsid w:val="002718E5"/>
    <w:rsid w:val="00271A23"/>
    <w:rsid w:val="00271A9A"/>
    <w:rsid w:val="00271B7F"/>
    <w:rsid w:val="00271C08"/>
    <w:rsid w:val="00271CD2"/>
    <w:rsid w:val="00271E76"/>
    <w:rsid w:val="00271ECC"/>
    <w:rsid w:val="00272323"/>
    <w:rsid w:val="00272781"/>
    <w:rsid w:val="00272B84"/>
    <w:rsid w:val="002734D4"/>
    <w:rsid w:val="002735F1"/>
    <w:rsid w:val="002737F6"/>
    <w:rsid w:val="00273923"/>
    <w:rsid w:val="00273A18"/>
    <w:rsid w:val="00273C50"/>
    <w:rsid w:val="00273DE7"/>
    <w:rsid w:val="00273E20"/>
    <w:rsid w:val="00274024"/>
    <w:rsid w:val="002741C4"/>
    <w:rsid w:val="002741DE"/>
    <w:rsid w:val="0027439A"/>
    <w:rsid w:val="002744D5"/>
    <w:rsid w:val="002745D6"/>
    <w:rsid w:val="00274722"/>
    <w:rsid w:val="0027474F"/>
    <w:rsid w:val="0027493F"/>
    <w:rsid w:val="00275002"/>
    <w:rsid w:val="002750D5"/>
    <w:rsid w:val="002750DE"/>
    <w:rsid w:val="002750EE"/>
    <w:rsid w:val="002750F1"/>
    <w:rsid w:val="00275229"/>
    <w:rsid w:val="00275716"/>
    <w:rsid w:val="0027591E"/>
    <w:rsid w:val="00275AF5"/>
    <w:rsid w:val="00275B8E"/>
    <w:rsid w:val="002761B3"/>
    <w:rsid w:val="002761FA"/>
    <w:rsid w:val="00276228"/>
    <w:rsid w:val="002762B5"/>
    <w:rsid w:val="002762E1"/>
    <w:rsid w:val="002766A8"/>
    <w:rsid w:val="002766C4"/>
    <w:rsid w:val="00276717"/>
    <w:rsid w:val="00276934"/>
    <w:rsid w:val="0027695B"/>
    <w:rsid w:val="00276D2C"/>
    <w:rsid w:val="00276DB4"/>
    <w:rsid w:val="00276F78"/>
    <w:rsid w:val="0027700C"/>
    <w:rsid w:val="00277038"/>
    <w:rsid w:val="0027708C"/>
    <w:rsid w:val="0027724F"/>
    <w:rsid w:val="002772BA"/>
    <w:rsid w:val="00277343"/>
    <w:rsid w:val="00277736"/>
    <w:rsid w:val="00277919"/>
    <w:rsid w:val="0027795C"/>
    <w:rsid w:val="002779E0"/>
    <w:rsid w:val="00277AF8"/>
    <w:rsid w:val="00277B42"/>
    <w:rsid w:val="00277CCF"/>
    <w:rsid w:val="00277D82"/>
    <w:rsid w:val="00277DCF"/>
    <w:rsid w:val="00280240"/>
    <w:rsid w:val="00280243"/>
    <w:rsid w:val="002803EE"/>
    <w:rsid w:val="00280495"/>
    <w:rsid w:val="002806DC"/>
    <w:rsid w:val="00280708"/>
    <w:rsid w:val="00280788"/>
    <w:rsid w:val="00280814"/>
    <w:rsid w:val="00280C81"/>
    <w:rsid w:val="002810E4"/>
    <w:rsid w:val="00281158"/>
    <w:rsid w:val="002811CD"/>
    <w:rsid w:val="0028139F"/>
    <w:rsid w:val="002814C9"/>
    <w:rsid w:val="0028150E"/>
    <w:rsid w:val="0028151C"/>
    <w:rsid w:val="0028168B"/>
    <w:rsid w:val="002818BB"/>
    <w:rsid w:val="00281DF7"/>
    <w:rsid w:val="00281DFF"/>
    <w:rsid w:val="00281E81"/>
    <w:rsid w:val="00281E87"/>
    <w:rsid w:val="00281E9D"/>
    <w:rsid w:val="00281FE2"/>
    <w:rsid w:val="00281FEC"/>
    <w:rsid w:val="00282042"/>
    <w:rsid w:val="00282483"/>
    <w:rsid w:val="00282616"/>
    <w:rsid w:val="0028274A"/>
    <w:rsid w:val="0028287B"/>
    <w:rsid w:val="00282A57"/>
    <w:rsid w:val="00282B33"/>
    <w:rsid w:val="00282D23"/>
    <w:rsid w:val="00282E9E"/>
    <w:rsid w:val="00282FDA"/>
    <w:rsid w:val="002832B1"/>
    <w:rsid w:val="002834C4"/>
    <w:rsid w:val="002834D1"/>
    <w:rsid w:val="0028355A"/>
    <w:rsid w:val="00283DC6"/>
    <w:rsid w:val="00283E9C"/>
    <w:rsid w:val="00283ECA"/>
    <w:rsid w:val="00283F3D"/>
    <w:rsid w:val="00284096"/>
    <w:rsid w:val="002840D8"/>
    <w:rsid w:val="0028415C"/>
    <w:rsid w:val="00284182"/>
    <w:rsid w:val="00284227"/>
    <w:rsid w:val="00284311"/>
    <w:rsid w:val="00284585"/>
    <w:rsid w:val="002846EE"/>
    <w:rsid w:val="0028471F"/>
    <w:rsid w:val="002848F4"/>
    <w:rsid w:val="00284C65"/>
    <w:rsid w:val="00284E58"/>
    <w:rsid w:val="00284FB8"/>
    <w:rsid w:val="00285A60"/>
    <w:rsid w:val="00285DB1"/>
    <w:rsid w:val="00285F32"/>
    <w:rsid w:val="00285FC8"/>
    <w:rsid w:val="0028620F"/>
    <w:rsid w:val="00286322"/>
    <w:rsid w:val="00286669"/>
    <w:rsid w:val="002868BC"/>
    <w:rsid w:val="002868CD"/>
    <w:rsid w:val="002868D6"/>
    <w:rsid w:val="00287033"/>
    <w:rsid w:val="00287118"/>
    <w:rsid w:val="00287B37"/>
    <w:rsid w:val="00287C4A"/>
    <w:rsid w:val="00287C8C"/>
    <w:rsid w:val="00287DC1"/>
    <w:rsid w:val="00287F72"/>
    <w:rsid w:val="00287FE8"/>
    <w:rsid w:val="00290425"/>
    <w:rsid w:val="002904A3"/>
    <w:rsid w:val="00290962"/>
    <w:rsid w:val="00290ABE"/>
    <w:rsid w:val="00290C9C"/>
    <w:rsid w:val="00290D38"/>
    <w:rsid w:val="00290E2A"/>
    <w:rsid w:val="002910D0"/>
    <w:rsid w:val="0029135E"/>
    <w:rsid w:val="00291463"/>
    <w:rsid w:val="002915A7"/>
    <w:rsid w:val="002915C1"/>
    <w:rsid w:val="002915FD"/>
    <w:rsid w:val="0029185E"/>
    <w:rsid w:val="00291CCC"/>
    <w:rsid w:val="0029223F"/>
    <w:rsid w:val="0029243C"/>
    <w:rsid w:val="0029257E"/>
    <w:rsid w:val="002925A2"/>
    <w:rsid w:val="00292803"/>
    <w:rsid w:val="00292DAB"/>
    <w:rsid w:val="00292DC6"/>
    <w:rsid w:val="00292EE9"/>
    <w:rsid w:val="00293289"/>
    <w:rsid w:val="0029337F"/>
    <w:rsid w:val="0029342D"/>
    <w:rsid w:val="0029354F"/>
    <w:rsid w:val="00293674"/>
    <w:rsid w:val="0029395E"/>
    <w:rsid w:val="00293CAB"/>
    <w:rsid w:val="00293DB7"/>
    <w:rsid w:val="00293ED4"/>
    <w:rsid w:val="00293FF5"/>
    <w:rsid w:val="00294199"/>
    <w:rsid w:val="00294213"/>
    <w:rsid w:val="00294374"/>
    <w:rsid w:val="002944A8"/>
    <w:rsid w:val="002944F0"/>
    <w:rsid w:val="002944FC"/>
    <w:rsid w:val="00294A9E"/>
    <w:rsid w:val="00294AD9"/>
    <w:rsid w:val="00294DF2"/>
    <w:rsid w:val="00294FF1"/>
    <w:rsid w:val="002950E6"/>
    <w:rsid w:val="0029527E"/>
    <w:rsid w:val="002954B0"/>
    <w:rsid w:val="002955E2"/>
    <w:rsid w:val="00295668"/>
    <w:rsid w:val="002956D3"/>
    <w:rsid w:val="0029588A"/>
    <w:rsid w:val="002958C6"/>
    <w:rsid w:val="0029591F"/>
    <w:rsid w:val="00295F82"/>
    <w:rsid w:val="00295FE1"/>
    <w:rsid w:val="002963EA"/>
    <w:rsid w:val="00296482"/>
    <w:rsid w:val="002967C7"/>
    <w:rsid w:val="00296862"/>
    <w:rsid w:val="002970BA"/>
    <w:rsid w:val="0029755E"/>
    <w:rsid w:val="0029769A"/>
    <w:rsid w:val="00297925"/>
    <w:rsid w:val="002979EE"/>
    <w:rsid w:val="00297A87"/>
    <w:rsid w:val="00297F97"/>
    <w:rsid w:val="002A0062"/>
    <w:rsid w:val="002A01B3"/>
    <w:rsid w:val="002A02F5"/>
    <w:rsid w:val="002A03CE"/>
    <w:rsid w:val="002A0509"/>
    <w:rsid w:val="002A0A6E"/>
    <w:rsid w:val="002A0DE1"/>
    <w:rsid w:val="002A0FA5"/>
    <w:rsid w:val="002A10DE"/>
    <w:rsid w:val="002A11B9"/>
    <w:rsid w:val="002A11D2"/>
    <w:rsid w:val="002A1491"/>
    <w:rsid w:val="002A15EB"/>
    <w:rsid w:val="002A174C"/>
    <w:rsid w:val="002A1A7C"/>
    <w:rsid w:val="002A1AC2"/>
    <w:rsid w:val="002A1BF8"/>
    <w:rsid w:val="002A1C1E"/>
    <w:rsid w:val="002A1CC7"/>
    <w:rsid w:val="002A1F4F"/>
    <w:rsid w:val="002A1F55"/>
    <w:rsid w:val="002A2048"/>
    <w:rsid w:val="002A21FB"/>
    <w:rsid w:val="002A2625"/>
    <w:rsid w:val="002A2B34"/>
    <w:rsid w:val="002A2CE3"/>
    <w:rsid w:val="002A3246"/>
    <w:rsid w:val="002A3292"/>
    <w:rsid w:val="002A355B"/>
    <w:rsid w:val="002A3601"/>
    <w:rsid w:val="002A3962"/>
    <w:rsid w:val="002A3A14"/>
    <w:rsid w:val="002A3A7E"/>
    <w:rsid w:val="002A3A9E"/>
    <w:rsid w:val="002A3C7E"/>
    <w:rsid w:val="002A3FAF"/>
    <w:rsid w:val="002A4463"/>
    <w:rsid w:val="002A45A1"/>
    <w:rsid w:val="002A49FE"/>
    <w:rsid w:val="002A4D31"/>
    <w:rsid w:val="002A4D34"/>
    <w:rsid w:val="002A4D9E"/>
    <w:rsid w:val="002A4E20"/>
    <w:rsid w:val="002A4F41"/>
    <w:rsid w:val="002A4FA0"/>
    <w:rsid w:val="002A5294"/>
    <w:rsid w:val="002A534A"/>
    <w:rsid w:val="002A56E6"/>
    <w:rsid w:val="002A5719"/>
    <w:rsid w:val="002A581B"/>
    <w:rsid w:val="002A59E5"/>
    <w:rsid w:val="002A5AC9"/>
    <w:rsid w:val="002A5B58"/>
    <w:rsid w:val="002A5DB5"/>
    <w:rsid w:val="002A5F7E"/>
    <w:rsid w:val="002A60B9"/>
    <w:rsid w:val="002A60E0"/>
    <w:rsid w:val="002A60F8"/>
    <w:rsid w:val="002A6285"/>
    <w:rsid w:val="002A66DA"/>
    <w:rsid w:val="002A672F"/>
    <w:rsid w:val="002A69E1"/>
    <w:rsid w:val="002A6BA0"/>
    <w:rsid w:val="002A6CDC"/>
    <w:rsid w:val="002A6E2E"/>
    <w:rsid w:val="002A726D"/>
    <w:rsid w:val="002A7511"/>
    <w:rsid w:val="002A7A25"/>
    <w:rsid w:val="002A7AE6"/>
    <w:rsid w:val="002A7B87"/>
    <w:rsid w:val="002A7DF4"/>
    <w:rsid w:val="002B016C"/>
    <w:rsid w:val="002B022E"/>
    <w:rsid w:val="002B024B"/>
    <w:rsid w:val="002B0706"/>
    <w:rsid w:val="002B079B"/>
    <w:rsid w:val="002B0A37"/>
    <w:rsid w:val="002B0AED"/>
    <w:rsid w:val="002B0EB8"/>
    <w:rsid w:val="002B0F2E"/>
    <w:rsid w:val="002B1196"/>
    <w:rsid w:val="002B12F5"/>
    <w:rsid w:val="002B12F7"/>
    <w:rsid w:val="002B1506"/>
    <w:rsid w:val="002B1678"/>
    <w:rsid w:val="002B16AF"/>
    <w:rsid w:val="002B19B6"/>
    <w:rsid w:val="002B1DC4"/>
    <w:rsid w:val="002B1E31"/>
    <w:rsid w:val="002B1F7F"/>
    <w:rsid w:val="002B1FA2"/>
    <w:rsid w:val="002B216C"/>
    <w:rsid w:val="002B21AB"/>
    <w:rsid w:val="002B229F"/>
    <w:rsid w:val="002B2479"/>
    <w:rsid w:val="002B2540"/>
    <w:rsid w:val="002B28BE"/>
    <w:rsid w:val="002B2B3F"/>
    <w:rsid w:val="002B2DCF"/>
    <w:rsid w:val="002B2E3C"/>
    <w:rsid w:val="002B33F2"/>
    <w:rsid w:val="002B3450"/>
    <w:rsid w:val="002B34DB"/>
    <w:rsid w:val="002B39C0"/>
    <w:rsid w:val="002B3E42"/>
    <w:rsid w:val="002B3F73"/>
    <w:rsid w:val="002B4063"/>
    <w:rsid w:val="002B42C2"/>
    <w:rsid w:val="002B45B3"/>
    <w:rsid w:val="002B4DC5"/>
    <w:rsid w:val="002B4DD7"/>
    <w:rsid w:val="002B4E33"/>
    <w:rsid w:val="002B54A0"/>
    <w:rsid w:val="002B5521"/>
    <w:rsid w:val="002B572C"/>
    <w:rsid w:val="002B5B19"/>
    <w:rsid w:val="002B5B1E"/>
    <w:rsid w:val="002B5BFD"/>
    <w:rsid w:val="002B5D6E"/>
    <w:rsid w:val="002B5DA6"/>
    <w:rsid w:val="002B5EF4"/>
    <w:rsid w:val="002B63C7"/>
    <w:rsid w:val="002B678E"/>
    <w:rsid w:val="002B6860"/>
    <w:rsid w:val="002B68A9"/>
    <w:rsid w:val="002B68B0"/>
    <w:rsid w:val="002B6D1E"/>
    <w:rsid w:val="002B7205"/>
    <w:rsid w:val="002B741E"/>
    <w:rsid w:val="002B74C4"/>
    <w:rsid w:val="002B74FE"/>
    <w:rsid w:val="002B764A"/>
    <w:rsid w:val="002B77EA"/>
    <w:rsid w:val="002B7848"/>
    <w:rsid w:val="002B7B5D"/>
    <w:rsid w:val="002B7B91"/>
    <w:rsid w:val="002B7E57"/>
    <w:rsid w:val="002B7E74"/>
    <w:rsid w:val="002B7EB5"/>
    <w:rsid w:val="002B7EBE"/>
    <w:rsid w:val="002C0181"/>
    <w:rsid w:val="002C0596"/>
    <w:rsid w:val="002C06BB"/>
    <w:rsid w:val="002C0774"/>
    <w:rsid w:val="002C08E3"/>
    <w:rsid w:val="002C0ED7"/>
    <w:rsid w:val="002C0F04"/>
    <w:rsid w:val="002C1015"/>
    <w:rsid w:val="002C107A"/>
    <w:rsid w:val="002C1278"/>
    <w:rsid w:val="002C14C7"/>
    <w:rsid w:val="002C1A84"/>
    <w:rsid w:val="002C1B8E"/>
    <w:rsid w:val="002C1DCB"/>
    <w:rsid w:val="002C1E0B"/>
    <w:rsid w:val="002C2116"/>
    <w:rsid w:val="002C225A"/>
    <w:rsid w:val="002C23CB"/>
    <w:rsid w:val="002C278A"/>
    <w:rsid w:val="002C279B"/>
    <w:rsid w:val="002C284D"/>
    <w:rsid w:val="002C286A"/>
    <w:rsid w:val="002C2893"/>
    <w:rsid w:val="002C299B"/>
    <w:rsid w:val="002C2A44"/>
    <w:rsid w:val="002C2AD8"/>
    <w:rsid w:val="002C2B00"/>
    <w:rsid w:val="002C2F08"/>
    <w:rsid w:val="002C2F4D"/>
    <w:rsid w:val="002C2F84"/>
    <w:rsid w:val="002C32B5"/>
    <w:rsid w:val="002C358F"/>
    <w:rsid w:val="002C3775"/>
    <w:rsid w:val="002C3915"/>
    <w:rsid w:val="002C3973"/>
    <w:rsid w:val="002C3A13"/>
    <w:rsid w:val="002C3C96"/>
    <w:rsid w:val="002C4081"/>
    <w:rsid w:val="002C40CD"/>
    <w:rsid w:val="002C4111"/>
    <w:rsid w:val="002C41A3"/>
    <w:rsid w:val="002C41CB"/>
    <w:rsid w:val="002C41F5"/>
    <w:rsid w:val="002C4262"/>
    <w:rsid w:val="002C4511"/>
    <w:rsid w:val="002C4D7A"/>
    <w:rsid w:val="002C4D84"/>
    <w:rsid w:val="002C4F84"/>
    <w:rsid w:val="002C5058"/>
    <w:rsid w:val="002C5375"/>
    <w:rsid w:val="002C5420"/>
    <w:rsid w:val="002C55A9"/>
    <w:rsid w:val="002C5630"/>
    <w:rsid w:val="002C5909"/>
    <w:rsid w:val="002C5A63"/>
    <w:rsid w:val="002C5A67"/>
    <w:rsid w:val="002C6053"/>
    <w:rsid w:val="002C646C"/>
    <w:rsid w:val="002C647B"/>
    <w:rsid w:val="002C65A2"/>
    <w:rsid w:val="002C68B7"/>
    <w:rsid w:val="002C6AF6"/>
    <w:rsid w:val="002C6AF9"/>
    <w:rsid w:val="002C6B6E"/>
    <w:rsid w:val="002C6D2C"/>
    <w:rsid w:val="002C6DA5"/>
    <w:rsid w:val="002C7129"/>
    <w:rsid w:val="002C71C6"/>
    <w:rsid w:val="002C7217"/>
    <w:rsid w:val="002C7392"/>
    <w:rsid w:val="002C73A4"/>
    <w:rsid w:val="002C753C"/>
    <w:rsid w:val="002C7544"/>
    <w:rsid w:val="002C772C"/>
    <w:rsid w:val="002C7A7D"/>
    <w:rsid w:val="002C7B74"/>
    <w:rsid w:val="002C7DB5"/>
    <w:rsid w:val="002D00FE"/>
    <w:rsid w:val="002D01BB"/>
    <w:rsid w:val="002D04F4"/>
    <w:rsid w:val="002D0B2E"/>
    <w:rsid w:val="002D0BD1"/>
    <w:rsid w:val="002D0E1B"/>
    <w:rsid w:val="002D0E46"/>
    <w:rsid w:val="002D0FB3"/>
    <w:rsid w:val="002D13AE"/>
    <w:rsid w:val="002D1DAB"/>
    <w:rsid w:val="002D23E9"/>
    <w:rsid w:val="002D23FA"/>
    <w:rsid w:val="002D2608"/>
    <w:rsid w:val="002D2640"/>
    <w:rsid w:val="002D27C9"/>
    <w:rsid w:val="002D27FC"/>
    <w:rsid w:val="002D2824"/>
    <w:rsid w:val="002D2886"/>
    <w:rsid w:val="002D2AB0"/>
    <w:rsid w:val="002D2E83"/>
    <w:rsid w:val="002D2F76"/>
    <w:rsid w:val="002D30A1"/>
    <w:rsid w:val="002D30B8"/>
    <w:rsid w:val="002D30C1"/>
    <w:rsid w:val="002D3119"/>
    <w:rsid w:val="002D3305"/>
    <w:rsid w:val="002D36D9"/>
    <w:rsid w:val="002D376D"/>
    <w:rsid w:val="002D3982"/>
    <w:rsid w:val="002D3EEE"/>
    <w:rsid w:val="002D3EFF"/>
    <w:rsid w:val="002D4058"/>
    <w:rsid w:val="002D431B"/>
    <w:rsid w:val="002D43DA"/>
    <w:rsid w:val="002D4522"/>
    <w:rsid w:val="002D4859"/>
    <w:rsid w:val="002D495B"/>
    <w:rsid w:val="002D4C90"/>
    <w:rsid w:val="002D4DC3"/>
    <w:rsid w:val="002D4E81"/>
    <w:rsid w:val="002D4F6D"/>
    <w:rsid w:val="002D5328"/>
    <w:rsid w:val="002D54C4"/>
    <w:rsid w:val="002D575A"/>
    <w:rsid w:val="002D5770"/>
    <w:rsid w:val="002D5A35"/>
    <w:rsid w:val="002D5ACF"/>
    <w:rsid w:val="002D5BD9"/>
    <w:rsid w:val="002D5E30"/>
    <w:rsid w:val="002D5F57"/>
    <w:rsid w:val="002D61ED"/>
    <w:rsid w:val="002D6323"/>
    <w:rsid w:val="002D64CE"/>
    <w:rsid w:val="002D64EB"/>
    <w:rsid w:val="002D67D7"/>
    <w:rsid w:val="002D6C65"/>
    <w:rsid w:val="002D6ED1"/>
    <w:rsid w:val="002D6EDE"/>
    <w:rsid w:val="002D6FCC"/>
    <w:rsid w:val="002D7284"/>
    <w:rsid w:val="002D754F"/>
    <w:rsid w:val="002D7699"/>
    <w:rsid w:val="002D76C0"/>
    <w:rsid w:val="002D79D1"/>
    <w:rsid w:val="002D7A59"/>
    <w:rsid w:val="002E053B"/>
    <w:rsid w:val="002E0567"/>
    <w:rsid w:val="002E0610"/>
    <w:rsid w:val="002E084B"/>
    <w:rsid w:val="002E08A4"/>
    <w:rsid w:val="002E0DFA"/>
    <w:rsid w:val="002E0E19"/>
    <w:rsid w:val="002E0E85"/>
    <w:rsid w:val="002E0F45"/>
    <w:rsid w:val="002E10D7"/>
    <w:rsid w:val="002E111A"/>
    <w:rsid w:val="002E13CA"/>
    <w:rsid w:val="002E14DE"/>
    <w:rsid w:val="002E14F8"/>
    <w:rsid w:val="002E1E74"/>
    <w:rsid w:val="002E1E87"/>
    <w:rsid w:val="002E1EAA"/>
    <w:rsid w:val="002E1F03"/>
    <w:rsid w:val="002E2047"/>
    <w:rsid w:val="002E2062"/>
    <w:rsid w:val="002E22DB"/>
    <w:rsid w:val="002E2387"/>
    <w:rsid w:val="002E2C50"/>
    <w:rsid w:val="002E2FE7"/>
    <w:rsid w:val="002E3075"/>
    <w:rsid w:val="002E324A"/>
    <w:rsid w:val="002E344E"/>
    <w:rsid w:val="002E3515"/>
    <w:rsid w:val="002E35E5"/>
    <w:rsid w:val="002E3829"/>
    <w:rsid w:val="002E3EC7"/>
    <w:rsid w:val="002E3ECB"/>
    <w:rsid w:val="002E4067"/>
    <w:rsid w:val="002E409C"/>
    <w:rsid w:val="002E4413"/>
    <w:rsid w:val="002E4F4A"/>
    <w:rsid w:val="002E5083"/>
    <w:rsid w:val="002E52C0"/>
    <w:rsid w:val="002E54BB"/>
    <w:rsid w:val="002E54C8"/>
    <w:rsid w:val="002E5523"/>
    <w:rsid w:val="002E57A9"/>
    <w:rsid w:val="002E582B"/>
    <w:rsid w:val="002E5984"/>
    <w:rsid w:val="002E59CC"/>
    <w:rsid w:val="002E5A1E"/>
    <w:rsid w:val="002E5A81"/>
    <w:rsid w:val="002E5C84"/>
    <w:rsid w:val="002E5EA6"/>
    <w:rsid w:val="002E629A"/>
    <w:rsid w:val="002E67B0"/>
    <w:rsid w:val="002E6932"/>
    <w:rsid w:val="002E6977"/>
    <w:rsid w:val="002E6A6D"/>
    <w:rsid w:val="002E6BA8"/>
    <w:rsid w:val="002E6C62"/>
    <w:rsid w:val="002E6D59"/>
    <w:rsid w:val="002E6EF4"/>
    <w:rsid w:val="002E7139"/>
    <w:rsid w:val="002E71F2"/>
    <w:rsid w:val="002E7279"/>
    <w:rsid w:val="002E758A"/>
    <w:rsid w:val="002E75D0"/>
    <w:rsid w:val="002E7783"/>
    <w:rsid w:val="002E79F0"/>
    <w:rsid w:val="002E7D5F"/>
    <w:rsid w:val="002E7E5D"/>
    <w:rsid w:val="002E7E64"/>
    <w:rsid w:val="002F0340"/>
    <w:rsid w:val="002F0478"/>
    <w:rsid w:val="002F0547"/>
    <w:rsid w:val="002F08A3"/>
    <w:rsid w:val="002F08E6"/>
    <w:rsid w:val="002F0CAE"/>
    <w:rsid w:val="002F0F2D"/>
    <w:rsid w:val="002F0F45"/>
    <w:rsid w:val="002F10FC"/>
    <w:rsid w:val="002F1364"/>
    <w:rsid w:val="002F157E"/>
    <w:rsid w:val="002F158C"/>
    <w:rsid w:val="002F1662"/>
    <w:rsid w:val="002F173F"/>
    <w:rsid w:val="002F19AF"/>
    <w:rsid w:val="002F1BF5"/>
    <w:rsid w:val="002F1D5D"/>
    <w:rsid w:val="002F2395"/>
    <w:rsid w:val="002F243D"/>
    <w:rsid w:val="002F25D5"/>
    <w:rsid w:val="002F2A0B"/>
    <w:rsid w:val="002F2B82"/>
    <w:rsid w:val="002F2BA0"/>
    <w:rsid w:val="002F319B"/>
    <w:rsid w:val="002F32AF"/>
    <w:rsid w:val="002F33BB"/>
    <w:rsid w:val="002F36EA"/>
    <w:rsid w:val="002F38BC"/>
    <w:rsid w:val="002F38DC"/>
    <w:rsid w:val="002F3BBF"/>
    <w:rsid w:val="002F3D12"/>
    <w:rsid w:val="002F42EC"/>
    <w:rsid w:val="002F4558"/>
    <w:rsid w:val="002F47A8"/>
    <w:rsid w:val="002F50E4"/>
    <w:rsid w:val="002F51DE"/>
    <w:rsid w:val="002F52CC"/>
    <w:rsid w:val="002F53C9"/>
    <w:rsid w:val="002F5491"/>
    <w:rsid w:val="002F5511"/>
    <w:rsid w:val="002F594E"/>
    <w:rsid w:val="002F5A07"/>
    <w:rsid w:val="002F5A65"/>
    <w:rsid w:val="002F5AC9"/>
    <w:rsid w:val="002F5B24"/>
    <w:rsid w:val="002F5BD8"/>
    <w:rsid w:val="002F5CD1"/>
    <w:rsid w:val="002F5D73"/>
    <w:rsid w:val="002F5DFF"/>
    <w:rsid w:val="002F5E44"/>
    <w:rsid w:val="002F5E6E"/>
    <w:rsid w:val="002F607E"/>
    <w:rsid w:val="002F615F"/>
    <w:rsid w:val="002F61BE"/>
    <w:rsid w:val="002F61C7"/>
    <w:rsid w:val="002F62A2"/>
    <w:rsid w:val="002F6553"/>
    <w:rsid w:val="002F665F"/>
    <w:rsid w:val="002F6AB4"/>
    <w:rsid w:val="002F6CBB"/>
    <w:rsid w:val="002F6F48"/>
    <w:rsid w:val="002F7125"/>
    <w:rsid w:val="002F7126"/>
    <w:rsid w:val="002F7431"/>
    <w:rsid w:val="002F76E9"/>
    <w:rsid w:val="002F77DB"/>
    <w:rsid w:val="002F7ACF"/>
    <w:rsid w:val="002F7B04"/>
    <w:rsid w:val="002F7B25"/>
    <w:rsid w:val="002F7D8A"/>
    <w:rsid w:val="002F7DA3"/>
    <w:rsid w:val="002F7DBB"/>
    <w:rsid w:val="002F7EAF"/>
    <w:rsid w:val="0030001B"/>
    <w:rsid w:val="00300B97"/>
    <w:rsid w:val="00300C24"/>
    <w:rsid w:val="00300D27"/>
    <w:rsid w:val="00301372"/>
    <w:rsid w:val="00301394"/>
    <w:rsid w:val="0030143A"/>
    <w:rsid w:val="003014E9"/>
    <w:rsid w:val="003016DA"/>
    <w:rsid w:val="003018C5"/>
    <w:rsid w:val="00301A0C"/>
    <w:rsid w:val="00301A33"/>
    <w:rsid w:val="00301AE4"/>
    <w:rsid w:val="00301B89"/>
    <w:rsid w:val="00301BE8"/>
    <w:rsid w:val="00301DE0"/>
    <w:rsid w:val="00301F07"/>
    <w:rsid w:val="00302037"/>
    <w:rsid w:val="003020A2"/>
    <w:rsid w:val="0030230D"/>
    <w:rsid w:val="00302545"/>
    <w:rsid w:val="00302595"/>
    <w:rsid w:val="003025A4"/>
    <w:rsid w:val="003026EC"/>
    <w:rsid w:val="0030277D"/>
    <w:rsid w:val="00302882"/>
    <w:rsid w:val="00302896"/>
    <w:rsid w:val="00302C72"/>
    <w:rsid w:val="00302CD8"/>
    <w:rsid w:val="003032DA"/>
    <w:rsid w:val="00303570"/>
    <w:rsid w:val="003035F3"/>
    <w:rsid w:val="00303676"/>
    <w:rsid w:val="00303718"/>
    <w:rsid w:val="003038EF"/>
    <w:rsid w:val="003039C1"/>
    <w:rsid w:val="00303FA6"/>
    <w:rsid w:val="0030410D"/>
    <w:rsid w:val="0030413A"/>
    <w:rsid w:val="003044BF"/>
    <w:rsid w:val="0030459D"/>
    <w:rsid w:val="003047F0"/>
    <w:rsid w:val="00304966"/>
    <w:rsid w:val="00304B72"/>
    <w:rsid w:val="00304C53"/>
    <w:rsid w:val="00304D45"/>
    <w:rsid w:val="00304E6E"/>
    <w:rsid w:val="0030504C"/>
    <w:rsid w:val="0030567C"/>
    <w:rsid w:val="00305EFC"/>
    <w:rsid w:val="003065F2"/>
    <w:rsid w:val="003065F8"/>
    <w:rsid w:val="00306668"/>
    <w:rsid w:val="003066CD"/>
    <w:rsid w:val="003067C4"/>
    <w:rsid w:val="0030681F"/>
    <w:rsid w:val="00306A75"/>
    <w:rsid w:val="00306BFC"/>
    <w:rsid w:val="00306E07"/>
    <w:rsid w:val="00306E11"/>
    <w:rsid w:val="003071CF"/>
    <w:rsid w:val="00307236"/>
    <w:rsid w:val="0030729F"/>
    <w:rsid w:val="003072AA"/>
    <w:rsid w:val="0030755A"/>
    <w:rsid w:val="00307F59"/>
    <w:rsid w:val="00310060"/>
    <w:rsid w:val="00310128"/>
    <w:rsid w:val="003103B1"/>
    <w:rsid w:val="003106C1"/>
    <w:rsid w:val="00310B41"/>
    <w:rsid w:val="00310D7B"/>
    <w:rsid w:val="00310E09"/>
    <w:rsid w:val="00310F37"/>
    <w:rsid w:val="003113F0"/>
    <w:rsid w:val="003116C0"/>
    <w:rsid w:val="003119DC"/>
    <w:rsid w:val="00311A6F"/>
    <w:rsid w:val="00311B79"/>
    <w:rsid w:val="00311C35"/>
    <w:rsid w:val="00312003"/>
    <w:rsid w:val="003125B3"/>
    <w:rsid w:val="00312857"/>
    <w:rsid w:val="00312888"/>
    <w:rsid w:val="003128BA"/>
    <w:rsid w:val="003128EE"/>
    <w:rsid w:val="0031298A"/>
    <w:rsid w:val="00312D3C"/>
    <w:rsid w:val="00313388"/>
    <w:rsid w:val="00313634"/>
    <w:rsid w:val="0031368C"/>
    <w:rsid w:val="003137C1"/>
    <w:rsid w:val="00313A1C"/>
    <w:rsid w:val="00313C36"/>
    <w:rsid w:val="00313C44"/>
    <w:rsid w:val="00313DA6"/>
    <w:rsid w:val="00313E1B"/>
    <w:rsid w:val="00313EDF"/>
    <w:rsid w:val="00313EE4"/>
    <w:rsid w:val="00314267"/>
    <w:rsid w:val="003142D3"/>
    <w:rsid w:val="003142FD"/>
    <w:rsid w:val="0031438D"/>
    <w:rsid w:val="003144DD"/>
    <w:rsid w:val="0031484D"/>
    <w:rsid w:val="00314951"/>
    <w:rsid w:val="00314DF9"/>
    <w:rsid w:val="00314E11"/>
    <w:rsid w:val="00315095"/>
    <w:rsid w:val="003150F1"/>
    <w:rsid w:val="003153BB"/>
    <w:rsid w:val="00315449"/>
    <w:rsid w:val="0031560E"/>
    <w:rsid w:val="00315811"/>
    <w:rsid w:val="0031593A"/>
    <w:rsid w:val="00315946"/>
    <w:rsid w:val="00315D17"/>
    <w:rsid w:val="00315F12"/>
    <w:rsid w:val="0031602D"/>
    <w:rsid w:val="0031612B"/>
    <w:rsid w:val="00316177"/>
    <w:rsid w:val="00316253"/>
    <w:rsid w:val="003162B6"/>
    <w:rsid w:val="00316675"/>
    <w:rsid w:val="00316691"/>
    <w:rsid w:val="003166E2"/>
    <w:rsid w:val="003169D0"/>
    <w:rsid w:val="00316B67"/>
    <w:rsid w:val="00316BC1"/>
    <w:rsid w:val="003172EE"/>
    <w:rsid w:val="003175E1"/>
    <w:rsid w:val="003176A8"/>
    <w:rsid w:val="00317713"/>
    <w:rsid w:val="003179A6"/>
    <w:rsid w:val="00317BB4"/>
    <w:rsid w:val="00317CF7"/>
    <w:rsid w:val="00317E17"/>
    <w:rsid w:val="00317F1D"/>
    <w:rsid w:val="00320218"/>
    <w:rsid w:val="0032021A"/>
    <w:rsid w:val="0032067D"/>
    <w:rsid w:val="003206A4"/>
    <w:rsid w:val="003206F8"/>
    <w:rsid w:val="0032075B"/>
    <w:rsid w:val="00320C7C"/>
    <w:rsid w:val="00320CB1"/>
    <w:rsid w:val="00320DE1"/>
    <w:rsid w:val="00321018"/>
    <w:rsid w:val="0032103A"/>
    <w:rsid w:val="0032121C"/>
    <w:rsid w:val="0032125E"/>
    <w:rsid w:val="003217AC"/>
    <w:rsid w:val="00321B2B"/>
    <w:rsid w:val="00321B69"/>
    <w:rsid w:val="00321C4C"/>
    <w:rsid w:val="00321D28"/>
    <w:rsid w:val="00321E73"/>
    <w:rsid w:val="00321F93"/>
    <w:rsid w:val="003221B2"/>
    <w:rsid w:val="0032225A"/>
    <w:rsid w:val="003223C3"/>
    <w:rsid w:val="00322561"/>
    <w:rsid w:val="003225EC"/>
    <w:rsid w:val="003226E3"/>
    <w:rsid w:val="00322C1E"/>
    <w:rsid w:val="00322DC0"/>
    <w:rsid w:val="00323262"/>
    <w:rsid w:val="003234C0"/>
    <w:rsid w:val="00323A75"/>
    <w:rsid w:val="00323B4E"/>
    <w:rsid w:val="0032415A"/>
    <w:rsid w:val="00324196"/>
    <w:rsid w:val="003242C3"/>
    <w:rsid w:val="003247E0"/>
    <w:rsid w:val="00324813"/>
    <w:rsid w:val="00324A8B"/>
    <w:rsid w:val="00324AD8"/>
    <w:rsid w:val="00324C2A"/>
    <w:rsid w:val="00324D1E"/>
    <w:rsid w:val="00324DE9"/>
    <w:rsid w:val="00324EC1"/>
    <w:rsid w:val="003250FD"/>
    <w:rsid w:val="003254C7"/>
    <w:rsid w:val="0032553B"/>
    <w:rsid w:val="00325709"/>
    <w:rsid w:val="003258B4"/>
    <w:rsid w:val="003258D1"/>
    <w:rsid w:val="00325C29"/>
    <w:rsid w:val="00326368"/>
    <w:rsid w:val="003268FD"/>
    <w:rsid w:val="0032692C"/>
    <w:rsid w:val="003269F6"/>
    <w:rsid w:val="00326A65"/>
    <w:rsid w:val="00326DCB"/>
    <w:rsid w:val="00326DEE"/>
    <w:rsid w:val="0032706A"/>
    <w:rsid w:val="00327363"/>
    <w:rsid w:val="0032740D"/>
    <w:rsid w:val="003275D7"/>
    <w:rsid w:val="00327756"/>
    <w:rsid w:val="00327765"/>
    <w:rsid w:val="00327903"/>
    <w:rsid w:val="00327A12"/>
    <w:rsid w:val="00327A8A"/>
    <w:rsid w:val="00327B52"/>
    <w:rsid w:val="00327E0D"/>
    <w:rsid w:val="00327F60"/>
    <w:rsid w:val="00327F6D"/>
    <w:rsid w:val="00330062"/>
    <w:rsid w:val="003300A9"/>
    <w:rsid w:val="0033023B"/>
    <w:rsid w:val="00330597"/>
    <w:rsid w:val="003306E3"/>
    <w:rsid w:val="0033096F"/>
    <w:rsid w:val="003309CD"/>
    <w:rsid w:val="00330AB2"/>
    <w:rsid w:val="00330BB4"/>
    <w:rsid w:val="00330C3D"/>
    <w:rsid w:val="00330D8C"/>
    <w:rsid w:val="00330EFC"/>
    <w:rsid w:val="00331096"/>
    <w:rsid w:val="003310EF"/>
    <w:rsid w:val="00331168"/>
    <w:rsid w:val="003312D8"/>
    <w:rsid w:val="00331459"/>
    <w:rsid w:val="00331472"/>
    <w:rsid w:val="003314B6"/>
    <w:rsid w:val="00331517"/>
    <w:rsid w:val="003316CF"/>
    <w:rsid w:val="00331826"/>
    <w:rsid w:val="00331DB8"/>
    <w:rsid w:val="00331DD9"/>
    <w:rsid w:val="00331EC7"/>
    <w:rsid w:val="00331FA3"/>
    <w:rsid w:val="00332255"/>
    <w:rsid w:val="0033244C"/>
    <w:rsid w:val="00332721"/>
    <w:rsid w:val="00332730"/>
    <w:rsid w:val="00333106"/>
    <w:rsid w:val="00333730"/>
    <w:rsid w:val="00333815"/>
    <w:rsid w:val="003338EE"/>
    <w:rsid w:val="00333949"/>
    <w:rsid w:val="00333AFF"/>
    <w:rsid w:val="00333D44"/>
    <w:rsid w:val="00333EFE"/>
    <w:rsid w:val="00333FEB"/>
    <w:rsid w:val="003340D4"/>
    <w:rsid w:val="00334199"/>
    <w:rsid w:val="00334263"/>
    <w:rsid w:val="0033440C"/>
    <w:rsid w:val="0033449C"/>
    <w:rsid w:val="003344A1"/>
    <w:rsid w:val="00334671"/>
    <w:rsid w:val="00334747"/>
    <w:rsid w:val="00334CF4"/>
    <w:rsid w:val="00334D0D"/>
    <w:rsid w:val="00334F0E"/>
    <w:rsid w:val="0033512C"/>
    <w:rsid w:val="0033516A"/>
    <w:rsid w:val="003355B1"/>
    <w:rsid w:val="003357A3"/>
    <w:rsid w:val="00335844"/>
    <w:rsid w:val="0033592D"/>
    <w:rsid w:val="00335BCC"/>
    <w:rsid w:val="00335F9F"/>
    <w:rsid w:val="003362B8"/>
    <w:rsid w:val="0033632A"/>
    <w:rsid w:val="00336429"/>
    <w:rsid w:val="003367E6"/>
    <w:rsid w:val="003368D2"/>
    <w:rsid w:val="00336A61"/>
    <w:rsid w:val="00336BBB"/>
    <w:rsid w:val="00336C55"/>
    <w:rsid w:val="00336E60"/>
    <w:rsid w:val="003370CE"/>
    <w:rsid w:val="00337253"/>
    <w:rsid w:val="00337760"/>
    <w:rsid w:val="003377C3"/>
    <w:rsid w:val="00337943"/>
    <w:rsid w:val="00340145"/>
    <w:rsid w:val="0034078C"/>
    <w:rsid w:val="003407EA"/>
    <w:rsid w:val="003408AD"/>
    <w:rsid w:val="00340A89"/>
    <w:rsid w:val="00340AD8"/>
    <w:rsid w:val="00340C21"/>
    <w:rsid w:val="00340C88"/>
    <w:rsid w:val="00340D3A"/>
    <w:rsid w:val="00340DA5"/>
    <w:rsid w:val="00340F70"/>
    <w:rsid w:val="00340FD7"/>
    <w:rsid w:val="00340FFA"/>
    <w:rsid w:val="00341314"/>
    <w:rsid w:val="00341385"/>
    <w:rsid w:val="00341559"/>
    <w:rsid w:val="003415BE"/>
    <w:rsid w:val="003416F4"/>
    <w:rsid w:val="00341766"/>
    <w:rsid w:val="003425CD"/>
    <w:rsid w:val="0034281B"/>
    <w:rsid w:val="0034297D"/>
    <w:rsid w:val="003429E2"/>
    <w:rsid w:val="00342D51"/>
    <w:rsid w:val="00342DAE"/>
    <w:rsid w:val="00342E29"/>
    <w:rsid w:val="00342ED7"/>
    <w:rsid w:val="00342F97"/>
    <w:rsid w:val="003431B5"/>
    <w:rsid w:val="003435A0"/>
    <w:rsid w:val="00343640"/>
    <w:rsid w:val="003436FE"/>
    <w:rsid w:val="0034403B"/>
    <w:rsid w:val="003441D9"/>
    <w:rsid w:val="003442E7"/>
    <w:rsid w:val="0034447E"/>
    <w:rsid w:val="00344729"/>
    <w:rsid w:val="00344898"/>
    <w:rsid w:val="00344986"/>
    <w:rsid w:val="00344AAA"/>
    <w:rsid w:val="00344B6C"/>
    <w:rsid w:val="00344B6D"/>
    <w:rsid w:val="00344E08"/>
    <w:rsid w:val="00345205"/>
    <w:rsid w:val="003452DB"/>
    <w:rsid w:val="0034533D"/>
    <w:rsid w:val="00345660"/>
    <w:rsid w:val="00345826"/>
    <w:rsid w:val="00345AF3"/>
    <w:rsid w:val="00346243"/>
    <w:rsid w:val="003464AF"/>
    <w:rsid w:val="00346886"/>
    <w:rsid w:val="003468F7"/>
    <w:rsid w:val="00346992"/>
    <w:rsid w:val="00346F32"/>
    <w:rsid w:val="00347116"/>
    <w:rsid w:val="003471DA"/>
    <w:rsid w:val="003473C8"/>
    <w:rsid w:val="0034773A"/>
    <w:rsid w:val="00347979"/>
    <w:rsid w:val="00347B25"/>
    <w:rsid w:val="00347D22"/>
    <w:rsid w:val="00347D72"/>
    <w:rsid w:val="00347DAD"/>
    <w:rsid w:val="003506F0"/>
    <w:rsid w:val="0035094F"/>
    <w:rsid w:val="00350974"/>
    <w:rsid w:val="003509B1"/>
    <w:rsid w:val="00350B6D"/>
    <w:rsid w:val="00350BFF"/>
    <w:rsid w:val="00350D6F"/>
    <w:rsid w:val="003510C6"/>
    <w:rsid w:val="00351184"/>
    <w:rsid w:val="00351248"/>
    <w:rsid w:val="00351319"/>
    <w:rsid w:val="00351333"/>
    <w:rsid w:val="00351801"/>
    <w:rsid w:val="003518E6"/>
    <w:rsid w:val="00351C75"/>
    <w:rsid w:val="00351D66"/>
    <w:rsid w:val="00351E14"/>
    <w:rsid w:val="00351F9A"/>
    <w:rsid w:val="00352010"/>
    <w:rsid w:val="0035205B"/>
    <w:rsid w:val="0035222D"/>
    <w:rsid w:val="003523F4"/>
    <w:rsid w:val="00352471"/>
    <w:rsid w:val="003525EF"/>
    <w:rsid w:val="003526B3"/>
    <w:rsid w:val="00352A2A"/>
    <w:rsid w:val="00352A3D"/>
    <w:rsid w:val="00352A75"/>
    <w:rsid w:val="00352BBA"/>
    <w:rsid w:val="00352E92"/>
    <w:rsid w:val="00352F0B"/>
    <w:rsid w:val="003532F6"/>
    <w:rsid w:val="003533C7"/>
    <w:rsid w:val="003535A2"/>
    <w:rsid w:val="0035366A"/>
    <w:rsid w:val="0035383F"/>
    <w:rsid w:val="00353C8C"/>
    <w:rsid w:val="00353C93"/>
    <w:rsid w:val="003545BB"/>
    <w:rsid w:val="003545FE"/>
    <w:rsid w:val="003546FB"/>
    <w:rsid w:val="003548AE"/>
    <w:rsid w:val="00354F23"/>
    <w:rsid w:val="00354FB0"/>
    <w:rsid w:val="00355419"/>
    <w:rsid w:val="00355500"/>
    <w:rsid w:val="003555C9"/>
    <w:rsid w:val="00355898"/>
    <w:rsid w:val="00355CB9"/>
    <w:rsid w:val="003560D9"/>
    <w:rsid w:val="003560E4"/>
    <w:rsid w:val="00356240"/>
    <w:rsid w:val="003567E6"/>
    <w:rsid w:val="00356886"/>
    <w:rsid w:val="00356AB9"/>
    <w:rsid w:val="00356B24"/>
    <w:rsid w:val="00356E2E"/>
    <w:rsid w:val="003570E7"/>
    <w:rsid w:val="003571CE"/>
    <w:rsid w:val="00357710"/>
    <w:rsid w:val="0035786E"/>
    <w:rsid w:val="00357DA2"/>
    <w:rsid w:val="0036012C"/>
    <w:rsid w:val="0036047C"/>
    <w:rsid w:val="003605C0"/>
    <w:rsid w:val="00360638"/>
    <w:rsid w:val="003606ED"/>
    <w:rsid w:val="0036077C"/>
    <w:rsid w:val="003609A1"/>
    <w:rsid w:val="00360A17"/>
    <w:rsid w:val="00360D06"/>
    <w:rsid w:val="00360D5E"/>
    <w:rsid w:val="00360E78"/>
    <w:rsid w:val="00361093"/>
    <w:rsid w:val="003610F3"/>
    <w:rsid w:val="00361577"/>
    <w:rsid w:val="003615A6"/>
    <w:rsid w:val="00361ABD"/>
    <w:rsid w:val="00361E5B"/>
    <w:rsid w:val="00361FB0"/>
    <w:rsid w:val="003620A1"/>
    <w:rsid w:val="00362243"/>
    <w:rsid w:val="003623AF"/>
    <w:rsid w:val="00362609"/>
    <w:rsid w:val="00362A47"/>
    <w:rsid w:val="00362A9B"/>
    <w:rsid w:val="00362B0F"/>
    <w:rsid w:val="00362B16"/>
    <w:rsid w:val="00362C0F"/>
    <w:rsid w:val="00362C7D"/>
    <w:rsid w:val="00362EA8"/>
    <w:rsid w:val="00362ECF"/>
    <w:rsid w:val="00363007"/>
    <w:rsid w:val="00363048"/>
    <w:rsid w:val="00363265"/>
    <w:rsid w:val="0036344A"/>
    <w:rsid w:val="00363509"/>
    <w:rsid w:val="0036374F"/>
    <w:rsid w:val="003637D7"/>
    <w:rsid w:val="0036385C"/>
    <w:rsid w:val="00363F2C"/>
    <w:rsid w:val="00364279"/>
    <w:rsid w:val="003643D5"/>
    <w:rsid w:val="00364440"/>
    <w:rsid w:val="00364476"/>
    <w:rsid w:val="00364479"/>
    <w:rsid w:val="003644C1"/>
    <w:rsid w:val="00365022"/>
    <w:rsid w:val="003651A9"/>
    <w:rsid w:val="00365317"/>
    <w:rsid w:val="003656EC"/>
    <w:rsid w:val="00365A9F"/>
    <w:rsid w:val="00365D82"/>
    <w:rsid w:val="00365DBF"/>
    <w:rsid w:val="00365E86"/>
    <w:rsid w:val="00365EEA"/>
    <w:rsid w:val="00366291"/>
    <w:rsid w:val="00366461"/>
    <w:rsid w:val="003664D2"/>
    <w:rsid w:val="0036682B"/>
    <w:rsid w:val="0036696C"/>
    <w:rsid w:val="00366CD3"/>
    <w:rsid w:val="00366ED7"/>
    <w:rsid w:val="003671ED"/>
    <w:rsid w:val="0036735B"/>
    <w:rsid w:val="00367368"/>
    <w:rsid w:val="003676BD"/>
    <w:rsid w:val="0036794A"/>
    <w:rsid w:val="00367A5D"/>
    <w:rsid w:val="00367AD2"/>
    <w:rsid w:val="00367DA7"/>
    <w:rsid w:val="00367E56"/>
    <w:rsid w:val="00370179"/>
    <w:rsid w:val="00370212"/>
    <w:rsid w:val="0037056E"/>
    <w:rsid w:val="003706B1"/>
    <w:rsid w:val="003708C1"/>
    <w:rsid w:val="00370A2B"/>
    <w:rsid w:val="00370D4F"/>
    <w:rsid w:val="00370D72"/>
    <w:rsid w:val="0037104E"/>
    <w:rsid w:val="00371318"/>
    <w:rsid w:val="0037134B"/>
    <w:rsid w:val="00371732"/>
    <w:rsid w:val="00371A57"/>
    <w:rsid w:val="0037232E"/>
    <w:rsid w:val="00372498"/>
    <w:rsid w:val="003728FA"/>
    <w:rsid w:val="00372922"/>
    <w:rsid w:val="00372AA0"/>
    <w:rsid w:val="00372E2A"/>
    <w:rsid w:val="00372EFF"/>
    <w:rsid w:val="00372FEE"/>
    <w:rsid w:val="003730F1"/>
    <w:rsid w:val="003731CA"/>
    <w:rsid w:val="00373304"/>
    <w:rsid w:val="0037330C"/>
    <w:rsid w:val="00373559"/>
    <w:rsid w:val="0037355B"/>
    <w:rsid w:val="0037385F"/>
    <w:rsid w:val="00373AC2"/>
    <w:rsid w:val="00373C41"/>
    <w:rsid w:val="00373C5D"/>
    <w:rsid w:val="00373DA9"/>
    <w:rsid w:val="00373E23"/>
    <w:rsid w:val="00373EB7"/>
    <w:rsid w:val="003741E1"/>
    <w:rsid w:val="0037437D"/>
    <w:rsid w:val="003746CB"/>
    <w:rsid w:val="0037477C"/>
    <w:rsid w:val="00374842"/>
    <w:rsid w:val="00374912"/>
    <w:rsid w:val="00374A10"/>
    <w:rsid w:val="00374AE0"/>
    <w:rsid w:val="00374C6B"/>
    <w:rsid w:val="00374DA3"/>
    <w:rsid w:val="00374FDF"/>
    <w:rsid w:val="00375005"/>
    <w:rsid w:val="00375188"/>
    <w:rsid w:val="0037544D"/>
    <w:rsid w:val="003755DD"/>
    <w:rsid w:val="0037569A"/>
    <w:rsid w:val="003756F5"/>
    <w:rsid w:val="00375939"/>
    <w:rsid w:val="00375A8E"/>
    <w:rsid w:val="00375BC8"/>
    <w:rsid w:val="00375CF9"/>
    <w:rsid w:val="00375E04"/>
    <w:rsid w:val="00375F61"/>
    <w:rsid w:val="00376203"/>
    <w:rsid w:val="003762BA"/>
    <w:rsid w:val="0037642B"/>
    <w:rsid w:val="003764F8"/>
    <w:rsid w:val="00376574"/>
    <w:rsid w:val="0037672F"/>
    <w:rsid w:val="00376835"/>
    <w:rsid w:val="00376B18"/>
    <w:rsid w:val="00376B54"/>
    <w:rsid w:val="00376D3B"/>
    <w:rsid w:val="00377018"/>
    <w:rsid w:val="00377110"/>
    <w:rsid w:val="0037714A"/>
    <w:rsid w:val="00377157"/>
    <w:rsid w:val="0037748C"/>
    <w:rsid w:val="0037778F"/>
    <w:rsid w:val="00377919"/>
    <w:rsid w:val="00377AC7"/>
    <w:rsid w:val="00377C1B"/>
    <w:rsid w:val="00377CD8"/>
    <w:rsid w:val="00377E6D"/>
    <w:rsid w:val="00380431"/>
    <w:rsid w:val="003805FA"/>
    <w:rsid w:val="00380625"/>
    <w:rsid w:val="00380BED"/>
    <w:rsid w:val="00381716"/>
    <w:rsid w:val="003817B0"/>
    <w:rsid w:val="003818C8"/>
    <w:rsid w:val="00381939"/>
    <w:rsid w:val="003819EA"/>
    <w:rsid w:val="00381A4C"/>
    <w:rsid w:val="00381B34"/>
    <w:rsid w:val="00381BB8"/>
    <w:rsid w:val="00381EC8"/>
    <w:rsid w:val="00381F9E"/>
    <w:rsid w:val="00382081"/>
    <w:rsid w:val="003821A0"/>
    <w:rsid w:val="00382343"/>
    <w:rsid w:val="00382425"/>
    <w:rsid w:val="00382978"/>
    <w:rsid w:val="00382B56"/>
    <w:rsid w:val="00382C0E"/>
    <w:rsid w:val="00382F1E"/>
    <w:rsid w:val="00382FEB"/>
    <w:rsid w:val="0038304D"/>
    <w:rsid w:val="003831CE"/>
    <w:rsid w:val="00383298"/>
    <w:rsid w:val="00383365"/>
    <w:rsid w:val="00383395"/>
    <w:rsid w:val="003833EF"/>
    <w:rsid w:val="0038341A"/>
    <w:rsid w:val="00383788"/>
    <w:rsid w:val="003838C2"/>
    <w:rsid w:val="00383B38"/>
    <w:rsid w:val="00384010"/>
    <w:rsid w:val="003840CA"/>
    <w:rsid w:val="00384287"/>
    <w:rsid w:val="003842B4"/>
    <w:rsid w:val="00384408"/>
    <w:rsid w:val="0038464D"/>
    <w:rsid w:val="0038489C"/>
    <w:rsid w:val="00384A4E"/>
    <w:rsid w:val="00384B3A"/>
    <w:rsid w:val="00384D5A"/>
    <w:rsid w:val="00384E46"/>
    <w:rsid w:val="0038501A"/>
    <w:rsid w:val="0038534D"/>
    <w:rsid w:val="003857F3"/>
    <w:rsid w:val="003859D3"/>
    <w:rsid w:val="00385A77"/>
    <w:rsid w:val="00385C05"/>
    <w:rsid w:val="00385D14"/>
    <w:rsid w:val="00385EDD"/>
    <w:rsid w:val="00385F75"/>
    <w:rsid w:val="0038635F"/>
    <w:rsid w:val="0038651D"/>
    <w:rsid w:val="003865AE"/>
    <w:rsid w:val="003865E9"/>
    <w:rsid w:val="00386B21"/>
    <w:rsid w:val="00386C0A"/>
    <w:rsid w:val="00386C48"/>
    <w:rsid w:val="00386CBA"/>
    <w:rsid w:val="00386DF7"/>
    <w:rsid w:val="00386E04"/>
    <w:rsid w:val="00386F18"/>
    <w:rsid w:val="003871CE"/>
    <w:rsid w:val="0038754C"/>
    <w:rsid w:val="00387807"/>
    <w:rsid w:val="00387B4B"/>
    <w:rsid w:val="00387FFC"/>
    <w:rsid w:val="003901A9"/>
    <w:rsid w:val="0039029D"/>
    <w:rsid w:val="0039036D"/>
    <w:rsid w:val="00390551"/>
    <w:rsid w:val="00390612"/>
    <w:rsid w:val="00390771"/>
    <w:rsid w:val="003909F9"/>
    <w:rsid w:val="00390BA7"/>
    <w:rsid w:val="00390C70"/>
    <w:rsid w:val="00390C86"/>
    <w:rsid w:val="00390F2E"/>
    <w:rsid w:val="0039119F"/>
    <w:rsid w:val="00391417"/>
    <w:rsid w:val="0039141F"/>
    <w:rsid w:val="00391848"/>
    <w:rsid w:val="00391B7E"/>
    <w:rsid w:val="00391CC7"/>
    <w:rsid w:val="00391FEE"/>
    <w:rsid w:val="0039220F"/>
    <w:rsid w:val="003923B1"/>
    <w:rsid w:val="0039243E"/>
    <w:rsid w:val="0039272E"/>
    <w:rsid w:val="003927B6"/>
    <w:rsid w:val="00392A84"/>
    <w:rsid w:val="00392E11"/>
    <w:rsid w:val="00392ECB"/>
    <w:rsid w:val="00392FD3"/>
    <w:rsid w:val="0039312C"/>
    <w:rsid w:val="00393142"/>
    <w:rsid w:val="003931F9"/>
    <w:rsid w:val="003932F6"/>
    <w:rsid w:val="003935C2"/>
    <w:rsid w:val="00393CF8"/>
    <w:rsid w:val="00393E24"/>
    <w:rsid w:val="003940ED"/>
    <w:rsid w:val="00394161"/>
    <w:rsid w:val="0039421F"/>
    <w:rsid w:val="0039441E"/>
    <w:rsid w:val="0039463B"/>
    <w:rsid w:val="00394905"/>
    <w:rsid w:val="003949A9"/>
    <w:rsid w:val="00394A1C"/>
    <w:rsid w:val="00394B5C"/>
    <w:rsid w:val="00394DAC"/>
    <w:rsid w:val="0039507F"/>
    <w:rsid w:val="00395676"/>
    <w:rsid w:val="003957B2"/>
    <w:rsid w:val="00395836"/>
    <w:rsid w:val="003958B2"/>
    <w:rsid w:val="00395B7E"/>
    <w:rsid w:val="00395BB1"/>
    <w:rsid w:val="00395C94"/>
    <w:rsid w:val="00395D92"/>
    <w:rsid w:val="00395E90"/>
    <w:rsid w:val="00395E9A"/>
    <w:rsid w:val="00396106"/>
    <w:rsid w:val="003969FD"/>
    <w:rsid w:val="00396A61"/>
    <w:rsid w:val="00396B4F"/>
    <w:rsid w:val="00396E62"/>
    <w:rsid w:val="00396FB7"/>
    <w:rsid w:val="00396FEA"/>
    <w:rsid w:val="003975CA"/>
    <w:rsid w:val="00397625"/>
    <w:rsid w:val="00397771"/>
    <w:rsid w:val="0039777D"/>
    <w:rsid w:val="003A002D"/>
    <w:rsid w:val="003A0291"/>
    <w:rsid w:val="003A0417"/>
    <w:rsid w:val="003A05A9"/>
    <w:rsid w:val="003A05C5"/>
    <w:rsid w:val="003A068D"/>
    <w:rsid w:val="003A072C"/>
    <w:rsid w:val="003A07B2"/>
    <w:rsid w:val="003A0B2E"/>
    <w:rsid w:val="003A0CA2"/>
    <w:rsid w:val="003A109F"/>
    <w:rsid w:val="003A1261"/>
    <w:rsid w:val="003A15C0"/>
    <w:rsid w:val="003A1758"/>
    <w:rsid w:val="003A1765"/>
    <w:rsid w:val="003A17F4"/>
    <w:rsid w:val="003A1970"/>
    <w:rsid w:val="003A198A"/>
    <w:rsid w:val="003A19C8"/>
    <w:rsid w:val="003A1D81"/>
    <w:rsid w:val="003A22AE"/>
    <w:rsid w:val="003A236B"/>
    <w:rsid w:val="003A2395"/>
    <w:rsid w:val="003A23CA"/>
    <w:rsid w:val="003A25D8"/>
    <w:rsid w:val="003A285E"/>
    <w:rsid w:val="003A2860"/>
    <w:rsid w:val="003A29BA"/>
    <w:rsid w:val="003A2B09"/>
    <w:rsid w:val="003A2C04"/>
    <w:rsid w:val="003A2C59"/>
    <w:rsid w:val="003A2C9E"/>
    <w:rsid w:val="003A2D52"/>
    <w:rsid w:val="003A2F55"/>
    <w:rsid w:val="003A318D"/>
    <w:rsid w:val="003A377C"/>
    <w:rsid w:val="003A4024"/>
    <w:rsid w:val="003A40DC"/>
    <w:rsid w:val="003A4212"/>
    <w:rsid w:val="003A4234"/>
    <w:rsid w:val="003A436A"/>
    <w:rsid w:val="003A457C"/>
    <w:rsid w:val="003A473C"/>
    <w:rsid w:val="003A4905"/>
    <w:rsid w:val="003A4940"/>
    <w:rsid w:val="003A495A"/>
    <w:rsid w:val="003A49C2"/>
    <w:rsid w:val="003A4B20"/>
    <w:rsid w:val="003A4B86"/>
    <w:rsid w:val="003A4CC0"/>
    <w:rsid w:val="003A4CC5"/>
    <w:rsid w:val="003A4D28"/>
    <w:rsid w:val="003A4D5F"/>
    <w:rsid w:val="003A4F47"/>
    <w:rsid w:val="003A4F63"/>
    <w:rsid w:val="003A509E"/>
    <w:rsid w:val="003A519B"/>
    <w:rsid w:val="003A52C3"/>
    <w:rsid w:val="003A5623"/>
    <w:rsid w:val="003A5689"/>
    <w:rsid w:val="003A579A"/>
    <w:rsid w:val="003A5DC9"/>
    <w:rsid w:val="003A5EF0"/>
    <w:rsid w:val="003A635C"/>
    <w:rsid w:val="003A6706"/>
    <w:rsid w:val="003A67A0"/>
    <w:rsid w:val="003A6963"/>
    <w:rsid w:val="003A6AA3"/>
    <w:rsid w:val="003A6DD1"/>
    <w:rsid w:val="003A6F06"/>
    <w:rsid w:val="003A6F48"/>
    <w:rsid w:val="003A6F6D"/>
    <w:rsid w:val="003A7004"/>
    <w:rsid w:val="003A70F9"/>
    <w:rsid w:val="003A7215"/>
    <w:rsid w:val="003A729F"/>
    <w:rsid w:val="003A7397"/>
    <w:rsid w:val="003A74CF"/>
    <w:rsid w:val="003A76F9"/>
    <w:rsid w:val="003A792E"/>
    <w:rsid w:val="003A7B5A"/>
    <w:rsid w:val="003A7C19"/>
    <w:rsid w:val="003A7CD7"/>
    <w:rsid w:val="003A7F28"/>
    <w:rsid w:val="003B0143"/>
    <w:rsid w:val="003B017A"/>
    <w:rsid w:val="003B01E1"/>
    <w:rsid w:val="003B01F4"/>
    <w:rsid w:val="003B0214"/>
    <w:rsid w:val="003B06AC"/>
    <w:rsid w:val="003B0BDE"/>
    <w:rsid w:val="003B105D"/>
    <w:rsid w:val="003B1320"/>
    <w:rsid w:val="003B16C0"/>
    <w:rsid w:val="003B1762"/>
    <w:rsid w:val="003B1F93"/>
    <w:rsid w:val="003B20C1"/>
    <w:rsid w:val="003B21E8"/>
    <w:rsid w:val="003B230F"/>
    <w:rsid w:val="003B27A3"/>
    <w:rsid w:val="003B2B31"/>
    <w:rsid w:val="003B2C53"/>
    <w:rsid w:val="003B2D46"/>
    <w:rsid w:val="003B2D8A"/>
    <w:rsid w:val="003B2F74"/>
    <w:rsid w:val="003B2FC7"/>
    <w:rsid w:val="003B320F"/>
    <w:rsid w:val="003B323B"/>
    <w:rsid w:val="003B35E6"/>
    <w:rsid w:val="003B35E7"/>
    <w:rsid w:val="003B38E5"/>
    <w:rsid w:val="003B39E2"/>
    <w:rsid w:val="003B3BA1"/>
    <w:rsid w:val="003B3BE0"/>
    <w:rsid w:val="003B3E31"/>
    <w:rsid w:val="003B3E54"/>
    <w:rsid w:val="003B429D"/>
    <w:rsid w:val="003B45DB"/>
    <w:rsid w:val="003B46DA"/>
    <w:rsid w:val="003B49B7"/>
    <w:rsid w:val="003B4A4E"/>
    <w:rsid w:val="003B4D0B"/>
    <w:rsid w:val="003B4D7C"/>
    <w:rsid w:val="003B4E5C"/>
    <w:rsid w:val="003B5014"/>
    <w:rsid w:val="003B54B1"/>
    <w:rsid w:val="003B5803"/>
    <w:rsid w:val="003B5947"/>
    <w:rsid w:val="003B5AC6"/>
    <w:rsid w:val="003B5CEA"/>
    <w:rsid w:val="003B5ED4"/>
    <w:rsid w:val="003B6226"/>
    <w:rsid w:val="003B638A"/>
    <w:rsid w:val="003B63F5"/>
    <w:rsid w:val="003B680B"/>
    <w:rsid w:val="003B682E"/>
    <w:rsid w:val="003B69F4"/>
    <w:rsid w:val="003B6D78"/>
    <w:rsid w:val="003B6FB2"/>
    <w:rsid w:val="003B701D"/>
    <w:rsid w:val="003B7060"/>
    <w:rsid w:val="003B70C8"/>
    <w:rsid w:val="003B70EC"/>
    <w:rsid w:val="003B7248"/>
    <w:rsid w:val="003B732B"/>
    <w:rsid w:val="003B784A"/>
    <w:rsid w:val="003B7B7F"/>
    <w:rsid w:val="003B7DEA"/>
    <w:rsid w:val="003B7E04"/>
    <w:rsid w:val="003C011C"/>
    <w:rsid w:val="003C0129"/>
    <w:rsid w:val="003C02D7"/>
    <w:rsid w:val="003C037E"/>
    <w:rsid w:val="003C0605"/>
    <w:rsid w:val="003C072F"/>
    <w:rsid w:val="003C07F8"/>
    <w:rsid w:val="003C0848"/>
    <w:rsid w:val="003C0A07"/>
    <w:rsid w:val="003C0A35"/>
    <w:rsid w:val="003C0AB2"/>
    <w:rsid w:val="003C0DE1"/>
    <w:rsid w:val="003C0F03"/>
    <w:rsid w:val="003C1580"/>
    <w:rsid w:val="003C162B"/>
    <w:rsid w:val="003C199F"/>
    <w:rsid w:val="003C1C2B"/>
    <w:rsid w:val="003C1EE0"/>
    <w:rsid w:val="003C2310"/>
    <w:rsid w:val="003C2512"/>
    <w:rsid w:val="003C25CB"/>
    <w:rsid w:val="003C2691"/>
    <w:rsid w:val="003C274F"/>
    <w:rsid w:val="003C2764"/>
    <w:rsid w:val="003C2A6E"/>
    <w:rsid w:val="003C2B7F"/>
    <w:rsid w:val="003C3242"/>
    <w:rsid w:val="003C3383"/>
    <w:rsid w:val="003C3453"/>
    <w:rsid w:val="003C36D1"/>
    <w:rsid w:val="003C38B5"/>
    <w:rsid w:val="003C3A95"/>
    <w:rsid w:val="003C3AD4"/>
    <w:rsid w:val="003C3CE5"/>
    <w:rsid w:val="003C3D4A"/>
    <w:rsid w:val="003C423E"/>
    <w:rsid w:val="003C469C"/>
    <w:rsid w:val="003C479A"/>
    <w:rsid w:val="003C4825"/>
    <w:rsid w:val="003C4E2D"/>
    <w:rsid w:val="003C5087"/>
    <w:rsid w:val="003C5479"/>
    <w:rsid w:val="003C57F2"/>
    <w:rsid w:val="003C5B97"/>
    <w:rsid w:val="003C5D69"/>
    <w:rsid w:val="003C5EFF"/>
    <w:rsid w:val="003C6022"/>
    <w:rsid w:val="003C6380"/>
    <w:rsid w:val="003C65EE"/>
    <w:rsid w:val="003C673F"/>
    <w:rsid w:val="003C68A5"/>
    <w:rsid w:val="003C6A79"/>
    <w:rsid w:val="003C6C48"/>
    <w:rsid w:val="003C6C90"/>
    <w:rsid w:val="003C6CCC"/>
    <w:rsid w:val="003C74B4"/>
    <w:rsid w:val="003C78D6"/>
    <w:rsid w:val="003C78D7"/>
    <w:rsid w:val="003C7A4E"/>
    <w:rsid w:val="003C7AB8"/>
    <w:rsid w:val="003C7B4A"/>
    <w:rsid w:val="003C7B95"/>
    <w:rsid w:val="003C7BA4"/>
    <w:rsid w:val="003C7DDA"/>
    <w:rsid w:val="003C7EF4"/>
    <w:rsid w:val="003D0057"/>
    <w:rsid w:val="003D01F7"/>
    <w:rsid w:val="003D0612"/>
    <w:rsid w:val="003D0854"/>
    <w:rsid w:val="003D08F3"/>
    <w:rsid w:val="003D0953"/>
    <w:rsid w:val="003D0F35"/>
    <w:rsid w:val="003D0FAC"/>
    <w:rsid w:val="003D100B"/>
    <w:rsid w:val="003D1024"/>
    <w:rsid w:val="003D12C6"/>
    <w:rsid w:val="003D16DA"/>
    <w:rsid w:val="003D19EA"/>
    <w:rsid w:val="003D1B85"/>
    <w:rsid w:val="003D1D7A"/>
    <w:rsid w:val="003D20A4"/>
    <w:rsid w:val="003D2340"/>
    <w:rsid w:val="003D2636"/>
    <w:rsid w:val="003D280C"/>
    <w:rsid w:val="003D2AE1"/>
    <w:rsid w:val="003D2B48"/>
    <w:rsid w:val="003D2BE9"/>
    <w:rsid w:val="003D2C96"/>
    <w:rsid w:val="003D2EAD"/>
    <w:rsid w:val="003D2FD1"/>
    <w:rsid w:val="003D32C4"/>
    <w:rsid w:val="003D340D"/>
    <w:rsid w:val="003D35C8"/>
    <w:rsid w:val="003D38FC"/>
    <w:rsid w:val="003D39F6"/>
    <w:rsid w:val="003D3AAC"/>
    <w:rsid w:val="003D3B38"/>
    <w:rsid w:val="003D3B69"/>
    <w:rsid w:val="003D3F4F"/>
    <w:rsid w:val="003D419E"/>
    <w:rsid w:val="003D42E5"/>
    <w:rsid w:val="003D4628"/>
    <w:rsid w:val="003D4B89"/>
    <w:rsid w:val="003D4DBA"/>
    <w:rsid w:val="003D4E47"/>
    <w:rsid w:val="003D4E8B"/>
    <w:rsid w:val="003D50AE"/>
    <w:rsid w:val="003D5159"/>
    <w:rsid w:val="003D52F6"/>
    <w:rsid w:val="003D561A"/>
    <w:rsid w:val="003D5B3E"/>
    <w:rsid w:val="003D5C28"/>
    <w:rsid w:val="003D5F5E"/>
    <w:rsid w:val="003D6315"/>
    <w:rsid w:val="003D635C"/>
    <w:rsid w:val="003D6816"/>
    <w:rsid w:val="003D6A45"/>
    <w:rsid w:val="003D6C91"/>
    <w:rsid w:val="003D6CDB"/>
    <w:rsid w:val="003D6F77"/>
    <w:rsid w:val="003D7190"/>
    <w:rsid w:val="003D7517"/>
    <w:rsid w:val="003D784B"/>
    <w:rsid w:val="003D7AAA"/>
    <w:rsid w:val="003D7AAB"/>
    <w:rsid w:val="003D7B73"/>
    <w:rsid w:val="003D7B7F"/>
    <w:rsid w:val="003D7BFF"/>
    <w:rsid w:val="003D7D4F"/>
    <w:rsid w:val="003D7D5F"/>
    <w:rsid w:val="003D7D99"/>
    <w:rsid w:val="003D7FAC"/>
    <w:rsid w:val="003E034E"/>
    <w:rsid w:val="003E0406"/>
    <w:rsid w:val="003E0497"/>
    <w:rsid w:val="003E0757"/>
    <w:rsid w:val="003E076B"/>
    <w:rsid w:val="003E0B98"/>
    <w:rsid w:val="003E0CE6"/>
    <w:rsid w:val="003E0EA3"/>
    <w:rsid w:val="003E1021"/>
    <w:rsid w:val="003E1091"/>
    <w:rsid w:val="003E11A9"/>
    <w:rsid w:val="003E1812"/>
    <w:rsid w:val="003E192C"/>
    <w:rsid w:val="003E1A15"/>
    <w:rsid w:val="003E1BEB"/>
    <w:rsid w:val="003E1E7F"/>
    <w:rsid w:val="003E1EBD"/>
    <w:rsid w:val="003E1F4B"/>
    <w:rsid w:val="003E20BD"/>
    <w:rsid w:val="003E21F2"/>
    <w:rsid w:val="003E25E4"/>
    <w:rsid w:val="003E25FA"/>
    <w:rsid w:val="003E2737"/>
    <w:rsid w:val="003E2899"/>
    <w:rsid w:val="003E2BD6"/>
    <w:rsid w:val="003E2C12"/>
    <w:rsid w:val="003E2ECC"/>
    <w:rsid w:val="003E2EEF"/>
    <w:rsid w:val="003E2FA9"/>
    <w:rsid w:val="003E3042"/>
    <w:rsid w:val="003E3517"/>
    <w:rsid w:val="003E35FE"/>
    <w:rsid w:val="003E379A"/>
    <w:rsid w:val="003E38D8"/>
    <w:rsid w:val="003E39A9"/>
    <w:rsid w:val="003E3A6D"/>
    <w:rsid w:val="003E3BD7"/>
    <w:rsid w:val="003E3C7F"/>
    <w:rsid w:val="003E40BE"/>
    <w:rsid w:val="003E47DC"/>
    <w:rsid w:val="003E4825"/>
    <w:rsid w:val="003E4D11"/>
    <w:rsid w:val="003E4F6B"/>
    <w:rsid w:val="003E50B2"/>
    <w:rsid w:val="003E50C2"/>
    <w:rsid w:val="003E5199"/>
    <w:rsid w:val="003E5334"/>
    <w:rsid w:val="003E542B"/>
    <w:rsid w:val="003E54A2"/>
    <w:rsid w:val="003E5555"/>
    <w:rsid w:val="003E5619"/>
    <w:rsid w:val="003E5711"/>
    <w:rsid w:val="003E5BF4"/>
    <w:rsid w:val="003E5D8E"/>
    <w:rsid w:val="003E5E3D"/>
    <w:rsid w:val="003E5E85"/>
    <w:rsid w:val="003E61ED"/>
    <w:rsid w:val="003E6475"/>
    <w:rsid w:val="003E66A1"/>
    <w:rsid w:val="003E691C"/>
    <w:rsid w:val="003E69B1"/>
    <w:rsid w:val="003E69D6"/>
    <w:rsid w:val="003E6A86"/>
    <w:rsid w:val="003E6FC9"/>
    <w:rsid w:val="003E7095"/>
    <w:rsid w:val="003E70C2"/>
    <w:rsid w:val="003E7162"/>
    <w:rsid w:val="003E7227"/>
    <w:rsid w:val="003E73B7"/>
    <w:rsid w:val="003E76C2"/>
    <w:rsid w:val="003E76E7"/>
    <w:rsid w:val="003E79CB"/>
    <w:rsid w:val="003E7C73"/>
    <w:rsid w:val="003E7D3E"/>
    <w:rsid w:val="003F006A"/>
    <w:rsid w:val="003F012C"/>
    <w:rsid w:val="003F0227"/>
    <w:rsid w:val="003F061E"/>
    <w:rsid w:val="003F0681"/>
    <w:rsid w:val="003F08B6"/>
    <w:rsid w:val="003F09A0"/>
    <w:rsid w:val="003F0A07"/>
    <w:rsid w:val="003F0E9D"/>
    <w:rsid w:val="003F10DB"/>
    <w:rsid w:val="003F1560"/>
    <w:rsid w:val="003F173C"/>
    <w:rsid w:val="003F18D2"/>
    <w:rsid w:val="003F1A17"/>
    <w:rsid w:val="003F1C4E"/>
    <w:rsid w:val="003F1D5B"/>
    <w:rsid w:val="003F1F4B"/>
    <w:rsid w:val="003F24D6"/>
    <w:rsid w:val="003F2596"/>
    <w:rsid w:val="003F25D3"/>
    <w:rsid w:val="003F270E"/>
    <w:rsid w:val="003F2783"/>
    <w:rsid w:val="003F27F8"/>
    <w:rsid w:val="003F280C"/>
    <w:rsid w:val="003F29D4"/>
    <w:rsid w:val="003F2AFA"/>
    <w:rsid w:val="003F3125"/>
    <w:rsid w:val="003F313D"/>
    <w:rsid w:val="003F3A8A"/>
    <w:rsid w:val="003F3AC3"/>
    <w:rsid w:val="003F3E49"/>
    <w:rsid w:val="003F4331"/>
    <w:rsid w:val="003F46A0"/>
    <w:rsid w:val="003F46A4"/>
    <w:rsid w:val="003F4A28"/>
    <w:rsid w:val="003F4A75"/>
    <w:rsid w:val="003F4B74"/>
    <w:rsid w:val="003F4D5E"/>
    <w:rsid w:val="003F4F18"/>
    <w:rsid w:val="003F50BF"/>
    <w:rsid w:val="003F50F5"/>
    <w:rsid w:val="003F50FE"/>
    <w:rsid w:val="003F5487"/>
    <w:rsid w:val="003F54CA"/>
    <w:rsid w:val="003F557B"/>
    <w:rsid w:val="003F56B1"/>
    <w:rsid w:val="003F58CF"/>
    <w:rsid w:val="003F5BAE"/>
    <w:rsid w:val="003F5C06"/>
    <w:rsid w:val="003F5D0F"/>
    <w:rsid w:val="003F60AB"/>
    <w:rsid w:val="003F6164"/>
    <w:rsid w:val="003F62B6"/>
    <w:rsid w:val="003F641C"/>
    <w:rsid w:val="003F6457"/>
    <w:rsid w:val="003F6476"/>
    <w:rsid w:val="003F6928"/>
    <w:rsid w:val="003F69DD"/>
    <w:rsid w:val="003F6D46"/>
    <w:rsid w:val="003F6E97"/>
    <w:rsid w:val="003F6EDB"/>
    <w:rsid w:val="003F7120"/>
    <w:rsid w:val="003F7186"/>
    <w:rsid w:val="003F7193"/>
    <w:rsid w:val="003F71D2"/>
    <w:rsid w:val="003F7207"/>
    <w:rsid w:val="003F720A"/>
    <w:rsid w:val="003F7B9D"/>
    <w:rsid w:val="003F7E41"/>
    <w:rsid w:val="003F7FC0"/>
    <w:rsid w:val="0040014B"/>
    <w:rsid w:val="004003F6"/>
    <w:rsid w:val="0040062E"/>
    <w:rsid w:val="004006CF"/>
    <w:rsid w:val="00400727"/>
    <w:rsid w:val="00400765"/>
    <w:rsid w:val="00400884"/>
    <w:rsid w:val="004008C2"/>
    <w:rsid w:val="00400A62"/>
    <w:rsid w:val="00400BB0"/>
    <w:rsid w:val="00400CC0"/>
    <w:rsid w:val="00401077"/>
    <w:rsid w:val="00401285"/>
    <w:rsid w:val="00401488"/>
    <w:rsid w:val="004015FA"/>
    <w:rsid w:val="0040197D"/>
    <w:rsid w:val="00401A17"/>
    <w:rsid w:val="00401A3B"/>
    <w:rsid w:val="00401B03"/>
    <w:rsid w:val="00401BFD"/>
    <w:rsid w:val="00401D30"/>
    <w:rsid w:val="00401F57"/>
    <w:rsid w:val="00402037"/>
    <w:rsid w:val="0040234B"/>
    <w:rsid w:val="004023F6"/>
    <w:rsid w:val="0040259E"/>
    <w:rsid w:val="004025C8"/>
    <w:rsid w:val="00402706"/>
    <w:rsid w:val="00402728"/>
    <w:rsid w:val="0040274B"/>
    <w:rsid w:val="00402C31"/>
    <w:rsid w:val="00402D4B"/>
    <w:rsid w:val="00402F25"/>
    <w:rsid w:val="00403710"/>
    <w:rsid w:val="00403849"/>
    <w:rsid w:val="00403D45"/>
    <w:rsid w:val="00403D6F"/>
    <w:rsid w:val="00403DE0"/>
    <w:rsid w:val="00403EBE"/>
    <w:rsid w:val="00403F14"/>
    <w:rsid w:val="00404198"/>
    <w:rsid w:val="00404379"/>
    <w:rsid w:val="0040444B"/>
    <w:rsid w:val="004046B6"/>
    <w:rsid w:val="00404706"/>
    <w:rsid w:val="00404A4B"/>
    <w:rsid w:val="00404A86"/>
    <w:rsid w:val="00404DBF"/>
    <w:rsid w:val="00404E88"/>
    <w:rsid w:val="00404E93"/>
    <w:rsid w:val="004051C7"/>
    <w:rsid w:val="00405902"/>
    <w:rsid w:val="00405926"/>
    <w:rsid w:val="00405A9B"/>
    <w:rsid w:val="00405CB0"/>
    <w:rsid w:val="00405D95"/>
    <w:rsid w:val="00405E61"/>
    <w:rsid w:val="00406450"/>
    <w:rsid w:val="004064F8"/>
    <w:rsid w:val="0040671E"/>
    <w:rsid w:val="00406780"/>
    <w:rsid w:val="0040678D"/>
    <w:rsid w:val="00406859"/>
    <w:rsid w:val="004068ED"/>
    <w:rsid w:val="00406930"/>
    <w:rsid w:val="00406EC7"/>
    <w:rsid w:val="004075B4"/>
    <w:rsid w:val="0040784F"/>
    <w:rsid w:val="00407958"/>
    <w:rsid w:val="00407962"/>
    <w:rsid w:val="004079CA"/>
    <w:rsid w:val="00407B04"/>
    <w:rsid w:val="00407F2B"/>
    <w:rsid w:val="00407F74"/>
    <w:rsid w:val="00407FDD"/>
    <w:rsid w:val="00410190"/>
    <w:rsid w:val="00410499"/>
    <w:rsid w:val="00410545"/>
    <w:rsid w:val="0041085A"/>
    <w:rsid w:val="00410922"/>
    <w:rsid w:val="00410F8A"/>
    <w:rsid w:val="0041138A"/>
    <w:rsid w:val="004115B6"/>
    <w:rsid w:val="00411676"/>
    <w:rsid w:val="0041170C"/>
    <w:rsid w:val="004122B2"/>
    <w:rsid w:val="00412459"/>
    <w:rsid w:val="00412651"/>
    <w:rsid w:val="00412729"/>
    <w:rsid w:val="004129A9"/>
    <w:rsid w:val="004129C9"/>
    <w:rsid w:val="00412BCE"/>
    <w:rsid w:val="00412CCB"/>
    <w:rsid w:val="00412F24"/>
    <w:rsid w:val="0041381A"/>
    <w:rsid w:val="00413B39"/>
    <w:rsid w:val="00413C27"/>
    <w:rsid w:val="00413DAE"/>
    <w:rsid w:val="0041415A"/>
    <w:rsid w:val="004141DE"/>
    <w:rsid w:val="00414301"/>
    <w:rsid w:val="00414483"/>
    <w:rsid w:val="0041448A"/>
    <w:rsid w:val="004144F4"/>
    <w:rsid w:val="0041454F"/>
    <w:rsid w:val="00414845"/>
    <w:rsid w:val="004148CC"/>
    <w:rsid w:val="00414976"/>
    <w:rsid w:val="00414B02"/>
    <w:rsid w:val="00414CB0"/>
    <w:rsid w:val="00414EC7"/>
    <w:rsid w:val="00414FB5"/>
    <w:rsid w:val="0041550F"/>
    <w:rsid w:val="0041555D"/>
    <w:rsid w:val="00415616"/>
    <w:rsid w:val="00415949"/>
    <w:rsid w:val="00415A45"/>
    <w:rsid w:val="00415C21"/>
    <w:rsid w:val="00415C6F"/>
    <w:rsid w:val="00415DBE"/>
    <w:rsid w:val="00415E26"/>
    <w:rsid w:val="00415F44"/>
    <w:rsid w:val="00416121"/>
    <w:rsid w:val="0041642A"/>
    <w:rsid w:val="004165FE"/>
    <w:rsid w:val="0041690F"/>
    <w:rsid w:val="00416CC3"/>
    <w:rsid w:val="00416D5E"/>
    <w:rsid w:val="00416F76"/>
    <w:rsid w:val="00417218"/>
    <w:rsid w:val="0041723F"/>
    <w:rsid w:val="004173C4"/>
    <w:rsid w:val="004174CF"/>
    <w:rsid w:val="00417504"/>
    <w:rsid w:val="004176A2"/>
    <w:rsid w:val="004179B6"/>
    <w:rsid w:val="00417A0A"/>
    <w:rsid w:val="00417AF7"/>
    <w:rsid w:val="00417D2C"/>
    <w:rsid w:val="00417DA5"/>
    <w:rsid w:val="00417DDD"/>
    <w:rsid w:val="0041B8A5"/>
    <w:rsid w:val="004205E9"/>
    <w:rsid w:val="004206EC"/>
    <w:rsid w:val="00420756"/>
    <w:rsid w:val="004208FE"/>
    <w:rsid w:val="00420998"/>
    <w:rsid w:val="00420B25"/>
    <w:rsid w:val="004210C0"/>
    <w:rsid w:val="004215F5"/>
    <w:rsid w:val="00421A9C"/>
    <w:rsid w:val="00422267"/>
    <w:rsid w:val="00422435"/>
    <w:rsid w:val="004226C4"/>
    <w:rsid w:val="004227B2"/>
    <w:rsid w:val="00422885"/>
    <w:rsid w:val="004229BD"/>
    <w:rsid w:val="00422A49"/>
    <w:rsid w:val="00422E1C"/>
    <w:rsid w:val="00423350"/>
    <w:rsid w:val="0042354A"/>
    <w:rsid w:val="00423567"/>
    <w:rsid w:val="004237BC"/>
    <w:rsid w:val="00423B8A"/>
    <w:rsid w:val="00423CF4"/>
    <w:rsid w:val="00423E2F"/>
    <w:rsid w:val="00424019"/>
    <w:rsid w:val="004243DD"/>
    <w:rsid w:val="0042443F"/>
    <w:rsid w:val="0042457D"/>
    <w:rsid w:val="00424738"/>
    <w:rsid w:val="00424820"/>
    <w:rsid w:val="004248FF"/>
    <w:rsid w:val="00424AF2"/>
    <w:rsid w:val="00424FFA"/>
    <w:rsid w:val="00425181"/>
    <w:rsid w:val="004251BB"/>
    <w:rsid w:val="00425206"/>
    <w:rsid w:val="00425210"/>
    <w:rsid w:val="00425309"/>
    <w:rsid w:val="0042533A"/>
    <w:rsid w:val="00425408"/>
    <w:rsid w:val="0042543E"/>
    <w:rsid w:val="004256E7"/>
    <w:rsid w:val="00425733"/>
    <w:rsid w:val="004258AA"/>
    <w:rsid w:val="0042595E"/>
    <w:rsid w:val="00425D0E"/>
    <w:rsid w:val="0042615E"/>
    <w:rsid w:val="004261F5"/>
    <w:rsid w:val="00426916"/>
    <w:rsid w:val="00426AC7"/>
    <w:rsid w:val="00426CCB"/>
    <w:rsid w:val="00426D22"/>
    <w:rsid w:val="00426F9D"/>
    <w:rsid w:val="00427246"/>
    <w:rsid w:val="00427408"/>
    <w:rsid w:val="0042741C"/>
    <w:rsid w:val="004275A9"/>
    <w:rsid w:val="0042779F"/>
    <w:rsid w:val="0042797D"/>
    <w:rsid w:val="004279FB"/>
    <w:rsid w:val="00427CB1"/>
    <w:rsid w:val="00427D17"/>
    <w:rsid w:val="00427E28"/>
    <w:rsid w:val="00427EE7"/>
    <w:rsid w:val="00427F0B"/>
    <w:rsid w:val="00427FF6"/>
    <w:rsid w:val="0043001B"/>
    <w:rsid w:val="0043052B"/>
    <w:rsid w:val="004305E1"/>
    <w:rsid w:val="00430C78"/>
    <w:rsid w:val="004310D8"/>
    <w:rsid w:val="004313AF"/>
    <w:rsid w:val="004313BB"/>
    <w:rsid w:val="004318DE"/>
    <w:rsid w:val="004318DF"/>
    <w:rsid w:val="00431A47"/>
    <w:rsid w:val="00431E64"/>
    <w:rsid w:val="00431F81"/>
    <w:rsid w:val="0043200B"/>
    <w:rsid w:val="0043202B"/>
    <w:rsid w:val="00432107"/>
    <w:rsid w:val="00432220"/>
    <w:rsid w:val="004325BB"/>
    <w:rsid w:val="00432A8F"/>
    <w:rsid w:val="00432FB7"/>
    <w:rsid w:val="0043327B"/>
    <w:rsid w:val="00433595"/>
    <w:rsid w:val="004337AD"/>
    <w:rsid w:val="00433AA6"/>
    <w:rsid w:val="00433ABA"/>
    <w:rsid w:val="00433CCF"/>
    <w:rsid w:val="00433E5B"/>
    <w:rsid w:val="00433EF0"/>
    <w:rsid w:val="00434346"/>
    <w:rsid w:val="004345B8"/>
    <w:rsid w:val="004348B6"/>
    <w:rsid w:val="00434ADA"/>
    <w:rsid w:val="00434B92"/>
    <w:rsid w:val="00434BEB"/>
    <w:rsid w:val="00434CE9"/>
    <w:rsid w:val="00434D6C"/>
    <w:rsid w:val="00434F5B"/>
    <w:rsid w:val="00435032"/>
    <w:rsid w:val="00435035"/>
    <w:rsid w:val="00435057"/>
    <w:rsid w:val="00435081"/>
    <w:rsid w:val="00435140"/>
    <w:rsid w:val="004351BC"/>
    <w:rsid w:val="0043523C"/>
    <w:rsid w:val="00435431"/>
    <w:rsid w:val="004355E6"/>
    <w:rsid w:val="00435879"/>
    <w:rsid w:val="00435921"/>
    <w:rsid w:val="00435978"/>
    <w:rsid w:val="00435C08"/>
    <w:rsid w:val="00435CA8"/>
    <w:rsid w:val="00435E1E"/>
    <w:rsid w:val="00435EF8"/>
    <w:rsid w:val="00435F9D"/>
    <w:rsid w:val="0043612E"/>
    <w:rsid w:val="004361E7"/>
    <w:rsid w:val="0043651B"/>
    <w:rsid w:val="004371AC"/>
    <w:rsid w:val="004373A8"/>
    <w:rsid w:val="004374F6"/>
    <w:rsid w:val="004376F0"/>
    <w:rsid w:val="004378C3"/>
    <w:rsid w:val="00437A70"/>
    <w:rsid w:val="00437A85"/>
    <w:rsid w:val="00437BFD"/>
    <w:rsid w:val="00437CA5"/>
    <w:rsid w:val="00437E09"/>
    <w:rsid w:val="00440032"/>
    <w:rsid w:val="00440037"/>
    <w:rsid w:val="004400EC"/>
    <w:rsid w:val="004402BD"/>
    <w:rsid w:val="004402CE"/>
    <w:rsid w:val="00440490"/>
    <w:rsid w:val="004404D0"/>
    <w:rsid w:val="00440611"/>
    <w:rsid w:val="00440675"/>
    <w:rsid w:val="004406BC"/>
    <w:rsid w:val="00440829"/>
    <w:rsid w:val="004409E6"/>
    <w:rsid w:val="00440A9C"/>
    <w:rsid w:val="00440D3E"/>
    <w:rsid w:val="00440DD5"/>
    <w:rsid w:val="00440DEE"/>
    <w:rsid w:val="0044106E"/>
    <w:rsid w:val="00441404"/>
    <w:rsid w:val="00441507"/>
    <w:rsid w:val="00441521"/>
    <w:rsid w:val="00441AA0"/>
    <w:rsid w:val="00441B0C"/>
    <w:rsid w:val="00441E42"/>
    <w:rsid w:val="00442262"/>
    <w:rsid w:val="0044245F"/>
    <w:rsid w:val="00442592"/>
    <w:rsid w:val="00442644"/>
    <w:rsid w:val="00442674"/>
    <w:rsid w:val="004428F0"/>
    <w:rsid w:val="0044304A"/>
    <w:rsid w:val="00443123"/>
    <w:rsid w:val="0044314B"/>
    <w:rsid w:val="004432A9"/>
    <w:rsid w:val="004433EF"/>
    <w:rsid w:val="00443437"/>
    <w:rsid w:val="0044347D"/>
    <w:rsid w:val="0044389E"/>
    <w:rsid w:val="00444331"/>
    <w:rsid w:val="004443D1"/>
    <w:rsid w:val="00444430"/>
    <w:rsid w:val="004444E4"/>
    <w:rsid w:val="00444634"/>
    <w:rsid w:val="004447B2"/>
    <w:rsid w:val="00444B30"/>
    <w:rsid w:val="004454D2"/>
    <w:rsid w:val="004454F9"/>
    <w:rsid w:val="00445753"/>
    <w:rsid w:val="004457A3"/>
    <w:rsid w:val="00445ACA"/>
    <w:rsid w:val="0044640F"/>
    <w:rsid w:val="00446478"/>
    <w:rsid w:val="004464AB"/>
    <w:rsid w:val="004465D4"/>
    <w:rsid w:val="0044661F"/>
    <w:rsid w:val="00446CE6"/>
    <w:rsid w:val="00447091"/>
    <w:rsid w:val="004476D2"/>
    <w:rsid w:val="004476F5"/>
    <w:rsid w:val="004478BA"/>
    <w:rsid w:val="00447B7E"/>
    <w:rsid w:val="00447BAE"/>
    <w:rsid w:val="00447F11"/>
    <w:rsid w:val="00447F14"/>
    <w:rsid w:val="0045009A"/>
    <w:rsid w:val="004501E1"/>
    <w:rsid w:val="004503F7"/>
    <w:rsid w:val="00450873"/>
    <w:rsid w:val="00450955"/>
    <w:rsid w:val="00450A60"/>
    <w:rsid w:val="00450BDD"/>
    <w:rsid w:val="00450CE4"/>
    <w:rsid w:val="00450DA3"/>
    <w:rsid w:val="00450E57"/>
    <w:rsid w:val="00450E59"/>
    <w:rsid w:val="00450EC2"/>
    <w:rsid w:val="00451165"/>
    <w:rsid w:val="004511B6"/>
    <w:rsid w:val="004514F0"/>
    <w:rsid w:val="0045173C"/>
    <w:rsid w:val="0045180C"/>
    <w:rsid w:val="00451BED"/>
    <w:rsid w:val="00451F46"/>
    <w:rsid w:val="00451FC6"/>
    <w:rsid w:val="004520FF"/>
    <w:rsid w:val="0045213A"/>
    <w:rsid w:val="004523F4"/>
    <w:rsid w:val="004524C2"/>
    <w:rsid w:val="00452568"/>
    <w:rsid w:val="00452816"/>
    <w:rsid w:val="0045282A"/>
    <w:rsid w:val="00452C8F"/>
    <w:rsid w:val="00453295"/>
    <w:rsid w:val="0045329B"/>
    <w:rsid w:val="00453364"/>
    <w:rsid w:val="004533ED"/>
    <w:rsid w:val="0045345C"/>
    <w:rsid w:val="00453513"/>
    <w:rsid w:val="00453738"/>
    <w:rsid w:val="004537DF"/>
    <w:rsid w:val="00453B4D"/>
    <w:rsid w:val="00453B54"/>
    <w:rsid w:val="00453D3D"/>
    <w:rsid w:val="00453DC0"/>
    <w:rsid w:val="0045408E"/>
    <w:rsid w:val="00454163"/>
    <w:rsid w:val="004541E3"/>
    <w:rsid w:val="004546D8"/>
    <w:rsid w:val="004546FA"/>
    <w:rsid w:val="004549D6"/>
    <w:rsid w:val="00454B4B"/>
    <w:rsid w:val="00454B80"/>
    <w:rsid w:val="00454D2B"/>
    <w:rsid w:val="00454D8B"/>
    <w:rsid w:val="00454E58"/>
    <w:rsid w:val="00454F1B"/>
    <w:rsid w:val="00454F69"/>
    <w:rsid w:val="00454FF0"/>
    <w:rsid w:val="00455053"/>
    <w:rsid w:val="00455273"/>
    <w:rsid w:val="0045546A"/>
    <w:rsid w:val="00455480"/>
    <w:rsid w:val="0045551E"/>
    <w:rsid w:val="00455868"/>
    <w:rsid w:val="00455C5F"/>
    <w:rsid w:val="00455D2F"/>
    <w:rsid w:val="004560EE"/>
    <w:rsid w:val="00456525"/>
    <w:rsid w:val="00456A42"/>
    <w:rsid w:val="00456F56"/>
    <w:rsid w:val="00457368"/>
    <w:rsid w:val="00457458"/>
    <w:rsid w:val="00457505"/>
    <w:rsid w:val="004576EB"/>
    <w:rsid w:val="00457706"/>
    <w:rsid w:val="004579A4"/>
    <w:rsid w:val="00457A26"/>
    <w:rsid w:val="00457E16"/>
    <w:rsid w:val="0046011A"/>
    <w:rsid w:val="004601F4"/>
    <w:rsid w:val="00460400"/>
    <w:rsid w:val="0046048A"/>
    <w:rsid w:val="00460532"/>
    <w:rsid w:val="00460A51"/>
    <w:rsid w:val="00460B32"/>
    <w:rsid w:val="00461029"/>
    <w:rsid w:val="00461350"/>
    <w:rsid w:val="00461673"/>
    <w:rsid w:val="0046172F"/>
    <w:rsid w:val="00461882"/>
    <w:rsid w:val="0046197F"/>
    <w:rsid w:val="00461B73"/>
    <w:rsid w:val="00461EAF"/>
    <w:rsid w:val="00461F9D"/>
    <w:rsid w:val="0046249F"/>
    <w:rsid w:val="0046262C"/>
    <w:rsid w:val="004626FA"/>
    <w:rsid w:val="004627DD"/>
    <w:rsid w:val="004628A8"/>
    <w:rsid w:val="00462C03"/>
    <w:rsid w:val="00462C07"/>
    <w:rsid w:val="00462DB8"/>
    <w:rsid w:val="0046352F"/>
    <w:rsid w:val="004637F3"/>
    <w:rsid w:val="00463A14"/>
    <w:rsid w:val="00463BBF"/>
    <w:rsid w:val="00463BE4"/>
    <w:rsid w:val="00464089"/>
    <w:rsid w:val="004644C5"/>
    <w:rsid w:val="0046452D"/>
    <w:rsid w:val="0046462C"/>
    <w:rsid w:val="0046463C"/>
    <w:rsid w:val="00464667"/>
    <w:rsid w:val="00464849"/>
    <w:rsid w:val="00464A85"/>
    <w:rsid w:val="00464B1D"/>
    <w:rsid w:val="00464CA9"/>
    <w:rsid w:val="00464E9F"/>
    <w:rsid w:val="00464FB2"/>
    <w:rsid w:val="00464FE9"/>
    <w:rsid w:val="00465008"/>
    <w:rsid w:val="004652A1"/>
    <w:rsid w:val="004654C6"/>
    <w:rsid w:val="0046554E"/>
    <w:rsid w:val="00465551"/>
    <w:rsid w:val="0046566D"/>
    <w:rsid w:val="004656EA"/>
    <w:rsid w:val="00465B9F"/>
    <w:rsid w:val="00465DB2"/>
    <w:rsid w:val="00465DCA"/>
    <w:rsid w:val="00465E01"/>
    <w:rsid w:val="00466440"/>
    <w:rsid w:val="004664EF"/>
    <w:rsid w:val="00466528"/>
    <w:rsid w:val="004665D2"/>
    <w:rsid w:val="00466A3C"/>
    <w:rsid w:val="00466BB1"/>
    <w:rsid w:val="00466D44"/>
    <w:rsid w:val="00466F86"/>
    <w:rsid w:val="00467142"/>
    <w:rsid w:val="00467304"/>
    <w:rsid w:val="004675A3"/>
    <w:rsid w:val="00467689"/>
    <w:rsid w:val="004676D3"/>
    <w:rsid w:val="00467A53"/>
    <w:rsid w:val="00467AD8"/>
    <w:rsid w:val="00467C0C"/>
    <w:rsid w:val="004700F2"/>
    <w:rsid w:val="0047053E"/>
    <w:rsid w:val="004706FA"/>
    <w:rsid w:val="004708EE"/>
    <w:rsid w:val="004709F2"/>
    <w:rsid w:val="00470AA5"/>
    <w:rsid w:val="00470B12"/>
    <w:rsid w:val="00470BA8"/>
    <w:rsid w:val="00470F5B"/>
    <w:rsid w:val="00471107"/>
    <w:rsid w:val="00471226"/>
    <w:rsid w:val="004713EC"/>
    <w:rsid w:val="0047148E"/>
    <w:rsid w:val="0047167B"/>
    <w:rsid w:val="00471B89"/>
    <w:rsid w:val="00471C5F"/>
    <w:rsid w:val="00471EA5"/>
    <w:rsid w:val="00471ED3"/>
    <w:rsid w:val="00472218"/>
    <w:rsid w:val="004726C5"/>
    <w:rsid w:val="00472840"/>
    <w:rsid w:val="004729F9"/>
    <w:rsid w:val="00472EDE"/>
    <w:rsid w:val="004730E5"/>
    <w:rsid w:val="00473128"/>
    <w:rsid w:val="0047314C"/>
    <w:rsid w:val="00473441"/>
    <w:rsid w:val="00473566"/>
    <w:rsid w:val="00473990"/>
    <w:rsid w:val="004739E4"/>
    <w:rsid w:val="00473B63"/>
    <w:rsid w:val="00473EF2"/>
    <w:rsid w:val="004740D2"/>
    <w:rsid w:val="004747F6"/>
    <w:rsid w:val="004749A8"/>
    <w:rsid w:val="00474AB9"/>
    <w:rsid w:val="00474B42"/>
    <w:rsid w:val="00474DE9"/>
    <w:rsid w:val="0047548D"/>
    <w:rsid w:val="004754B7"/>
    <w:rsid w:val="00475799"/>
    <w:rsid w:val="0047586A"/>
    <w:rsid w:val="0047587B"/>
    <w:rsid w:val="004759F9"/>
    <w:rsid w:val="00475F40"/>
    <w:rsid w:val="00475F45"/>
    <w:rsid w:val="00476143"/>
    <w:rsid w:val="00476151"/>
    <w:rsid w:val="0047622B"/>
    <w:rsid w:val="004762E9"/>
    <w:rsid w:val="0047632A"/>
    <w:rsid w:val="00476618"/>
    <w:rsid w:val="004767AA"/>
    <w:rsid w:val="00476A49"/>
    <w:rsid w:val="00476CA8"/>
    <w:rsid w:val="00477297"/>
    <w:rsid w:val="00477302"/>
    <w:rsid w:val="0047768E"/>
    <w:rsid w:val="004777AC"/>
    <w:rsid w:val="00477D8D"/>
    <w:rsid w:val="00480017"/>
    <w:rsid w:val="004802AA"/>
    <w:rsid w:val="0048053A"/>
    <w:rsid w:val="00480881"/>
    <w:rsid w:val="004815ED"/>
    <w:rsid w:val="0048163A"/>
    <w:rsid w:val="0048191B"/>
    <w:rsid w:val="00481B2D"/>
    <w:rsid w:val="00481DD8"/>
    <w:rsid w:val="00481E12"/>
    <w:rsid w:val="00481E51"/>
    <w:rsid w:val="00481E54"/>
    <w:rsid w:val="004820B8"/>
    <w:rsid w:val="004822DE"/>
    <w:rsid w:val="00482498"/>
    <w:rsid w:val="00482C27"/>
    <w:rsid w:val="00482C8A"/>
    <w:rsid w:val="00482D05"/>
    <w:rsid w:val="00482EAA"/>
    <w:rsid w:val="00482F1E"/>
    <w:rsid w:val="004832F8"/>
    <w:rsid w:val="00483526"/>
    <w:rsid w:val="0048354E"/>
    <w:rsid w:val="00483671"/>
    <w:rsid w:val="004836EE"/>
    <w:rsid w:val="00483744"/>
    <w:rsid w:val="00483966"/>
    <w:rsid w:val="00483C55"/>
    <w:rsid w:val="00483C82"/>
    <w:rsid w:val="00483CE7"/>
    <w:rsid w:val="004840D2"/>
    <w:rsid w:val="004841E1"/>
    <w:rsid w:val="00484217"/>
    <w:rsid w:val="00484A64"/>
    <w:rsid w:val="00484A7F"/>
    <w:rsid w:val="00484ACE"/>
    <w:rsid w:val="00484B82"/>
    <w:rsid w:val="00484C59"/>
    <w:rsid w:val="00484D2C"/>
    <w:rsid w:val="004852C6"/>
    <w:rsid w:val="0048531E"/>
    <w:rsid w:val="004854D0"/>
    <w:rsid w:val="00485724"/>
    <w:rsid w:val="00485743"/>
    <w:rsid w:val="00485956"/>
    <w:rsid w:val="00485AEB"/>
    <w:rsid w:val="00485B30"/>
    <w:rsid w:val="00485C3D"/>
    <w:rsid w:val="00485E76"/>
    <w:rsid w:val="004866D9"/>
    <w:rsid w:val="0048670F"/>
    <w:rsid w:val="004869B9"/>
    <w:rsid w:val="00486C1B"/>
    <w:rsid w:val="00486C3A"/>
    <w:rsid w:val="00486C61"/>
    <w:rsid w:val="00486D8F"/>
    <w:rsid w:val="00486EE5"/>
    <w:rsid w:val="00487102"/>
    <w:rsid w:val="004873D1"/>
    <w:rsid w:val="00487461"/>
    <w:rsid w:val="004874AA"/>
    <w:rsid w:val="0048751B"/>
    <w:rsid w:val="004876A6"/>
    <w:rsid w:val="0048772B"/>
    <w:rsid w:val="00487E1E"/>
    <w:rsid w:val="00487E91"/>
    <w:rsid w:val="0049023A"/>
    <w:rsid w:val="00490394"/>
    <w:rsid w:val="004903E1"/>
    <w:rsid w:val="004906C9"/>
    <w:rsid w:val="00490717"/>
    <w:rsid w:val="00490734"/>
    <w:rsid w:val="004909EC"/>
    <w:rsid w:val="00490A7C"/>
    <w:rsid w:val="00490FC2"/>
    <w:rsid w:val="00491428"/>
    <w:rsid w:val="004915A9"/>
    <w:rsid w:val="004917D8"/>
    <w:rsid w:val="00491B32"/>
    <w:rsid w:val="00491C43"/>
    <w:rsid w:val="00491D17"/>
    <w:rsid w:val="00491DCC"/>
    <w:rsid w:val="00491FC7"/>
    <w:rsid w:val="00491FF7"/>
    <w:rsid w:val="004920A1"/>
    <w:rsid w:val="004921E0"/>
    <w:rsid w:val="0049251D"/>
    <w:rsid w:val="00492CAA"/>
    <w:rsid w:val="00492DF5"/>
    <w:rsid w:val="00493112"/>
    <w:rsid w:val="004931D2"/>
    <w:rsid w:val="00493690"/>
    <w:rsid w:val="0049374C"/>
    <w:rsid w:val="004938E7"/>
    <w:rsid w:val="004939F3"/>
    <w:rsid w:val="00493DCC"/>
    <w:rsid w:val="00493FEC"/>
    <w:rsid w:val="00494127"/>
    <w:rsid w:val="004943B1"/>
    <w:rsid w:val="00494509"/>
    <w:rsid w:val="00494840"/>
    <w:rsid w:val="0049487E"/>
    <w:rsid w:val="00494A44"/>
    <w:rsid w:val="00494DFB"/>
    <w:rsid w:val="0049504E"/>
    <w:rsid w:val="004952C2"/>
    <w:rsid w:val="004952FD"/>
    <w:rsid w:val="00495C4C"/>
    <w:rsid w:val="00495D9B"/>
    <w:rsid w:val="00496188"/>
    <w:rsid w:val="004961C8"/>
    <w:rsid w:val="004962CF"/>
    <w:rsid w:val="0049640D"/>
    <w:rsid w:val="004965F2"/>
    <w:rsid w:val="0049681D"/>
    <w:rsid w:val="0049685D"/>
    <w:rsid w:val="004969B1"/>
    <w:rsid w:val="00496A3D"/>
    <w:rsid w:val="00496DC2"/>
    <w:rsid w:val="00496E26"/>
    <w:rsid w:val="004972EF"/>
    <w:rsid w:val="004975A7"/>
    <w:rsid w:val="0049778D"/>
    <w:rsid w:val="004977AA"/>
    <w:rsid w:val="004979EF"/>
    <w:rsid w:val="00497A3C"/>
    <w:rsid w:val="00497B47"/>
    <w:rsid w:val="00497DA4"/>
    <w:rsid w:val="004A01D2"/>
    <w:rsid w:val="004A0517"/>
    <w:rsid w:val="004A05F6"/>
    <w:rsid w:val="004A088C"/>
    <w:rsid w:val="004A08C7"/>
    <w:rsid w:val="004A0972"/>
    <w:rsid w:val="004A0A8A"/>
    <w:rsid w:val="004A0ABE"/>
    <w:rsid w:val="004A0C20"/>
    <w:rsid w:val="004A0E28"/>
    <w:rsid w:val="004A0E8C"/>
    <w:rsid w:val="004A0F8C"/>
    <w:rsid w:val="004A1151"/>
    <w:rsid w:val="004A1572"/>
    <w:rsid w:val="004A1660"/>
    <w:rsid w:val="004A16C3"/>
    <w:rsid w:val="004A1708"/>
    <w:rsid w:val="004A1833"/>
    <w:rsid w:val="004A1A0A"/>
    <w:rsid w:val="004A1D51"/>
    <w:rsid w:val="004A1EE4"/>
    <w:rsid w:val="004A1F0D"/>
    <w:rsid w:val="004A204F"/>
    <w:rsid w:val="004A2165"/>
    <w:rsid w:val="004A2271"/>
    <w:rsid w:val="004A227A"/>
    <w:rsid w:val="004A228C"/>
    <w:rsid w:val="004A2C04"/>
    <w:rsid w:val="004A2C92"/>
    <w:rsid w:val="004A2D57"/>
    <w:rsid w:val="004A2D76"/>
    <w:rsid w:val="004A2EC6"/>
    <w:rsid w:val="004A3095"/>
    <w:rsid w:val="004A335A"/>
    <w:rsid w:val="004A3437"/>
    <w:rsid w:val="004A35AD"/>
    <w:rsid w:val="004A35BE"/>
    <w:rsid w:val="004A35FC"/>
    <w:rsid w:val="004A37B2"/>
    <w:rsid w:val="004A3CDA"/>
    <w:rsid w:val="004A3EC8"/>
    <w:rsid w:val="004A3FB0"/>
    <w:rsid w:val="004A43A7"/>
    <w:rsid w:val="004A44EC"/>
    <w:rsid w:val="004A4504"/>
    <w:rsid w:val="004A45CA"/>
    <w:rsid w:val="004A4786"/>
    <w:rsid w:val="004A48D6"/>
    <w:rsid w:val="004A4CD6"/>
    <w:rsid w:val="004A5141"/>
    <w:rsid w:val="004A5253"/>
    <w:rsid w:val="004A52B3"/>
    <w:rsid w:val="004A545C"/>
    <w:rsid w:val="004A5563"/>
    <w:rsid w:val="004A55A6"/>
    <w:rsid w:val="004A57CC"/>
    <w:rsid w:val="004A5C81"/>
    <w:rsid w:val="004A5D5F"/>
    <w:rsid w:val="004A5D83"/>
    <w:rsid w:val="004A5E7A"/>
    <w:rsid w:val="004A5ED0"/>
    <w:rsid w:val="004A6062"/>
    <w:rsid w:val="004A61F1"/>
    <w:rsid w:val="004A626A"/>
    <w:rsid w:val="004A667E"/>
    <w:rsid w:val="004A6774"/>
    <w:rsid w:val="004A67D5"/>
    <w:rsid w:val="004A68B8"/>
    <w:rsid w:val="004A6D5C"/>
    <w:rsid w:val="004A6D6B"/>
    <w:rsid w:val="004A7033"/>
    <w:rsid w:val="004A7391"/>
    <w:rsid w:val="004A76F0"/>
    <w:rsid w:val="004A779F"/>
    <w:rsid w:val="004A799B"/>
    <w:rsid w:val="004A7ADB"/>
    <w:rsid w:val="004A7C76"/>
    <w:rsid w:val="004A7D0B"/>
    <w:rsid w:val="004A7D20"/>
    <w:rsid w:val="004A7E8C"/>
    <w:rsid w:val="004A7F3E"/>
    <w:rsid w:val="004B0170"/>
    <w:rsid w:val="004B044F"/>
    <w:rsid w:val="004B04F8"/>
    <w:rsid w:val="004B060D"/>
    <w:rsid w:val="004B07B2"/>
    <w:rsid w:val="004B080C"/>
    <w:rsid w:val="004B18FA"/>
    <w:rsid w:val="004B1918"/>
    <w:rsid w:val="004B1997"/>
    <w:rsid w:val="004B19F8"/>
    <w:rsid w:val="004B1A09"/>
    <w:rsid w:val="004B1E02"/>
    <w:rsid w:val="004B1ED0"/>
    <w:rsid w:val="004B1F1E"/>
    <w:rsid w:val="004B1FAD"/>
    <w:rsid w:val="004B2455"/>
    <w:rsid w:val="004B2613"/>
    <w:rsid w:val="004B2ADA"/>
    <w:rsid w:val="004B2F9B"/>
    <w:rsid w:val="004B3225"/>
    <w:rsid w:val="004B3287"/>
    <w:rsid w:val="004B32D0"/>
    <w:rsid w:val="004B35AE"/>
    <w:rsid w:val="004B35CF"/>
    <w:rsid w:val="004B3637"/>
    <w:rsid w:val="004B370B"/>
    <w:rsid w:val="004B3978"/>
    <w:rsid w:val="004B3A6C"/>
    <w:rsid w:val="004B3ADC"/>
    <w:rsid w:val="004B3BB3"/>
    <w:rsid w:val="004B3CAF"/>
    <w:rsid w:val="004B3CDA"/>
    <w:rsid w:val="004B3DD0"/>
    <w:rsid w:val="004B3FA6"/>
    <w:rsid w:val="004B4010"/>
    <w:rsid w:val="004B421B"/>
    <w:rsid w:val="004B4386"/>
    <w:rsid w:val="004B43CA"/>
    <w:rsid w:val="004B4451"/>
    <w:rsid w:val="004B4890"/>
    <w:rsid w:val="004B4980"/>
    <w:rsid w:val="004B4B9B"/>
    <w:rsid w:val="004B4E33"/>
    <w:rsid w:val="004B4EA8"/>
    <w:rsid w:val="004B5311"/>
    <w:rsid w:val="004B55CD"/>
    <w:rsid w:val="004B5669"/>
    <w:rsid w:val="004B56A6"/>
    <w:rsid w:val="004B56C4"/>
    <w:rsid w:val="004B56C9"/>
    <w:rsid w:val="004B5736"/>
    <w:rsid w:val="004B5768"/>
    <w:rsid w:val="004B5802"/>
    <w:rsid w:val="004B5A71"/>
    <w:rsid w:val="004B5DAA"/>
    <w:rsid w:val="004B5DE9"/>
    <w:rsid w:val="004B60B0"/>
    <w:rsid w:val="004B66E6"/>
    <w:rsid w:val="004B6822"/>
    <w:rsid w:val="004B699C"/>
    <w:rsid w:val="004B69A2"/>
    <w:rsid w:val="004B6C73"/>
    <w:rsid w:val="004B6EF5"/>
    <w:rsid w:val="004B6FA3"/>
    <w:rsid w:val="004B709B"/>
    <w:rsid w:val="004B70B4"/>
    <w:rsid w:val="004B71F2"/>
    <w:rsid w:val="004B76B9"/>
    <w:rsid w:val="004B799A"/>
    <w:rsid w:val="004B79A9"/>
    <w:rsid w:val="004C0074"/>
    <w:rsid w:val="004C00EF"/>
    <w:rsid w:val="004C01C7"/>
    <w:rsid w:val="004C0312"/>
    <w:rsid w:val="004C048F"/>
    <w:rsid w:val="004C0785"/>
    <w:rsid w:val="004C0831"/>
    <w:rsid w:val="004C09D9"/>
    <w:rsid w:val="004C09EC"/>
    <w:rsid w:val="004C0BDA"/>
    <w:rsid w:val="004C0C7D"/>
    <w:rsid w:val="004C0D3F"/>
    <w:rsid w:val="004C0DDD"/>
    <w:rsid w:val="004C0DEC"/>
    <w:rsid w:val="004C0F25"/>
    <w:rsid w:val="004C1223"/>
    <w:rsid w:val="004C1296"/>
    <w:rsid w:val="004C1601"/>
    <w:rsid w:val="004C16FA"/>
    <w:rsid w:val="004C18D4"/>
    <w:rsid w:val="004C19BE"/>
    <w:rsid w:val="004C1A6C"/>
    <w:rsid w:val="004C1C1C"/>
    <w:rsid w:val="004C2067"/>
    <w:rsid w:val="004C20C5"/>
    <w:rsid w:val="004C23B1"/>
    <w:rsid w:val="004C26A7"/>
    <w:rsid w:val="004C2AC5"/>
    <w:rsid w:val="004C2D63"/>
    <w:rsid w:val="004C2EA7"/>
    <w:rsid w:val="004C2EA8"/>
    <w:rsid w:val="004C2F73"/>
    <w:rsid w:val="004C2FBE"/>
    <w:rsid w:val="004C32CA"/>
    <w:rsid w:val="004C33FD"/>
    <w:rsid w:val="004C34FC"/>
    <w:rsid w:val="004C3593"/>
    <w:rsid w:val="004C3685"/>
    <w:rsid w:val="004C3707"/>
    <w:rsid w:val="004C3750"/>
    <w:rsid w:val="004C3941"/>
    <w:rsid w:val="004C3AAF"/>
    <w:rsid w:val="004C3AB9"/>
    <w:rsid w:val="004C3E66"/>
    <w:rsid w:val="004C4068"/>
    <w:rsid w:val="004C4256"/>
    <w:rsid w:val="004C44D5"/>
    <w:rsid w:val="004C4518"/>
    <w:rsid w:val="004C4633"/>
    <w:rsid w:val="004C46CF"/>
    <w:rsid w:val="004C47F2"/>
    <w:rsid w:val="004C48D6"/>
    <w:rsid w:val="004C490A"/>
    <w:rsid w:val="004C497C"/>
    <w:rsid w:val="004C4D38"/>
    <w:rsid w:val="004C4E44"/>
    <w:rsid w:val="004C4FCF"/>
    <w:rsid w:val="004C50C0"/>
    <w:rsid w:val="004C514B"/>
    <w:rsid w:val="004C5204"/>
    <w:rsid w:val="004C5749"/>
    <w:rsid w:val="004C5916"/>
    <w:rsid w:val="004C5A28"/>
    <w:rsid w:val="004C605A"/>
    <w:rsid w:val="004C61D3"/>
    <w:rsid w:val="004C6907"/>
    <w:rsid w:val="004C6D00"/>
    <w:rsid w:val="004C6DB1"/>
    <w:rsid w:val="004C75BD"/>
    <w:rsid w:val="004C7B78"/>
    <w:rsid w:val="004C7E06"/>
    <w:rsid w:val="004D0061"/>
    <w:rsid w:val="004D017A"/>
    <w:rsid w:val="004D022D"/>
    <w:rsid w:val="004D0535"/>
    <w:rsid w:val="004D059E"/>
    <w:rsid w:val="004D06C5"/>
    <w:rsid w:val="004D0AFD"/>
    <w:rsid w:val="004D0C00"/>
    <w:rsid w:val="004D0D55"/>
    <w:rsid w:val="004D0DAF"/>
    <w:rsid w:val="004D156C"/>
    <w:rsid w:val="004D1809"/>
    <w:rsid w:val="004D1AD9"/>
    <w:rsid w:val="004D1AEC"/>
    <w:rsid w:val="004D1C39"/>
    <w:rsid w:val="004D1C52"/>
    <w:rsid w:val="004D1C8A"/>
    <w:rsid w:val="004D1EB0"/>
    <w:rsid w:val="004D1F6E"/>
    <w:rsid w:val="004D1FFF"/>
    <w:rsid w:val="004D25D9"/>
    <w:rsid w:val="004D25EF"/>
    <w:rsid w:val="004D2A88"/>
    <w:rsid w:val="004D2C1C"/>
    <w:rsid w:val="004D2D21"/>
    <w:rsid w:val="004D2D23"/>
    <w:rsid w:val="004D2D35"/>
    <w:rsid w:val="004D2ED1"/>
    <w:rsid w:val="004D30AB"/>
    <w:rsid w:val="004D315B"/>
    <w:rsid w:val="004D317C"/>
    <w:rsid w:val="004D3240"/>
    <w:rsid w:val="004D3414"/>
    <w:rsid w:val="004D34C7"/>
    <w:rsid w:val="004D36ED"/>
    <w:rsid w:val="004D37C9"/>
    <w:rsid w:val="004D3802"/>
    <w:rsid w:val="004D392D"/>
    <w:rsid w:val="004D3958"/>
    <w:rsid w:val="004D3B39"/>
    <w:rsid w:val="004D3C6B"/>
    <w:rsid w:val="004D3D2F"/>
    <w:rsid w:val="004D3FFA"/>
    <w:rsid w:val="004D4420"/>
    <w:rsid w:val="004D442E"/>
    <w:rsid w:val="004D44FD"/>
    <w:rsid w:val="004D4694"/>
    <w:rsid w:val="004D4909"/>
    <w:rsid w:val="004D4C31"/>
    <w:rsid w:val="004D4CA5"/>
    <w:rsid w:val="004D4CE1"/>
    <w:rsid w:val="004D4CFD"/>
    <w:rsid w:val="004D5082"/>
    <w:rsid w:val="004D53F7"/>
    <w:rsid w:val="004D5794"/>
    <w:rsid w:val="004D5914"/>
    <w:rsid w:val="004D5CFF"/>
    <w:rsid w:val="004D5EE1"/>
    <w:rsid w:val="004D61D1"/>
    <w:rsid w:val="004D61DF"/>
    <w:rsid w:val="004D6560"/>
    <w:rsid w:val="004D67CC"/>
    <w:rsid w:val="004D6D26"/>
    <w:rsid w:val="004D722B"/>
    <w:rsid w:val="004D7237"/>
    <w:rsid w:val="004D72FF"/>
    <w:rsid w:val="004D7300"/>
    <w:rsid w:val="004D73DC"/>
    <w:rsid w:val="004D74E6"/>
    <w:rsid w:val="004D751F"/>
    <w:rsid w:val="004D76E4"/>
    <w:rsid w:val="004D7930"/>
    <w:rsid w:val="004D7D13"/>
    <w:rsid w:val="004D7DA4"/>
    <w:rsid w:val="004D7F39"/>
    <w:rsid w:val="004E0168"/>
    <w:rsid w:val="004E0528"/>
    <w:rsid w:val="004E05A4"/>
    <w:rsid w:val="004E070C"/>
    <w:rsid w:val="004E0948"/>
    <w:rsid w:val="004E0AC3"/>
    <w:rsid w:val="004E0ACC"/>
    <w:rsid w:val="004E1199"/>
    <w:rsid w:val="004E1276"/>
    <w:rsid w:val="004E164B"/>
    <w:rsid w:val="004E1A6C"/>
    <w:rsid w:val="004E1B73"/>
    <w:rsid w:val="004E1B95"/>
    <w:rsid w:val="004E1DA9"/>
    <w:rsid w:val="004E2217"/>
    <w:rsid w:val="004E22F8"/>
    <w:rsid w:val="004E2337"/>
    <w:rsid w:val="004E25BF"/>
    <w:rsid w:val="004E270F"/>
    <w:rsid w:val="004E275A"/>
    <w:rsid w:val="004E28AF"/>
    <w:rsid w:val="004E2959"/>
    <w:rsid w:val="004E2995"/>
    <w:rsid w:val="004E2B3E"/>
    <w:rsid w:val="004E2C24"/>
    <w:rsid w:val="004E2D4F"/>
    <w:rsid w:val="004E2E4D"/>
    <w:rsid w:val="004E2EF9"/>
    <w:rsid w:val="004E2F05"/>
    <w:rsid w:val="004E2F53"/>
    <w:rsid w:val="004E3023"/>
    <w:rsid w:val="004E310F"/>
    <w:rsid w:val="004E311C"/>
    <w:rsid w:val="004E3230"/>
    <w:rsid w:val="004E3525"/>
    <w:rsid w:val="004E3BF3"/>
    <w:rsid w:val="004E3D8E"/>
    <w:rsid w:val="004E3DAA"/>
    <w:rsid w:val="004E3EC2"/>
    <w:rsid w:val="004E4339"/>
    <w:rsid w:val="004E43C5"/>
    <w:rsid w:val="004E4658"/>
    <w:rsid w:val="004E4771"/>
    <w:rsid w:val="004E48F2"/>
    <w:rsid w:val="004E49A4"/>
    <w:rsid w:val="004E4B10"/>
    <w:rsid w:val="004E4BD4"/>
    <w:rsid w:val="004E4C5C"/>
    <w:rsid w:val="004E4E06"/>
    <w:rsid w:val="004E5182"/>
    <w:rsid w:val="004E52C4"/>
    <w:rsid w:val="004E5311"/>
    <w:rsid w:val="004E535A"/>
    <w:rsid w:val="004E5709"/>
    <w:rsid w:val="004E57FE"/>
    <w:rsid w:val="004E5A44"/>
    <w:rsid w:val="004E5CD0"/>
    <w:rsid w:val="004E5D1F"/>
    <w:rsid w:val="004E611E"/>
    <w:rsid w:val="004E65C0"/>
    <w:rsid w:val="004E6AB8"/>
    <w:rsid w:val="004E6D29"/>
    <w:rsid w:val="004E714F"/>
    <w:rsid w:val="004E727A"/>
    <w:rsid w:val="004E74CA"/>
    <w:rsid w:val="004E773C"/>
    <w:rsid w:val="004E7B40"/>
    <w:rsid w:val="004E7CE4"/>
    <w:rsid w:val="004E7D1E"/>
    <w:rsid w:val="004E7E03"/>
    <w:rsid w:val="004E7F0E"/>
    <w:rsid w:val="004F0427"/>
    <w:rsid w:val="004F053E"/>
    <w:rsid w:val="004F0606"/>
    <w:rsid w:val="004F0A41"/>
    <w:rsid w:val="004F0F23"/>
    <w:rsid w:val="004F15C7"/>
    <w:rsid w:val="004F1688"/>
    <w:rsid w:val="004F18A9"/>
    <w:rsid w:val="004F1906"/>
    <w:rsid w:val="004F1A9F"/>
    <w:rsid w:val="004F1C93"/>
    <w:rsid w:val="004F1EB4"/>
    <w:rsid w:val="004F20BD"/>
    <w:rsid w:val="004F20D0"/>
    <w:rsid w:val="004F2323"/>
    <w:rsid w:val="004F2399"/>
    <w:rsid w:val="004F2772"/>
    <w:rsid w:val="004F2968"/>
    <w:rsid w:val="004F2A65"/>
    <w:rsid w:val="004F2B77"/>
    <w:rsid w:val="004F2BD6"/>
    <w:rsid w:val="004F2CE9"/>
    <w:rsid w:val="004F2FA3"/>
    <w:rsid w:val="004F31B0"/>
    <w:rsid w:val="004F3343"/>
    <w:rsid w:val="004F35F0"/>
    <w:rsid w:val="004F3634"/>
    <w:rsid w:val="004F369E"/>
    <w:rsid w:val="004F37E6"/>
    <w:rsid w:val="004F38D2"/>
    <w:rsid w:val="004F3985"/>
    <w:rsid w:val="004F3B48"/>
    <w:rsid w:val="004F3C6E"/>
    <w:rsid w:val="004F3C7C"/>
    <w:rsid w:val="004F4115"/>
    <w:rsid w:val="004F42D2"/>
    <w:rsid w:val="004F4CE0"/>
    <w:rsid w:val="004F4EB1"/>
    <w:rsid w:val="004F5387"/>
    <w:rsid w:val="004F5864"/>
    <w:rsid w:val="004F5BB9"/>
    <w:rsid w:val="004F5D30"/>
    <w:rsid w:val="004F5DAA"/>
    <w:rsid w:val="004F5F25"/>
    <w:rsid w:val="004F619A"/>
    <w:rsid w:val="004F626A"/>
    <w:rsid w:val="004F6284"/>
    <w:rsid w:val="004F6395"/>
    <w:rsid w:val="004F6437"/>
    <w:rsid w:val="004F65EF"/>
    <w:rsid w:val="004F6875"/>
    <w:rsid w:val="004F699D"/>
    <w:rsid w:val="004F6A09"/>
    <w:rsid w:val="004F6CA9"/>
    <w:rsid w:val="004F6CB7"/>
    <w:rsid w:val="004F6E38"/>
    <w:rsid w:val="004F6E63"/>
    <w:rsid w:val="004F6EB2"/>
    <w:rsid w:val="004F7029"/>
    <w:rsid w:val="004F7270"/>
    <w:rsid w:val="004F732C"/>
    <w:rsid w:val="004F7389"/>
    <w:rsid w:val="004F7614"/>
    <w:rsid w:val="004F76F4"/>
    <w:rsid w:val="004F778B"/>
    <w:rsid w:val="004F77A1"/>
    <w:rsid w:val="004F7B26"/>
    <w:rsid w:val="004F7C6B"/>
    <w:rsid w:val="004F7D77"/>
    <w:rsid w:val="004F7EAC"/>
    <w:rsid w:val="00500014"/>
    <w:rsid w:val="00500018"/>
    <w:rsid w:val="00500155"/>
    <w:rsid w:val="0050018A"/>
    <w:rsid w:val="00500490"/>
    <w:rsid w:val="00500618"/>
    <w:rsid w:val="0050085F"/>
    <w:rsid w:val="0050095F"/>
    <w:rsid w:val="00500AB1"/>
    <w:rsid w:val="00500B10"/>
    <w:rsid w:val="00500D3A"/>
    <w:rsid w:val="005010E3"/>
    <w:rsid w:val="005011BA"/>
    <w:rsid w:val="0050128B"/>
    <w:rsid w:val="005012C4"/>
    <w:rsid w:val="005012E1"/>
    <w:rsid w:val="00501452"/>
    <w:rsid w:val="0050148C"/>
    <w:rsid w:val="00501536"/>
    <w:rsid w:val="00501EE6"/>
    <w:rsid w:val="00502070"/>
    <w:rsid w:val="0050207A"/>
    <w:rsid w:val="00502216"/>
    <w:rsid w:val="00502589"/>
    <w:rsid w:val="00502644"/>
    <w:rsid w:val="00502BCE"/>
    <w:rsid w:val="00502C8C"/>
    <w:rsid w:val="00502E3D"/>
    <w:rsid w:val="00502EC2"/>
    <w:rsid w:val="0050305C"/>
    <w:rsid w:val="005031BD"/>
    <w:rsid w:val="005031C7"/>
    <w:rsid w:val="0050328C"/>
    <w:rsid w:val="0050329C"/>
    <w:rsid w:val="005034E4"/>
    <w:rsid w:val="0050375F"/>
    <w:rsid w:val="00503A3C"/>
    <w:rsid w:val="00503D5D"/>
    <w:rsid w:val="0050435F"/>
    <w:rsid w:val="005046E1"/>
    <w:rsid w:val="00504973"/>
    <w:rsid w:val="00504AA5"/>
    <w:rsid w:val="00504B10"/>
    <w:rsid w:val="00504B62"/>
    <w:rsid w:val="00504E84"/>
    <w:rsid w:val="005058FB"/>
    <w:rsid w:val="00506430"/>
    <w:rsid w:val="005064AD"/>
    <w:rsid w:val="005064B7"/>
    <w:rsid w:val="00506598"/>
    <w:rsid w:val="00506610"/>
    <w:rsid w:val="00506889"/>
    <w:rsid w:val="00506B00"/>
    <w:rsid w:val="00506B30"/>
    <w:rsid w:val="005071AD"/>
    <w:rsid w:val="00507537"/>
    <w:rsid w:val="00507617"/>
    <w:rsid w:val="005076BB"/>
    <w:rsid w:val="005077E9"/>
    <w:rsid w:val="00507CE4"/>
    <w:rsid w:val="00510299"/>
    <w:rsid w:val="005109C6"/>
    <w:rsid w:val="00510A3C"/>
    <w:rsid w:val="00510E28"/>
    <w:rsid w:val="00510E5C"/>
    <w:rsid w:val="00510E7F"/>
    <w:rsid w:val="00510EF6"/>
    <w:rsid w:val="0051106C"/>
    <w:rsid w:val="00511156"/>
    <w:rsid w:val="00511252"/>
    <w:rsid w:val="005112E6"/>
    <w:rsid w:val="0051131E"/>
    <w:rsid w:val="005113A5"/>
    <w:rsid w:val="00511401"/>
    <w:rsid w:val="00511482"/>
    <w:rsid w:val="00511657"/>
    <w:rsid w:val="00511700"/>
    <w:rsid w:val="005119B1"/>
    <w:rsid w:val="00511BD0"/>
    <w:rsid w:val="00511C1D"/>
    <w:rsid w:val="00511EA9"/>
    <w:rsid w:val="00512045"/>
    <w:rsid w:val="00512073"/>
    <w:rsid w:val="00512093"/>
    <w:rsid w:val="005120C7"/>
    <w:rsid w:val="00512306"/>
    <w:rsid w:val="00512441"/>
    <w:rsid w:val="00512779"/>
    <w:rsid w:val="0051291C"/>
    <w:rsid w:val="0051298F"/>
    <w:rsid w:val="00512ED0"/>
    <w:rsid w:val="00512F77"/>
    <w:rsid w:val="0051336C"/>
    <w:rsid w:val="005133E5"/>
    <w:rsid w:val="005134E0"/>
    <w:rsid w:val="00513537"/>
    <w:rsid w:val="005137A2"/>
    <w:rsid w:val="005139F7"/>
    <w:rsid w:val="0051421E"/>
    <w:rsid w:val="0051442F"/>
    <w:rsid w:val="005148CE"/>
    <w:rsid w:val="00514B78"/>
    <w:rsid w:val="00514B7D"/>
    <w:rsid w:val="00514C55"/>
    <w:rsid w:val="005151DE"/>
    <w:rsid w:val="0051531E"/>
    <w:rsid w:val="00515616"/>
    <w:rsid w:val="0051579C"/>
    <w:rsid w:val="005158EC"/>
    <w:rsid w:val="0051590B"/>
    <w:rsid w:val="00515C05"/>
    <w:rsid w:val="00515C64"/>
    <w:rsid w:val="00515CC6"/>
    <w:rsid w:val="00515E34"/>
    <w:rsid w:val="00515EAD"/>
    <w:rsid w:val="00516113"/>
    <w:rsid w:val="00516222"/>
    <w:rsid w:val="005167B3"/>
    <w:rsid w:val="0051696A"/>
    <w:rsid w:val="0051698F"/>
    <w:rsid w:val="00516EB9"/>
    <w:rsid w:val="00516F43"/>
    <w:rsid w:val="00517073"/>
    <w:rsid w:val="005171AF"/>
    <w:rsid w:val="00517321"/>
    <w:rsid w:val="0051736A"/>
    <w:rsid w:val="005174A3"/>
    <w:rsid w:val="00517654"/>
    <w:rsid w:val="005176B4"/>
    <w:rsid w:val="00517916"/>
    <w:rsid w:val="00517B35"/>
    <w:rsid w:val="00517D06"/>
    <w:rsid w:val="00517EB8"/>
    <w:rsid w:val="00517ED6"/>
    <w:rsid w:val="0051B24D"/>
    <w:rsid w:val="0051E3F2"/>
    <w:rsid w:val="005200DE"/>
    <w:rsid w:val="00520302"/>
    <w:rsid w:val="0052044E"/>
    <w:rsid w:val="0052054D"/>
    <w:rsid w:val="005207DA"/>
    <w:rsid w:val="00520A2B"/>
    <w:rsid w:val="00520AAA"/>
    <w:rsid w:val="00521168"/>
    <w:rsid w:val="00521693"/>
    <w:rsid w:val="0052176D"/>
    <w:rsid w:val="00521904"/>
    <w:rsid w:val="00521BFE"/>
    <w:rsid w:val="00521E33"/>
    <w:rsid w:val="00521F0A"/>
    <w:rsid w:val="0052209E"/>
    <w:rsid w:val="00522185"/>
    <w:rsid w:val="005225D9"/>
    <w:rsid w:val="0052273C"/>
    <w:rsid w:val="00522921"/>
    <w:rsid w:val="00522A7C"/>
    <w:rsid w:val="00522DC8"/>
    <w:rsid w:val="00522E63"/>
    <w:rsid w:val="00522ED1"/>
    <w:rsid w:val="00522F5A"/>
    <w:rsid w:val="0052312F"/>
    <w:rsid w:val="005231EA"/>
    <w:rsid w:val="00523561"/>
    <w:rsid w:val="0052370C"/>
    <w:rsid w:val="005239DB"/>
    <w:rsid w:val="00523AB2"/>
    <w:rsid w:val="00523CF5"/>
    <w:rsid w:val="00523F02"/>
    <w:rsid w:val="00524138"/>
    <w:rsid w:val="00524166"/>
    <w:rsid w:val="005241F8"/>
    <w:rsid w:val="0052457A"/>
    <w:rsid w:val="0052465C"/>
    <w:rsid w:val="005246A7"/>
    <w:rsid w:val="00524AC2"/>
    <w:rsid w:val="00524C0D"/>
    <w:rsid w:val="00524CC0"/>
    <w:rsid w:val="00524D71"/>
    <w:rsid w:val="00524E91"/>
    <w:rsid w:val="00524F58"/>
    <w:rsid w:val="00524FC9"/>
    <w:rsid w:val="005250E0"/>
    <w:rsid w:val="00525218"/>
    <w:rsid w:val="005254FE"/>
    <w:rsid w:val="0052551F"/>
    <w:rsid w:val="005259D3"/>
    <w:rsid w:val="00525A24"/>
    <w:rsid w:val="00525B97"/>
    <w:rsid w:val="00525C3E"/>
    <w:rsid w:val="00525FA1"/>
    <w:rsid w:val="005260E9"/>
    <w:rsid w:val="0052628F"/>
    <w:rsid w:val="005262DF"/>
    <w:rsid w:val="00526304"/>
    <w:rsid w:val="00526383"/>
    <w:rsid w:val="005263A7"/>
    <w:rsid w:val="005267F0"/>
    <w:rsid w:val="00526A05"/>
    <w:rsid w:val="00526C62"/>
    <w:rsid w:val="00526E5E"/>
    <w:rsid w:val="00526F34"/>
    <w:rsid w:val="005272FC"/>
    <w:rsid w:val="00527518"/>
    <w:rsid w:val="00527859"/>
    <w:rsid w:val="00527C32"/>
    <w:rsid w:val="00527E13"/>
    <w:rsid w:val="00527E66"/>
    <w:rsid w:val="00527EDC"/>
    <w:rsid w:val="005304EF"/>
    <w:rsid w:val="005304F6"/>
    <w:rsid w:val="0053050C"/>
    <w:rsid w:val="005305AE"/>
    <w:rsid w:val="005306DA"/>
    <w:rsid w:val="0053071B"/>
    <w:rsid w:val="00530741"/>
    <w:rsid w:val="005308FE"/>
    <w:rsid w:val="005309E8"/>
    <w:rsid w:val="00530AE9"/>
    <w:rsid w:val="00530B05"/>
    <w:rsid w:val="00530BB3"/>
    <w:rsid w:val="00530BB8"/>
    <w:rsid w:val="00530DC7"/>
    <w:rsid w:val="00530F6C"/>
    <w:rsid w:val="005313AF"/>
    <w:rsid w:val="005313F5"/>
    <w:rsid w:val="005316EA"/>
    <w:rsid w:val="005318AE"/>
    <w:rsid w:val="00531DB7"/>
    <w:rsid w:val="00531DDB"/>
    <w:rsid w:val="00531E4D"/>
    <w:rsid w:val="005322F5"/>
    <w:rsid w:val="00532373"/>
    <w:rsid w:val="005325BE"/>
    <w:rsid w:val="00532635"/>
    <w:rsid w:val="00532717"/>
    <w:rsid w:val="00532832"/>
    <w:rsid w:val="0053285F"/>
    <w:rsid w:val="00532CB4"/>
    <w:rsid w:val="0053332F"/>
    <w:rsid w:val="0053339C"/>
    <w:rsid w:val="005335FC"/>
    <w:rsid w:val="00533688"/>
    <w:rsid w:val="00533A5E"/>
    <w:rsid w:val="00533EA8"/>
    <w:rsid w:val="00533ED3"/>
    <w:rsid w:val="00534046"/>
    <w:rsid w:val="0053448B"/>
    <w:rsid w:val="00534758"/>
    <w:rsid w:val="00534800"/>
    <w:rsid w:val="00534B69"/>
    <w:rsid w:val="00534CB8"/>
    <w:rsid w:val="00534DA2"/>
    <w:rsid w:val="00534EBB"/>
    <w:rsid w:val="005352C2"/>
    <w:rsid w:val="005353DA"/>
    <w:rsid w:val="005354D8"/>
    <w:rsid w:val="00535587"/>
    <w:rsid w:val="00535AD2"/>
    <w:rsid w:val="005362F2"/>
    <w:rsid w:val="00536380"/>
    <w:rsid w:val="005363E1"/>
    <w:rsid w:val="005364C5"/>
    <w:rsid w:val="005364D9"/>
    <w:rsid w:val="005364E3"/>
    <w:rsid w:val="005366F1"/>
    <w:rsid w:val="005367C1"/>
    <w:rsid w:val="00536CA8"/>
    <w:rsid w:val="00536D0C"/>
    <w:rsid w:val="00536E05"/>
    <w:rsid w:val="00536ED8"/>
    <w:rsid w:val="0053722B"/>
    <w:rsid w:val="0053723A"/>
    <w:rsid w:val="00537639"/>
    <w:rsid w:val="005378AE"/>
    <w:rsid w:val="00537A7C"/>
    <w:rsid w:val="00537E63"/>
    <w:rsid w:val="00540392"/>
    <w:rsid w:val="0054039E"/>
    <w:rsid w:val="005405AA"/>
    <w:rsid w:val="00540C32"/>
    <w:rsid w:val="00540E4C"/>
    <w:rsid w:val="005412ED"/>
    <w:rsid w:val="00541367"/>
    <w:rsid w:val="00541489"/>
    <w:rsid w:val="00541878"/>
    <w:rsid w:val="00541C6C"/>
    <w:rsid w:val="00541DF1"/>
    <w:rsid w:val="00541DFA"/>
    <w:rsid w:val="00541E9E"/>
    <w:rsid w:val="00541EE6"/>
    <w:rsid w:val="00541F8D"/>
    <w:rsid w:val="005420DE"/>
    <w:rsid w:val="00542152"/>
    <w:rsid w:val="0054215D"/>
    <w:rsid w:val="00542230"/>
    <w:rsid w:val="0054223E"/>
    <w:rsid w:val="00542278"/>
    <w:rsid w:val="005423F6"/>
    <w:rsid w:val="005423FC"/>
    <w:rsid w:val="005427E2"/>
    <w:rsid w:val="00542849"/>
    <w:rsid w:val="005429F6"/>
    <w:rsid w:val="00542D4D"/>
    <w:rsid w:val="00542DE2"/>
    <w:rsid w:val="005431AF"/>
    <w:rsid w:val="00543312"/>
    <w:rsid w:val="00543370"/>
    <w:rsid w:val="00543517"/>
    <w:rsid w:val="005435C8"/>
    <w:rsid w:val="0054388A"/>
    <w:rsid w:val="00543A0A"/>
    <w:rsid w:val="00543BC6"/>
    <w:rsid w:val="00543C85"/>
    <w:rsid w:val="00543D70"/>
    <w:rsid w:val="00543FCF"/>
    <w:rsid w:val="0054400F"/>
    <w:rsid w:val="0054432C"/>
    <w:rsid w:val="00544485"/>
    <w:rsid w:val="0054470A"/>
    <w:rsid w:val="00544906"/>
    <w:rsid w:val="00544951"/>
    <w:rsid w:val="00544BB8"/>
    <w:rsid w:val="00544BED"/>
    <w:rsid w:val="00544D79"/>
    <w:rsid w:val="00544FFB"/>
    <w:rsid w:val="00545150"/>
    <w:rsid w:val="00545198"/>
    <w:rsid w:val="005453D6"/>
    <w:rsid w:val="00545525"/>
    <w:rsid w:val="0054562C"/>
    <w:rsid w:val="00545712"/>
    <w:rsid w:val="00545779"/>
    <w:rsid w:val="00545784"/>
    <w:rsid w:val="00545846"/>
    <w:rsid w:val="00545857"/>
    <w:rsid w:val="0054596E"/>
    <w:rsid w:val="00545A72"/>
    <w:rsid w:val="00545D91"/>
    <w:rsid w:val="005460DA"/>
    <w:rsid w:val="005462B3"/>
    <w:rsid w:val="0054640F"/>
    <w:rsid w:val="00546523"/>
    <w:rsid w:val="005465C7"/>
    <w:rsid w:val="005465DF"/>
    <w:rsid w:val="00546600"/>
    <w:rsid w:val="00546631"/>
    <w:rsid w:val="00546876"/>
    <w:rsid w:val="00546D4C"/>
    <w:rsid w:val="00546D81"/>
    <w:rsid w:val="00546EE4"/>
    <w:rsid w:val="0054700A"/>
    <w:rsid w:val="0054718D"/>
    <w:rsid w:val="00547593"/>
    <w:rsid w:val="005475E8"/>
    <w:rsid w:val="00547970"/>
    <w:rsid w:val="00547A68"/>
    <w:rsid w:val="00547D1C"/>
    <w:rsid w:val="00547DCD"/>
    <w:rsid w:val="00547DE0"/>
    <w:rsid w:val="00547E37"/>
    <w:rsid w:val="00547E5F"/>
    <w:rsid w:val="00547E8A"/>
    <w:rsid w:val="005500DE"/>
    <w:rsid w:val="0055059B"/>
    <w:rsid w:val="0055078C"/>
    <w:rsid w:val="005507CC"/>
    <w:rsid w:val="00550A6E"/>
    <w:rsid w:val="00550DA9"/>
    <w:rsid w:val="005511CF"/>
    <w:rsid w:val="00551545"/>
    <w:rsid w:val="005516B1"/>
    <w:rsid w:val="00551AFF"/>
    <w:rsid w:val="00551B15"/>
    <w:rsid w:val="00551E30"/>
    <w:rsid w:val="0055230F"/>
    <w:rsid w:val="005526C3"/>
    <w:rsid w:val="0055276D"/>
    <w:rsid w:val="00552995"/>
    <w:rsid w:val="00553135"/>
    <w:rsid w:val="00553653"/>
    <w:rsid w:val="0055377A"/>
    <w:rsid w:val="00553922"/>
    <w:rsid w:val="00553ACB"/>
    <w:rsid w:val="00553C0B"/>
    <w:rsid w:val="0055412B"/>
    <w:rsid w:val="005541AB"/>
    <w:rsid w:val="005541B9"/>
    <w:rsid w:val="00554359"/>
    <w:rsid w:val="005543AC"/>
    <w:rsid w:val="00554414"/>
    <w:rsid w:val="00554618"/>
    <w:rsid w:val="005548FD"/>
    <w:rsid w:val="00554971"/>
    <w:rsid w:val="00554A84"/>
    <w:rsid w:val="00554F31"/>
    <w:rsid w:val="00555035"/>
    <w:rsid w:val="00555200"/>
    <w:rsid w:val="0055562A"/>
    <w:rsid w:val="00555942"/>
    <w:rsid w:val="00555B7D"/>
    <w:rsid w:val="00555DBC"/>
    <w:rsid w:val="0055607E"/>
    <w:rsid w:val="005561FE"/>
    <w:rsid w:val="0055632A"/>
    <w:rsid w:val="005563C7"/>
    <w:rsid w:val="00556598"/>
    <w:rsid w:val="00556788"/>
    <w:rsid w:val="005567AB"/>
    <w:rsid w:val="005567FF"/>
    <w:rsid w:val="0055681D"/>
    <w:rsid w:val="0055687C"/>
    <w:rsid w:val="005568F4"/>
    <w:rsid w:val="00556D0D"/>
    <w:rsid w:val="00556F13"/>
    <w:rsid w:val="00556F5C"/>
    <w:rsid w:val="00556F62"/>
    <w:rsid w:val="005573A5"/>
    <w:rsid w:val="005573C4"/>
    <w:rsid w:val="00557415"/>
    <w:rsid w:val="00557813"/>
    <w:rsid w:val="00557D92"/>
    <w:rsid w:val="00557F98"/>
    <w:rsid w:val="0056001A"/>
    <w:rsid w:val="0056017A"/>
    <w:rsid w:val="005605B9"/>
    <w:rsid w:val="005605D5"/>
    <w:rsid w:val="005607CD"/>
    <w:rsid w:val="005608DA"/>
    <w:rsid w:val="00560A8A"/>
    <w:rsid w:val="00560BF3"/>
    <w:rsid w:val="00560E1A"/>
    <w:rsid w:val="0056120C"/>
    <w:rsid w:val="005613F4"/>
    <w:rsid w:val="00561AF9"/>
    <w:rsid w:val="00561DDC"/>
    <w:rsid w:val="005621AC"/>
    <w:rsid w:val="0056220E"/>
    <w:rsid w:val="005622C6"/>
    <w:rsid w:val="00562397"/>
    <w:rsid w:val="00562628"/>
    <w:rsid w:val="00562757"/>
    <w:rsid w:val="005627C3"/>
    <w:rsid w:val="005629D7"/>
    <w:rsid w:val="00562A4F"/>
    <w:rsid w:val="00562DA5"/>
    <w:rsid w:val="00562DB3"/>
    <w:rsid w:val="00562E21"/>
    <w:rsid w:val="00563049"/>
    <w:rsid w:val="0056312E"/>
    <w:rsid w:val="0056345D"/>
    <w:rsid w:val="00563572"/>
    <w:rsid w:val="00563BB6"/>
    <w:rsid w:val="00563C39"/>
    <w:rsid w:val="00563C5C"/>
    <w:rsid w:val="00563DA8"/>
    <w:rsid w:val="00563DDA"/>
    <w:rsid w:val="00563F8E"/>
    <w:rsid w:val="005640D7"/>
    <w:rsid w:val="00564178"/>
    <w:rsid w:val="0056430B"/>
    <w:rsid w:val="00564464"/>
    <w:rsid w:val="005646DD"/>
    <w:rsid w:val="00564866"/>
    <w:rsid w:val="005648F9"/>
    <w:rsid w:val="00564928"/>
    <w:rsid w:val="00564C72"/>
    <w:rsid w:val="00565383"/>
    <w:rsid w:val="00565460"/>
    <w:rsid w:val="00565835"/>
    <w:rsid w:val="00565D42"/>
    <w:rsid w:val="00565D51"/>
    <w:rsid w:val="00565F90"/>
    <w:rsid w:val="00566192"/>
    <w:rsid w:val="005666DF"/>
    <w:rsid w:val="00566F48"/>
    <w:rsid w:val="0056714E"/>
    <w:rsid w:val="0056734D"/>
    <w:rsid w:val="005673B1"/>
    <w:rsid w:val="00567501"/>
    <w:rsid w:val="00567598"/>
    <w:rsid w:val="00567623"/>
    <w:rsid w:val="005676EB"/>
    <w:rsid w:val="0056777F"/>
    <w:rsid w:val="005678CD"/>
    <w:rsid w:val="00567C49"/>
    <w:rsid w:val="00567FE5"/>
    <w:rsid w:val="005700A6"/>
    <w:rsid w:val="00570186"/>
    <w:rsid w:val="005701F9"/>
    <w:rsid w:val="005702D9"/>
    <w:rsid w:val="005705DF"/>
    <w:rsid w:val="0057088E"/>
    <w:rsid w:val="00570912"/>
    <w:rsid w:val="00570BA7"/>
    <w:rsid w:val="00571018"/>
    <w:rsid w:val="0057115B"/>
    <w:rsid w:val="00571190"/>
    <w:rsid w:val="005714DC"/>
    <w:rsid w:val="005717DE"/>
    <w:rsid w:val="00571B29"/>
    <w:rsid w:val="00571C95"/>
    <w:rsid w:val="00571DDA"/>
    <w:rsid w:val="00571F2D"/>
    <w:rsid w:val="0057204E"/>
    <w:rsid w:val="0057230E"/>
    <w:rsid w:val="00572382"/>
    <w:rsid w:val="005723C7"/>
    <w:rsid w:val="00572491"/>
    <w:rsid w:val="005724D9"/>
    <w:rsid w:val="00572972"/>
    <w:rsid w:val="00572A2E"/>
    <w:rsid w:val="00572BE8"/>
    <w:rsid w:val="00572C21"/>
    <w:rsid w:val="00572D36"/>
    <w:rsid w:val="00572F89"/>
    <w:rsid w:val="00572FF9"/>
    <w:rsid w:val="005732E9"/>
    <w:rsid w:val="0057338C"/>
    <w:rsid w:val="005734CC"/>
    <w:rsid w:val="00573526"/>
    <w:rsid w:val="005739E4"/>
    <w:rsid w:val="00573AEA"/>
    <w:rsid w:val="00573D40"/>
    <w:rsid w:val="00573D84"/>
    <w:rsid w:val="00573DB3"/>
    <w:rsid w:val="005742FB"/>
    <w:rsid w:val="00574355"/>
    <w:rsid w:val="005743BF"/>
    <w:rsid w:val="005743F7"/>
    <w:rsid w:val="00574444"/>
    <w:rsid w:val="005744DC"/>
    <w:rsid w:val="005746ED"/>
    <w:rsid w:val="0057479B"/>
    <w:rsid w:val="005748AA"/>
    <w:rsid w:val="00574A91"/>
    <w:rsid w:val="00574A93"/>
    <w:rsid w:val="00574F98"/>
    <w:rsid w:val="005750DE"/>
    <w:rsid w:val="0057517F"/>
    <w:rsid w:val="0057535E"/>
    <w:rsid w:val="005754C8"/>
    <w:rsid w:val="005756EE"/>
    <w:rsid w:val="00575714"/>
    <w:rsid w:val="00575C36"/>
    <w:rsid w:val="00575DBC"/>
    <w:rsid w:val="00575F3B"/>
    <w:rsid w:val="00576052"/>
    <w:rsid w:val="0057620C"/>
    <w:rsid w:val="005762AB"/>
    <w:rsid w:val="005762B0"/>
    <w:rsid w:val="00576578"/>
    <w:rsid w:val="0057697E"/>
    <w:rsid w:val="00576988"/>
    <w:rsid w:val="00576DCD"/>
    <w:rsid w:val="00576EFF"/>
    <w:rsid w:val="0057701B"/>
    <w:rsid w:val="00577065"/>
    <w:rsid w:val="00577121"/>
    <w:rsid w:val="0057716A"/>
    <w:rsid w:val="0057727B"/>
    <w:rsid w:val="00577524"/>
    <w:rsid w:val="00577551"/>
    <w:rsid w:val="005776EE"/>
    <w:rsid w:val="00577DE5"/>
    <w:rsid w:val="005807BA"/>
    <w:rsid w:val="0058080D"/>
    <w:rsid w:val="00580B25"/>
    <w:rsid w:val="00580C1F"/>
    <w:rsid w:val="00581520"/>
    <w:rsid w:val="005816AB"/>
    <w:rsid w:val="0058172B"/>
    <w:rsid w:val="005817C4"/>
    <w:rsid w:val="00581C1B"/>
    <w:rsid w:val="00581D8F"/>
    <w:rsid w:val="005824B1"/>
    <w:rsid w:val="00582533"/>
    <w:rsid w:val="00582815"/>
    <w:rsid w:val="00582899"/>
    <w:rsid w:val="005828B6"/>
    <w:rsid w:val="00582BAD"/>
    <w:rsid w:val="00582E38"/>
    <w:rsid w:val="00583008"/>
    <w:rsid w:val="005832A7"/>
    <w:rsid w:val="00583355"/>
    <w:rsid w:val="00583555"/>
    <w:rsid w:val="0058364E"/>
    <w:rsid w:val="00583710"/>
    <w:rsid w:val="00583A76"/>
    <w:rsid w:val="00583BF3"/>
    <w:rsid w:val="00583E36"/>
    <w:rsid w:val="0058402F"/>
    <w:rsid w:val="00584137"/>
    <w:rsid w:val="005842C9"/>
    <w:rsid w:val="005844C3"/>
    <w:rsid w:val="00584A84"/>
    <w:rsid w:val="00584C25"/>
    <w:rsid w:val="00584D50"/>
    <w:rsid w:val="00584EEA"/>
    <w:rsid w:val="00584F0E"/>
    <w:rsid w:val="00585195"/>
    <w:rsid w:val="00585643"/>
    <w:rsid w:val="005858B3"/>
    <w:rsid w:val="00585A2B"/>
    <w:rsid w:val="00585B3F"/>
    <w:rsid w:val="00585CE5"/>
    <w:rsid w:val="00585DC0"/>
    <w:rsid w:val="00585FE8"/>
    <w:rsid w:val="0058610E"/>
    <w:rsid w:val="00586300"/>
    <w:rsid w:val="0058638C"/>
    <w:rsid w:val="00586438"/>
    <w:rsid w:val="00586DE4"/>
    <w:rsid w:val="00586E04"/>
    <w:rsid w:val="0058712C"/>
    <w:rsid w:val="005873B3"/>
    <w:rsid w:val="0058752A"/>
    <w:rsid w:val="005877C3"/>
    <w:rsid w:val="00587898"/>
    <w:rsid w:val="005878A4"/>
    <w:rsid w:val="0059034A"/>
    <w:rsid w:val="005908BA"/>
    <w:rsid w:val="00590C18"/>
    <w:rsid w:val="00590C9D"/>
    <w:rsid w:val="00590CA7"/>
    <w:rsid w:val="00590D0A"/>
    <w:rsid w:val="00590E5D"/>
    <w:rsid w:val="00590ECE"/>
    <w:rsid w:val="00591022"/>
    <w:rsid w:val="00591295"/>
    <w:rsid w:val="00591576"/>
    <w:rsid w:val="00591674"/>
    <w:rsid w:val="0059174E"/>
    <w:rsid w:val="005917B4"/>
    <w:rsid w:val="00591844"/>
    <w:rsid w:val="00591904"/>
    <w:rsid w:val="00591C1D"/>
    <w:rsid w:val="00591C30"/>
    <w:rsid w:val="00591D3E"/>
    <w:rsid w:val="00591E2D"/>
    <w:rsid w:val="00591EB0"/>
    <w:rsid w:val="005921C4"/>
    <w:rsid w:val="00592339"/>
    <w:rsid w:val="00592484"/>
    <w:rsid w:val="0059267A"/>
    <w:rsid w:val="005926B0"/>
    <w:rsid w:val="0059270F"/>
    <w:rsid w:val="005928B4"/>
    <w:rsid w:val="00592A0C"/>
    <w:rsid w:val="00592A8D"/>
    <w:rsid w:val="00592AE4"/>
    <w:rsid w:val="00592B4D"/>
    <w:rsid w:val="005934B0"/>
    <w:rsid w:val="0059357F"/>
    <w:rsid w:val="005937F1"/>
    <w:rsid w:val="00593AC5"/>
    <w:rsid w:val="00593B74"/>
    <w:rsid w:val="00593EAC"/>
    <w:rsid w:val="00593ED5"/>
    <w:rsid w:val="00594501"/>
    <w:rsid w:val="00594579"/>
    <w:rsid w:val="00594834"/>
    <w:rsid w:val="005949F2"/>
    <w:rsid w:val="00594CBC"/>
    <w:rsid w:val="00594DA6"/>
    <w:rsid w:val="00594E79"/>
    <w:rsid w:val="00595629"/>
    <w:rsid w:val="005956B7"/>
    <w:rsid w:val="005958FB"/>
    <w:rsid w:val="00595998"/>
    <w:rsid w:val="005959AE"/>
    <w:rsid w:val="00595C69"/>
    <w:rsid w:val="0059600D"/>
    <w:rsid w:val="00596429"/>
    <w:rsid w:val="00596516"/>
    <w:rsid w:val="005967AD"/>
    <w:rsid w:val="005968C9"/>
    <w:rsid w:val="005969D7"/>
    <w:rsid w:val="00596EE6"/>
    <w:rsid w:val="00597096"/>
    <w:rsid w:val="00597341"/>
    <w:rsid w:val="00597543"/>
    <w:rsid w:val="00597562"/>
    <w:rsid w:val="005975D3"/>
    <w:rsid w:val="0059761E"/>
    <w:rsid w:val="00597628"/>
    <w:rsid w:val="00597A07"/>
    <w:rsid w:val="00597E9B"/>
    <w:rsid w:val="005A00BA"/>
    <w:rsid w:val="005A0167"/>
    <w:rsid w:val="005A0360"/>
    <w:rsid w:val="005A040E"/>
    <w:rsid w:val="005A0C41"/>
    <w:rsid w:val="005A0EA9"/>
    <w:rsid w:val="005A0F21"/>
    <w:rsid w:val="005A10AF"/>
    <w:rsid w:val="005A10FC"/>
    <w:rsid w:val="005A119B"/>
    <w:rsid w:val="005A120A"/>
    <w:rsid w:val="005A151D"/>
    <w:rsid w:val="005A155E"/>
    <w:rsid w:val="005A1FFF"/>
    <w:rsid w:val="005A2047"/>
    <w:rsid w:val="005A2234"/>
    <w:rsid w:val="005A22A8"/>
    <w:rsid w:val="005A269E"/>
    <w:rsid w:val="005A26F9"/>
    <w:rsid w:val="005A2787"/>
    <w:rsid w:val="005A27D4"/>
    <w:rsid w:val="005A297D"/>
    <w:rsid w:val="005A2BD0"/>
    <w:rsid w:val="005A2C25"/>
    <w:rsid w:val="005A2F69"/>
    <w:rsid w:val="005A307D"/>
    <w:rsid w:val="005A315B"/>
    <w:rsid w:val="005A31B5"/>
    <w:rsid w:val="005A32F2"/>
    <w:rsid w:val="005A355E"/>
    <w:rsid w:val="005A396E"/>
    <w:rsid w:val="005A3BDF"/>
    <w:rsid w:val="005A3C82"/>
    <w:rsid w:val="005A3E81"/>
    <w:rsid w:val="005A3ECF"/>
    <w:rsid w:val="005A3F48"/>
    <w:rsid w:val="005A41E5"/>
    <w:rsid w:val="005A4328"/>
    <w:rsid w:val="005A437E"/>
    <w:rsid w:val="005A43E6"/>
    <w:rsid w:val="005A4847"/>
    <w:rsid w:val="005A48AF"/>
    <w:rsid w:val="005A49F8"/>
    <w:rsid w:val="005A4D67"/>
    <w:rsid w:val="005A4DE5"/>
    <w:rsid w:val="005A4F57"/>
    <w:rsid w:val="005A52EB"/>
    <w:rsid w:val="005A53AE"/>
    <w:rsid w:val="005A5BDE"/>
    <w:rsid w:val="005A5CFC"/>
    <w:rsid w:val="005A5F5A"/>
    <w:rsid w:val="005A61D2"/>
    <w:rsid w:val="005A61E0"/>
    <w:rsid w:val="005A6242"/>
    <w:rsid w:val="005A6761"/>
    <w:rsid w:val="005A6807"/>
    <w:rsid w:val="005A6DD6"/>
    <w:rsid w:val="005A6EC9"/>
    <w:rsid w:val="005A6FAA"/>
    <w:rsid w:val="005A7207"/>
    <w:rsid w:val="005A745E"/>
    <w:rsid w:val="005A766F"/>
    <w:rsid w:val="005A7899"/>
    <w:rsid w:val="005A7926"/>
    <w:rsid w:val="005A79DB"/>
    <w:rsid w:val="005A7B09"/>
    <w:rsid w:val="005A7C7A"/>
    <w:rsid w:val="005A7C97"/>
    <w:rsid w:val="005B0157"/>
    <w:rsid w:val="005B0639"/>
    <w:rsid w:val="005B07D6"/>
    <w:rsid w:val="005B0983"/>
    <w:rsid w:val="005B0AE6"/>
    <w:rsid w:val="005B0B47"/>
    <w:rsid w:val="005B0C39"/>
    <w:rsid w:val="005B15B8"/>
    <w:rsid w:val="005B1962"/>
    <w:rsid w:val="005B1A2E"/>
    <w:rsid w:val="005B1CD4"/>
    <w:rsid w:val="005B2082"/>
    <w:rsid w:val="005B209E"/>
    <w:rsid w:val="005B22AF"/>
    <w:rsid w:val="005B236B"/>
    <w:rsid w:val="005B2497"/>
    <w:rsid w:val="005B2888"/>
    <w:rsid w:val="005B2971"/>
    <w:rsid w:val="005B2B61"/>
    <w:rsid w:val="005B2CC2"/>
    <w:rsid w:val="005B2E32"/>
    <w:rsid w:val="005B2E98"/>
    <w:rsid w:val="005B2FAA"/>
    <w:rsid w:val="005B2FEA"/>
    <w:rsid w:val="005B3115"/>
    <w:rsid w:val="005B318E"/>
    <w:rsid w:val="005B330D"/>
    <w:rsid w:val="005B3345"/>
    <w:rsid w:val="005B3365"/>
    <w:rsid w:val="005B347E"/>
    <w:rsid w:val="005B34A5"/>
    <w:rsid w:val="005B3680"/>
    <w:rsid w:val="005B39B4"/>
    <w:rsid w:val="005B39C4"/>
    <w:rsid w:val="005B3BC3"/>
    <w:rsid w:val="005B3C63"/>
    <w:rsid w:val="005B42F5"/>
    <w:rsid w:val="005B4324"/>
    <w:rsid w:val="005B4388"/>
    <w:rsid w:val="005B4513"/>
    <w:rsid w:val="005B46D9"/>
    <w:rsid w:val="005B4A9E"/>
    <w:rsid w:val="005B4AAF"/>
    <w:rsid w:val="005B4AD8"/>
    <w:rsid w:val="005B4B05"/>
    <w:rsid w:val="005B4D19"/>
    <w:rsid w:val="005B4F78"/>
    <w:rsid w:val="005B505F"/>
    <w:rsid w:val="005B51E5"/>
    <w:rsid w:val="005B5462"/>
    <w:rsid w:val="005B5470"/>
    <w:rsid w:val="005B57DA"/>
    <w:rsid w:val="005B598F"/>
    <w:rsid w:val="005B59F6"/>
    <w:rsid w:val="005B5D28"/>
    <w:rsid w:val="005B5D37"/>
    <w:rsid w:val="005B5E31"/>
    <w:rsid w:val="005B6046"/>
    <w:rsid w:val="005B6116"/>
    <w:rsid w:val="005B6268"/>
    <w:rsid w:val="005B6304"/>
    <w:rsid w:val="005B640E"/>
    <w:rsid w:val="005B68FF"/>
    <w:rsid w:val="005B697D"/>
    <w:rsid w:val="005B6E84"/>
    <w:rsid w:val="005B6FF2"/>
    <w:rsid w:val="005B7461"/>
    <w:rsid w:val="005B75D3"/>
    <w:rsid w:val="005B7826"/>
    <w:rsid w:val="005B78F0"/>
    <w:rsid w:val="005B7ACF"/>
    <w:rsid w:val="005B7C0E"/>
    <w:rsid w:val="005B7CDA"/>
    <w:rsid w:val="005B7E26"/>
    <w:rsid w:val="005B7F44"/>
    <w:rsid w:val="005C0204"/>
    <w:rsid w:val="005C02A3"/>
    <w:rsid w:val="005C06EA"/>
    <w:rsid w:val="005C0867"/>
    <w:rsid w:val="005C0A29"/>
    <w:rsid w:val="005C0F2A"/>
    <w:rsid w:val="005C0FB6"/>
    <w:rsid w:val="005C103A"/>
    <w:rsid w:val="005C10B9"/>
    <w:rsid w:val="005C16AD"/>
    <w:rsid w:val="005C1A2A"/>
    <w:rsid w:val="005C1A36"/>
    <w:rsid w:val="005C1B32"/>
    <w:rsid w:val="005C1B85"/>
    <w:rsid w:val="005C1E37"/>
    <w:rsid w:val="005C208F"/>
    <w:rsid w:val="005C20E6"/>
    <w:rsid w:val="005C255E"/>
    <w:rsid w:val="005C2646"/>
    <w:rsid w:val="005C26DC"/>
    <w:rsid w:val="005C2839"/>
    <w:rsid w:val="005C2997"/>
    <w:rsid w:val="005C2A78"/>
    <w:rsid w:val="005C2C63"/>
    <w:rsid w:val="005C2CE3"/>
    <w:rsid w:val="005C315C"/>
    <w:rsid w:val="005C32FC"/>
    <w:rsid w:val="005C3440"/>
    <w:rsid w:val="005C35E9"/>
    <w:rsid w:val="005C3846"/>
    <w:rsid w:val="005C3944"/>
    <w:rsid w:val="005C3A24"/>
    <w:rsid w:val="005C3C53"/>
    <w:rsid w:val="005C3CD0"/>
    <w:rsid w:val="005C3E17"/>
    <w:rsid w:val="005C3E20"/>
    <w:rsid w:val="005C3FD3"/>
    <w:rsid w:val="005C4054"/>
    <w:rsid w:val="005C43BD"/>
    <w:rsid w:val="005C4401"/>
    <w:rsid w:val="005C485C"/>
    <w:rsid w:val="005C492D"/>
    <w:rsid w:val="005C4A12"/>
    <w:rsid w:val="005C4CB4"/>
    <w:rsid w:val="005C4D08"/>
    <w:rsid w:val="005C4D4A"/>
    <w:rsid w:val="005C508E"/>
    <w:rsid w:val="005C577A"/>
    <w:rsid w:val="005C5793"/>
    <w:rsid w:val="005C5A1F"/>
    <w:rsid w:val="005C5BC6"/>
    <w:rsid w:val="005C5C93"/>
    <w:rsid w:val="005C5FE4"/>
    <w:rsid w:val="005C60BA"/>
    <w:rsid w:val="005C60FD"/>
    <w:rsid w:val="005C61BB"/>
    <w:rsid w:val="005C627A"/>
    <w:rsid w:val="005C630F"/>
    <w:rsid w:val="005C6494"/>
    <w:rsid w:val="005C6B0E"/>
    <w:rsid w:val="005C70DD"/>
    <w:rsid w:val="005C7375"/>
    <w:rsid w:val="005C7573"/>
    <w:rsid w:val="005C7825"/>
    <w:rsid w:val="005C7C85"/>
    <w:rsid w:val="005D008A"/>
    <w:rsid w:val="005D014A"/>
    <w:rsid w:val="005D0223"/>
    <w:rsid w:val="005D096D"/>
    <w:rsid w:val="005D0B74"/>
    <w:rsid w:val="005D0CF2"/>
    <w:rsid w:val="005D0DDF"/>
    <w:rsid w:val="005D118C"/>
    <w:rsid w:val="005D11A3"/>
    <w:rsid w:val="005D12AA"/>
    <w:rsid w:val="005D1781"/>
    <w:rsid w:val="005D18C6"/>
    <w:rsid w:val="005D18FA"/>
    <w:rsid w:val="005D1953"/>
    <w:rsid w:val="005D195A"/>
    <w:rsid w:val="005D1B2D"/>
    <w:rsid w:val="005D1B4E"/>
    <w:rsid w:val="005D1B7C"/>
    <w:rsid w:val="005D1D48"/>
    <w:rsid w:val="005D1DF1"/>
    <w:rsid w:val="005D1F6C"/>
    <w:rsid w:val="005D241B"/>
    <w:rsid w:val="005D27A3"/>
    <w:rsid w:val="005D281C"/>
    <w:rsid w:val="005D295B"/>
    <w:rsid w:val="005D2AB6"/>
    <w:rsid w:val="005D2C02"/>
    <w:rsid w:val="005D2C28"/>
    <w:rsid w:val="005D2D76"/>
    <w:rsid w:val="005D2E95"/>
    <w:rsid w:val="005D2E9F"/>
    <w:rsid w:val="005D2FC4"/>
    <w:rsid w:val="005D31AE"/>
    <w:rsid w:val="005D3810"/>
    <w:rsid w:val="005D3954"/>
    <w:rsid w:val="005D3ABF"/>
    <w:rsid w:val="005D3C4C"/>
    <w:rsid w:val="005D3EA2"/>
    <w:rsid w:val="005D422D"/>
    <w:rsid w:val="005D424A"/>
    <w:rsid w:val="005D43C0"/>
    <w:rsid w:val="005D44C2"/>
    <w:rsid w:val="005D45AA"/>
    <w:rsid w:val="005D491D"/>
    <w:rsid w:val="005D4985"/>
    <w:rsid w:val="005D4A41"/>
    <w:rsid w:val="005D4AD4"/>
    <w:rsid w:val="005D4CA1"/>
    <w:rsid w:val="005D4D9A"/>
    <w:rsid w:val="005D50DF"/>
    <w:rsid w:val="005D55BF"/>
    <w:rsid w:val="005D57AE"/>
    <w:rsid w:val="005D58EF"/>
    <w:rsid w:val="005D5BD3"/>
    <w:rsid w:val="005D5DB6"/>
    <w:rsid w:val="005D5E1C"/>
    <w:rsid w:val="005D5E94"/>
    <w:rsid w:val="005D5F1E"/>
    <w:rsid w:val="005D5FB5"/>
    <w:rsid w:val="005D63D9"/>
    <w:rsid w:val="005D699E"/>
    <w:rsid w:val="005D69AB"/>
    <w:rsid w:val="005D6C8C"/>
    <w:rsid w:val="005D6FC5"/>
    <w:rsid w:val="005D7004"/>
    <w:rsid w:val="005D7046"/>
    <w:rsid w:val="005D70B4"/>
    <w:rsid w:val="005D7525"/>
    <w:rsid w:val="005D7896"/>
    <w:rsid w:val="005D7B41"/>
    <w:rsid w:val="005D7CAD"/>
    <w:rsid w:val="005E016B"/>
    <w:rsid w:val="005E037B"/>
    <w:rsid w:val="005E04B5"/>
    <w:rsid w:val="005E04E7"/>
    <w:rsid w:val="005E08EE"/>
    <w:rsid w:val="005E0AA8"/>
    <w:rsid w:val="005E0B80"/>
    <w:rsid w:val="005E0B90"/>
    <w:rsid w:val="005E0BB8"/>
    <w:rsid w:val="005E0D44"/>
    <w:rsid w:val="005E0D57"/>
    <w:rsid w:val="005E0D6E"/>
    <w:rsid w:val="005E0E16"/>
    <w:rsid w:val="005E0EAE"/>
    <w:rsid w:val="005E10F1"/>
    <w:rsid w:val="005E1399"/>
    <w:rsid w:val="005E13D7"/>
    <w:rsid w:val="005E14F1"/>
    <w:rsid w:val="005E15A4"/>
    <w:rsid w:val="005E1B2E"/>
    <w:rsid w:val="005E1B35"/>
    <w:rsid w:val="005E2257"/>
    <w:rsid w:val="005E23FD"/>
    <w:rsid w:val="005E2458"/>
    <w:rsid w:val="005E253B"/>
    <w:rsid w:val="005E2757"/>
    <w:rsid w:val="005E297B"/>
    <w:rsid w:val="005E2CC6"/>
    <w:rsid w:val="005E3013"/>
    <w:rsid w:val="005E3214"/>
    <w:rsid w:val="005E384B"/>
    <w:rsid w:val="005E387F"/>
    <w:rsid w:val="005E3B45"/>
    <w:rsid w:val="005E3BC5"/>
    <w:rsid w:val="005E3D15"/>
    <w:rsid w:val="005E3F7C"/>
    <w:rsid w:val="005E414B"/>
    <w:rsid w:val="005E462A"/>
    <w:rsid w:val="005E4BD1"/>
    <w:rsid w:val="005E4CD2"/>
    <w:rsid w:val="005E4F09"/>
    <w:rsid w:val="005E4F13"/>
    <w:rsid w:val="005E51B5"/>
    <w:rsid w:val="005E56EB"/>
    <w:rsid w:val="005E5783"/>
    <w:rsid w:val="005E5918"/>
    <w:rsid w:val="005E5EB4"/>
    <w:rsid w:val="005E6030"/>
    <w:rsid w:val="005E62E5"/>
    <w:rsid w:val="005E6435"/>
    <w:rsid w:val="005E6498"/>
    <w:rsid w:val="005E664E"/>
    <w:rsid w:val="005E6680"/>
    <w:rsid w:val="005E6876"/>
    <w:rsid w:val="005E6A47"/>
    <w:rsid w:val="005E6DB8"/>
    <w:rsid w:val="005E7321"/>
    <w:rsid w:val="005E7372"/>
    <w:rsid w:val="005E75AF"/>
    <w:rsid w:val="005E75E2"/>
    <w:rsid w:val="005E779F"/>
    <w:rsid w:val="005E7830"/>
    <w:rsid w:val="005E793F"/>
    <w:rsid w:val="005E7C07"/>
    <w:rsid w:val="005E7D2E"/>
    <w:rsid w:val="005E7F00"/>
    <w:rsid w:val="005F0123"/>
    <w:rsid w:val="005F053B"/>
    <w:rsid w:val="005F0937"/>
    <w:rsid w:val="005F099C"/>
    <w:rsid w:val="005F0A94"/>
    <w:rsid w:val="005F0C54"/>
    <w:rsid w:val="005F0D3F"/>
    <w:rsid w:val="005F0D62"/>
    <w:rsid w:val="005F0E20"/>
    <w:rsid w:val="005F0EDE"/>
    <w:rsid w:val="005F10BE"/>
    <w:rsid w:val="005F118E"/>
    <w:rsid w:val="005F139C"/>
    <w:rsid w:val="005F187D"/>
    <w:rsid w:val="005F188C"/>
    <w:rsid w:val="005F18A2"/>
    <w:rsid w:val="005F1EB7"/>
    <w:rsid w:val="005F1F7A"/>
    <w:rsid w:val="005F2055"/>
    <w:rsid w:val="005F2058"/>
    <w:rsid w:val="005F2188"/>
    <w:rsid w:val="005F2226"/>
    <w:rsid w:val="005F2515"/>
    <w:rsid w:val="005F27AD"/>
    <w:rsid w:val="005F2F23"/>
    <w:rsid w:val="005F30B2"/>
    <w:rsid w:val="005F3156"/>
    <w:rsid w:val="005F31C2"/>
    <w:rsid w:val="005F32FC"/>
    <w:rsid w:val="005F333F"/>
    <w:rsid w:val="005F3778"/>
    <w:rsid w:val="005F3BC0"/>
    <w:rsid w:val="005F3E20"/>
    <w:rsid w:val="005F3E99"/>
    <w:rsid w:val="005F40FA"/>
    <w:rsid w:val="005F42DA"/>
    <w:rsid w:val="005F455F"/>
    <w:rsid w:val="005F49E4"/>
    <w:rsid w:val="005F4C89"/>
    <w:rsid w:val="005F4DA1"/>
    <w:rsid w:val="005F4DC6"/>
    <w:rsid w:val="005F541C"/>
    <w:rsid w:val="005F5C1D"/>
    <w:rsid w:val="005F5E51"/>
    <w:rsid w:val="005F5FB2"/>
    <w:rsid w:val="005F5FDD"/>
    <w:rsid w:val="005F6253"/>
    <w:rsid w:val="005F62FC"/>
    <w:rsid w:val="005F64D9"/>
    <w:rsid w:val="005F66CB"/>
    <w:rsid w:val="005F6805"/>
    <w:rsid w:val="005F6B39"/>
    <w:rsid w:val="005F6FAA"/>
    <w:rsid w:val="005F72C9"/>
    <w:rsid w:val="005F747C"/>
    <w:rsid w:val="005F76D7"/>
    <w:rsid w:val="005F7823"/>
    <w:rsid w:val="005F785F"/>
    <w:rsid w:val="005F79F9"/>
    <w:rsid w:val="005F7E57"/>
    <w:rsid w:val="005F7F2E"/>
    <w:rsid w:val="00600486"/>
    <w:rsid w:val="00600531"/>
    <w:rsid w:val="006007C5"/>
    <w:rsid w:val="006008D8"/>
    <w:rsid w:val="006008EC"/>
    <w:rsid w:val="006009DB"/>
    <w:rsid w:val="00601041"/>
    <w:rsid w:val="006013E0"/>
    <w:rsid w:val="006018AC"/>
    <w:rsid w:val="00601AA3"/>
    <w:rsid w:val="00601BEE"/>
    <w:rsid w:val="00601C28"/>
    <w:rsid w:val="00601E06"/>
    <w:rsid w:val="00601E38"/>
    <w:rsid w:val="00602019"/>
    <w:rsid w:val="006022D2"/>
    <w:rsid w:val="00602467"/>
    <w:rsid w:val="006024CC"/>
    <w:rsid w:val="006025BF"/>
    <w:rsid w:val="0060284D"/>
    <w:rsid w:val="006028E9"/>
    <w:rsid w:val="006029F2"/>
    <w:rsid w:val="00602BDC"/>
    <w:rsid w:val="00602BE4"/>
    <w:rsid w:val="00602DE1"/>
    <w:rsid w:val="00603154"/>
    <w:rsid w:val="00603331"/>
    <w:rsid w:val="006033A4"/>
    <w:rsid w:val="0060349D"/>
    <w:rsid w:val="00603632"/>
    <w:rsid w:val="00603689"/>
    <w:rsid w:val="006036E2"/>
    <w:rsid w:val="00603765"/>
    <w:rsid w:val="006037FA"/>
    <w:rsid w:val="00603A7B"/>
    <w:rsid w:val="00603A97"/>
    <w:rsid w:val="00603D9E"/>
    <w:rsid w:val="0060401F"/>
    <w:rsid w:val="00604503"/>
    <w:rsid w:val="00604578"/>
    <w:rsid w:val="00604643"/>
    <w:rsid w:val="006049D2"/>
    <w:rsid w:val="006049DD"/>
    <w:rsid w:val="00604A2D"/>
    <w:rsid w:val="00604A6F"/>
    <w:rsid w:val="00604B8E"/>
    <w:rsid w:val="00604BCC"/>
    <w:rsid w:val="00604DFC"/>
    <w:rsid w:val="00605069"/>
    <w:rsid w:val="0060511E"/>
    <w:rsid w:val="0060515F"/>
    <w:rsid w:val="006058C0"/>
    <w:rsid w:val="00605AE1"/>
    <w:rsid w:val="00605B6F"/>
    <w:rsid w:val="00605CE9"/>
    <w:rsid w:val="00605DF5"/>
    <w:rsid w:val="00606616"/>
    <w:rsid w:val="0060673A"/>
    <w:rsid w:val="00606932"/>
    <w:rsid w:val="00606979"/>
    <w:rsid w:val="0060699F"/>
    <w:rsid w:val="00606CB3"/>
    <w:rsid w:val="00607341"/>
    <w:rsid w:val="006074BA"/>
    <w:rsid w:val="0060786E"/>
    <w:rsid w:val="006078F5"/>
    <w:rsid w:val="00607A95"/>
    <w:rsid w:val="00607C3D"/>
    <w:rsid w:val="00607E20"/>
    <w:rsid w:val="00607ECD"/>
    <w:rsid w:val="00610148"/>
    <w:rsid w:val="0061025C"/>
    <w:rsid w:val="006102BA"/>
    <w:rsid w:val="00610357"/>
    <w:rsid w:val="006103E9"/>
    <w:rsid w:val="00610483"/>
    <w:rsid w:val="006104BC"/>
    <w:rsid w:val="006109E8"/>
    <w:rsid w:val="00610ED8"/>
    <w:rsid w:val="006110C6"/>
    <w:rsid w:val="006112FB"/>
    <w:rsid w:val="006114AD"/>
    <w:rsid w:val="0061183B"/>
    <w:rsid w:val="006118AC"/>
    <w:rsid w:val="006118B3"/>
    <w:rsid w:val="00611B1C"/>
    <w:rsid w:val="00611C1A"/>
    <w:rsid w:val="0061240E"/>
    <w:rsid w:val="0061257C"/>
    <w:rsid w:val="006127CA"/>
    <w:rsid w:val="006127CE"/>
    <w:rsid w:val="006127D3"/>
    <w:rsid w:val="0061293C"/>
    <w:rsid w:val="00613029"/>
    <w:rsid w:val="006132D4"/>
    <w:rsid w:val="0061346B"/>
    <w:rsid w:val="006135E6"/>
    <w:rsid w:val="0061376D"/>
    <w:rsid w:val="00613820"/>
    <w:rsid w:val="00613A44"/>
    <w:rsid w:val="00613AF1"/>
    <w:rsid w:val="00613C37"/>
    <w:rsid w:val="00613F1A"/>
    <w:rsid w:val="006140D3"/>
    <w:rsid w:val="006143FC"/>
    <w:rsid w:val="00614758"/>
    <w:rsid w:val="006148E0"/>
    <w:rsid w:val="00614948"/>
    <w:rsid w:val="00614980"/>
    <w:rsid w:val="0061498E"/>
    <w:rsid w:val="00614C9F"/>
    <w:rsid w:val="00614F1A"/>
    <w:rsid w:val="006150FD"/>
    <w:rsid w:val="0061516F"/>
    <w:rsid w:val="006154CE"/>
    <w:rsid w:val="0061590A"/>
    <w:rsid w:val="00615B6A"/>
    <w:rsid w:val="00616003"/>
    <w:rsid w:val="006160F6"/>
    <w:rsid w:val="00616318"/>
    <w:rsid w:val="00616460"/>
    <w:rsid w:val="00616612"/>
    <w:rsid w:val="0061683C"/>
    <w:rsid w:val="00616EEF"/>
    <w:rsid w:val="006170B7"/>
    <w:rsid w:val="00617548"/>
    <w:rsid w:val="006176EB"/>
    <w:rsid w:val="00617745"/>
    <w:rsid w:val="00617756"/>
    <w:rsid w:val="00617AD6"/>
    <w:rsid w:val="00617B60"/>
    <w:rsid w:val="00617BC9"/>
    <w:rsid w:val="00617D03"/>
    <w:rsid w:val="00620246"/>
    <w:rsid w:val="006203F9"/>
    <w:rsid w:val="0062052C"/>
    <w:rsid w:val="00620659"/>
    <w:rsid w:val="0062065E"/>
    <w:rsid w:val="006207AC"/>
    <w:rsid w:val="00620901"/>
    <w:rsid w:val="006209FC"/>
    <w:rsid w:val="00620E06"/>
    <w:rsid w:val="0062128A"/>
    <w:rsid w:val="006212B8"/>
    <w:rsid w:val="00621528"/>
    <w:rsid w:val="006217C5"/>
    <w:rsid w:val="006218B6"/>
    <w:rsid w:val="006219BE"/>
    <w:rsid w:val="00621A1B"/>
    <w:rsid w:val="00621B5D"/>
    <w:rsid w:val="00621E95"/>
    <w:rsid w:val="0062205B"/>
    <w:rsid w:val="00622119"/>
    <w:rsid w:val="00622553"/>
    <w:rsid w:val="0062294C"/>
    <w:rsid w:val="006229C1"/>
    <w:rsid w:val="00622A50"/>
    <w:rsid w:val="00622AA8"/>
    <w:rsid w:val="00622AA9"/>
    <w:rsid w:val="00622AF4"/>
    <w:rsid w:val="00622CD3"/>
    <w:rsid w:val="00622DE6"/>
    <w:rsid w:val="006232DD"/>
    <w:rsid w:val="0062330E"/>
    <w:rsid w:val="00623377"/>
    <w:rsid w:val="006234FF"/>
    <w:rsid w:val="006236C1"/>
    <w:rsid w:val="006238EA"/>
    <w:rsid w:val="00623C34"/>
    <w:rsid w:val="00623C5F"/>
    <w:rsid w:val="00624102"/>
    <w:rsid w:val="00624122"/>
    <w:rsid w:val="00624125"/>
    <w:rsid w:val="0062420B"/>
    <w:rsid w:val="0062446C"/>
    <w:rsid w:val="00624543"/>
    <w:rsid w:val="006245AA"/>
    <w:rsid w:val="00624857"/>
    <w:rsid w:val="00625207"/>
    <w:rsid w:val="00625276"/>
    <w:rsid w:val="00625492"/>
    <w:rsid w:val="00625584"/>
    <w:rsid w:val="006257AA"/>
    <w:rsid w:val="006257CC"/>
    <w:rsid w:val="00625826"/>
    <w:rsid w:val="006258FD"/>
    <w:rsid w:val="00625A04"/>
    <w:rsid w:val="00625A17"/>
    <w:rsid w:val="00625B0D"/>
    <w:rsid w:val="00625C4C"/>
    <w:rsid w:val="00625C9C"/>
    <w:rsid w:val="00625E06"/>
    <w:rsid w:val="00625F14"/>
    <w:rsid w:val="00625FB7"/>
    <w:rsid w:val="00626020"/>
    <w:rsid w:val="00626532"/>
    <w:rsid w:val="00626578"/>
    <w:rsid w:val="006267D6"/>
    <w:rsid w:val="006269E1"/>
    <w:rsid w:val="00626CA4"/>
    <w:rsid w:val="00626D39"/>
    <w:rsid w:val="00626D75"/>
    <w:rsid w:val="00626DCE"/>
    <w:rsid w:val="00626E1D"/>
    <w:rsid w:val="00627374"/>
    <w:rsid w:val="00627A2D"/>
    <w:rsid w:val="00627A9B"/>
    <w:rsid w:val="00627C2E"/>
    <w:rsid w:val="00627C5F"/>
    <w:rsid w:val="00627DA8"/>
    <w:rsid w:val="00627E04"/>
    <w:rsid w:val="00627EB8"/>
    <w:rsid w:val="00627F56"/>
    <w:rsid w:val="006300D5"/>
    <w:rsid w:val="0063015D"/>
    <w:rsid w:val="0063015F"/>
    <w:rsid w:val="0063025C"/>
    <w:rsid w:val="006302F8"/>
    <w:rsid w:val="006303FF"/>
    <w:rsid w:val="00630742"/>
    <w:rsid w:val="00630B58"/>
    <w:rsid w:val="00630E5D"/>
    <w:rsid w:val="00630F7F"/>
    <w:rsid w:val="00630FD2"/>
    <w:rsid w:val="006310D9"/>
    <w:rsid w:val="006315B8"/>
    <w:rsid w:val="006315C7"/>
    <w:rsid w:val="00631697"/>
    <w:rsid w:val="006316F2"/>
    <w:rsid w:val="0063174F"/>
    <w:rsid w:val="00631B49"/>
    <w:rsid w:val="00631D2E"/>
    <w:rsid w:val="00631DB9"/>
    <w:rsid w:val="006320C6"/>
    <w:rsid w:val="00632211"/>
    <w:rsid w:val="0063234E"/>
    <w:rsid w:val="006324D9"/>
    <w:rsid w:val="0063257C"/>
    <w:rsid w:val="0063295E"/>
    <w:rsid w:val="00632D65"/>
    <w:rsid w:val="00632F5A"/>
    <w:rsid w:val="006332F1"/>
    <w:rsid w:val="006333B3"/>
    <w:rsid w:val="00633473"/>
    <w:rsid w:val="00633576"/>
    <w:rsid w:val="00633BCE"/>
    <w:rsid w:val="00633BF8"/>
    <w:rsid w:val="00633D92"/>
    <w:rsid w:val="006340F9"/>
    <w:rsid w:val="00634162"/>
    <w:rsid w:val="0063450F"/>
    <w:rsid w:val="006345F3"/>
    <w:rsid w:val="0063470B"/>
    <w:rsid w:val="006348DD"/>
    <w:rsid w:val="00634A82"/>
    <w:rsid w:val="00634A89"/>
    <w:rsid w:val="00634B1B"/>
    <w:rsid w:val="00634B69"/>
    <w:rsid w:val="00634D01"/>
    <w:rsid w:val="00634EC9"/>
    <w:rsid w:val="00634F2A"/>
    <w:rsid w:val="00634FE6"/>
    <w:rsid w:val="00635038"/>
    <w:rsid w:val="006351E5"/>
    <w:rsid w:val="0063544F"/>
    <w:rsid w:val="0063560D"/>
    <w:rsid w:val="0063583D"/>
    <w:rsid w:val="006359B8"/>
    <w:rsid w:val="00635DA8"/>
    <w:rsid w:val="00635E44"/>
    <w:rsid w:val="006361BE"/>
    <w:rsid w:val="0063645C"/>
    <w:rsid w:val="00636582"/>
    <w:rsid w:val="00636831"/>
    <w:rsid w:val="0063684C"/>
    <w:rsid w:val="006369EB"/>
    <w:rsid w:val="00636B89"/>
    <w:rsid w:val="00636C38"/>
    <w:rsid w:val="00636C98"/>
    <w:rsid w:val="00636CB0"/>
    <w:rsid w:val="006372B5"/>
    <w:rsid w:val="0063747B"/>
    <w:rsid w:val="00637635"/>
    <w:rsid w:val="00637719"/>
    <w:rsid w:val="0063784E"/>
    <w:rsid w:val="00637881"/>
    <w:rsid w:val="006378D6"/>
    <w:rsid w:val="006378DA"/>
    <w:rsid w:val="00637A21"/>
    <w:rsid w:val="00637A61"/>
    <w:rsid w:val="00637A86"/>
    <w:rsid w:val="00637C29"/>
    <w:rsid w:val="00637F96"/>
    <w:rsid w:val="0064024E"/>
    <w:rsid w:val="006403BE"/>
    <w:rsid w:val="00640759"/>
    <w:rsid w:val="0064089D"/>
    <w:rsid w:val="00640964"/>
    <w:rsid w:val="00640A9A"/>
    <w:rsid w:val="00640CE4"/>
    <w:rsid w:val="006410FB"/>
    <w:rsid w:val="006412DB"/>
    <w:rsid w:val="006413C6"/>
    <w:rsid w:val="00641844"/>
    <w:rsid w:val="00641845"/>
    <w:rsid w:val="0064198D"/>
    <w:rsid w:val="00641A06"/>
    <w:rsid w:val="00641AB5"/>
    <w:rsid w:val="00641B52"/>
    <w:rsid w:val="00641EA3"/>
    <w:rsid w:val="00641EAF"/>
    <w:rsid w:val="0064245B"/>
    <w:rsid w:val="006424AB"/>
    <w:rsid w:val="00642530"/>
    <w:rsid w:val="00642A2D"/>
    <w:rsid w:val="00642A35"/>
    <w:rsid w:val="00642D1D"/>
    <w:rsid w:val="00642D49"/>
    <w:rsid w:val="00642DCC"/>
    <w:rsid w:val="00643262"/>
    <w:rsid w:val="0064334C"/>
    <w:rsid w:val="006434B0"/>
    <w:rsid w:val="00643550"/>
    <w:rsid w:val="00643992"/>
    <w:rsid w:val="00643A2A"/>
    <w:rsid w:val="00643BAC"/>
    <w:rsid w:val="00643CEF"/>
    <w:rsid w:val="00643E79"/>
    <w:rsid w:val="00643F34"/>
    <w:rsid w:val="006443E6"/>
    <w:rsid w:val="006445A9"/>
    <w:rsid w:val="006445D1"/>
    <w:rsid w:val="00644855"/>
    <w:rsid w:val="006449B2"/>
    <w:rsid w:val="00644B7A"/>
    <w:rsid w:val="00644C3B"/>
    <w:rsid w:val="006451CF"/>
    <w:rsid w:val="0064526F"/>
    <w:rsid w:val="006452E7"/>
    <w:rsid w:val="006459C9"/>
    <w:rsid w:val="00645AF3"/>
    <w:rsid w:val="00645C32"/>
    <w:rsid w:val="00645ED6"/>
    <w:rsid w:val="0064627F"/>
    <w:rsid w:val="00646790"/>
    <w:rsid w:val="00646BB9"/>
    <w:rsid w:val="00646CF0"/>
    <w:rsid w:val="00646D59"/>
    <w:rsid w:val="00647135"/>
    <w:rsid w:val="006472BB"/>
    <w:rsid w:val="00647395"/>
    <w:rsid w:val="006473E6"/>
    <w:rsid w:val="00647451"/>
    <w:rsid w:val="006474CF"/>
    <w:rsid w:val="0064754F"/>
    <w:rsid w:val="006476C9"/>
    <w:rsid w:val="006476CD"/>
    <w:rsid w:val="006477FB"/>
    <w:rsid w:val="00647843"/>
    <w:rsid w:val="0064784B"/>
    <w:rsid w:val="0064798B"/>
    <w:rsid w:val="006479B9"/>
    <w:rsid w:val="00647EFB"/>
    <w:rsid w:val="00650032"/>
    <w:rsid w:val="006502CB"/>
    <w:rsid w:val="00650436"/>
    <w:rsid w:val="006504AE"/>
    <w:rsid w:val="00650CD5"/>
    <w:rsid w:val="00650E74"/>
    <w:rsid w:val="00651013"/>
    <w:rsid w:val="00651167"/>
    <w:rsid w:val="00651330"/>
    <w:rsid w:val="0065146D"/>
    <w:rsid w:val="006514BB"/>
    <w:rsid w:val="006519E7"/>
    <w:rsid w:val="00651D9F"/>
    <w:rsid w:val="00651F9F"/>
    <w:rsid w:val="006520FF"/>
    <w:rsid w:val="0065216C"/>
    <w:rsid w:val="0065246A"/>
    <w:rsid w:val="00652B3A"/>
    <w:rsid w:val="00652DA6"/>
    <w:rsid w:val="00653050"/>
    <w:rsid w:val="00653259"/>
    <w:rsid w:val="006534D6"/>
    <w:rsid w:val="00653838"/>
    <w:rsid w:val="006538ED"/>
    <w:rsid w:val="00653D4C"/>
    <w:rsid w:val="00653D5C"/>
    <w:rsid w:val="00653FC5"/>
    <w:rsid w:val="00654336"/>
    <w:rsid w:val="0065442B"/>
    <w:rsid w:val="00654A29"/>
    <w:rsid w:val="00654AE4"/>
    <w:rsid w:val="00654B7C"/>
    <w:rsid w:val="00654CD0"/>
    <w:rsid w:val="00654D93"/>
    <w:rsid w:val="00654ECA"/>
    <w:rsid w:val="00655BA7"/>
    <w:rsid w:val="00656029"/>
    <w:rsid w:val="0065613C"/>
    <w:rsid w:val="0065662A"/>
    <w:rsid w:val="006567BA"/>
    <w:rsid w:val="00656862"/>
    <w:rsid w:val="006568FC"/>
    <w:rsid w:val="00656A64"/>
    <w:rsid w:val="00656B0F"/>
    <w:rsid w:val="00656CAE"/>
    <w:rsid w:val="00656EC0"/>
    <w:rsid w:val="00656FC3"/>
    <w:rsid w:val="006571CE"/>
    <w:rsid w:val="00657679"/>
    <w:rsid w:val="00657921"/>
    <w:rsid w:val="00657A34"/>
    <w:rsid w:val="00657AAA"/>
    <w:rsid w:val="00657CDA"/>
    <w:rsid w:val="00657D35"/>
    <w:rsid w:val="00657F79"/>
    <w:rsid w:val="006601AC"/>
    <w:rsid w:val="006606A6"/>
    <w:rsid w:val="006606EB"/>
    <w:rsid w:val="00660ED3"/>
    <w:rsid w:val="00660F3E"/>
    <w:rsid w:val="006610A6"/>
    <w:rsid w:val="00661232"/>
    <w:rsid w:val="0066128F"/>
    <w:rsid w:val="00661401"/>
    <w:rsid w:val="00661835"/>
    <w:rsid w:val="00661B49"/>
    <w:rsid w:val="00661B90"/>
    <w:rsid w:val="00662116"/>
    <w:rsid w:val="00662188"/>
    <w:rsid w:val="006621AE"/>
    <w:rsid w:val="006621B7"/>
    <w:rsid w:val="00662255"/>
    <w:rsid w:val="00662295"/>
    <w:rsid w:val="006622BC"/>
    <w:rsid w:val="006624BD"/>
    <w:rsid w:val="00662595"/>
    <w:rsid w:val="006625E7"/>
    <w:rsid w:val="006626A0"/>
    <w:rsid w:val="00662779"/>
    <w:rsid w:val="00662850"/>
    <w:rsid w:val="006629ED"/>
    <w:rsid w:val="00662A13"/>
    <w:rsid w:val="00662A17"/>
    <w:rsid w:val="00662CFA"/>
    <w:rsid w:val="00662DC3"/>
    <w:rsid w:val="00662FC6"/>
    <w:rsid w:val="006631BB"/>
    <w:rsid w:val="0066378E"/>
    <w:rsid w:val="006637C5"/>
    <w:rsid w:val="00663AA2"/>
    <w:rsid w:val="00663D26"/>
    <w:rsid w:val="0066404A"/>
    <w:rsid w:val="00664450"/>
    <w:rsid w:val="006644A9"/>
    <w:rsid w:val="006645FD"/>
    <w:rsid w:val="00664871"/>
    <w:rsid w:val="0066493D"/>
    <w:rsid w:val="00664A22"/>
    <w:rsid w:val="00664AC3"/>
    <w:rsid w:val="00665533"/>
    <w:rsid w:val="00665984"/>
    <w:rsid w:val="00665AEA"/>
    <w:rsid w:val="00665B03"/>
    <w:rsid w:val="00665BBB"/>
    <w:rsid w:val="00665D80"/>
    <w:rsid w:val="00665DE6"/>
    <w:rsid w:val="00665EBE"/>
    <w:rsid w:val="00665F59"/>
    <w:rsid w:val="00666499"/>
    <w:rsid w:val="006666B0"/>
    <w:rsid w:val="0066676A"/>
    <w:rsid w:val="006667DB"/>
    <w:rsid w:val="00666A54"/>
    <w:rsid w:val="00666B74"/>
    <w:rsid w:val="00666B77"/>
    <w:rsid w:val="0066719F"/>
    <w:rsid w:val="0066725C"/>
    <w:rsid w:val="00667502"/>
    <w:rsid w:val="00667D74"/>
    <w:rsid w:val="006700C8"/>
    <w:rsid w:val="00670113"/>
    <w:rsid w:val="0067015E"/>
    <w:rsid w:val="00670FB7"/>
    <w:rsid w:val="0067104B"/>
    <w:rsid w:val="006710BA"/>
    <w:rsid w:val="00671226"/>
    <w:rsid w:val="006713D3"/>
    <w:rsid w:val="006715BD"/>
    <w:rsid w:val="00671704"/>
    <w:rsid w:val="006718D6"/>
    <w:rsid w:val="006718F2"/>
    <w:rsid w:val="00671D33"/>
    <w:rsid w:val="00671EEE"/>
    <w:rsid w:val="00671F39"/>
    <w:rsid w:val="0067245A"/>
    <w:rsid w:val="0067256C"/>
    <w:rsid w:val="0067259E"/>
    <w:rsid w:val="0067297F"/>
    <w:rsid w:val="00672A68"/>
    <w:rsid w:val="00672BFC"/>
    <w:rsid w:val="0067315A"/>
    <w:rsid w:val="00673205"/>
    <w:rsid w:val="0067324A"/>
    <w:rsid w:val="00673396"/>
    <w:rsid w:val="006733D1"/>
    <w:rsid w:val="006735E8"/>
    <w:rsid w:val="006736FA"/>
    <w:rsid w:val="006737B7"/>
    <w:rsid w:val="00673AAC"/>
    <w:rsid w:val="00673AF4"/>
    <w:rsid w:val="00674194"/>
    <w:rsid w:val="006741DF"/>
    <w:rsid w:val="00674767"/>
    <w:rsid w:val="006747C9"/>
    <w:rsid w:val="0067497B"/>
    <w:rsid w:val="00674BC9"/>
    <w:rsid w:val="00674CB7"/>
    <w:rsid w:val="00674F57"/>
    <w:rsid w:val="00674FAC"/>
    <w:rsid w:val="00675327"/>
    <w:rsid w:val="00675622"/>
    <w:rsid w:val="0067585C"/>
    <w:rsid w:val="00675880"/>
    <w:rsid w:val="00675941"/>
    <w:rsid w:val="00675981"/>
    <w:rsid w:val="00675AAF"/>
    <w:rsid w:val="00675D87"/>
    <w:rsid w:val="006762E1"/>
    <w:rsid w:val="0067631F"/>
    <w:rsid w:val="00676335"/>
    <w:rsid w:val="0067637A"/>
    <w:rsid w:val="006764DF"/>
    <w:rsid w:val="006764E5"/>
    <w:rsid w:val="006765DE"/>
    <w:rsid w:val="00676665"/>
    <w:rsid w:val="00676E80"/>
    <w:rsid w:val="00676F1E"/>
    <w:rsid w:val="00676F68"/>
    <w:rsid w:val="00676FEC"/>
    <w:rsid w:val="0067761A"/>
    <w:rsid w:val="0067767E"/>
    <w:rsid w:val="00677AE3"/>
    <w:rsid w:val="006803E4"/>
    <w:rsid w:val="00680635"/>
    <w:rsid w:val="0068069F"/>
    <w:rsid w:val="00680A83"/>
    <w:rsid w:val="00680B58"/>
    <w:rsid w:val="00680D13"/>
    <w:rsid w:val="00680D71"/>
    <w:rsid w:val="00680E1A"/>
    <w:rsid w:val="00681433"/>
    <w:rsid w:val="0068170A"/>
    <w:rsid w:val="00681755"/>
    <w:rsid w:val="006817BD"/>
    <w:rsid w:val="0068190D"/>
    <w:rsid w:val="0068190F"/>
    <w:rsid w:val="00681AF0"/>
    <w:rsid w:val="00682078"/>
    <w:rsid w:val="006824B9"/>
    <w:rsid w:val="006825D5"/>
    <w:rsid w:val="00682780"/>
    <w:rsid w:val="006827B5"/>
    <w:rsid w:val="006828DB"/>
    <w:rsid w:val="006829CE"/>
    <w:rsid w:val="006829D6"/>
    <w:rsid w:val="00682B44"/>
    <w:rsid w:val="00682B85"/>
    <w:rsid w:val="00682BE4"/>
    <w:rsid w:val="00682EBA"/>
    <w:rsid w:val="00682FB2"/>
    <w:rsid w:val="00683224"/>
    <w:rsid w:val="0068365F"/>
    <w:rsid w:val="0068390D"/>
    <w:rsid w:val="00683C4F"/>
    <w:rsid w:val="00683D7E"/>
    <w:rsid w:val="006840D7"/>
    <w:rsid w:val="00684145"/>
    <w:rsid w:val="00684169"/>
    <w:rsid w:val="006841F9"/>
    <w:rsid w:val="00684338"/>
    <w:rsid w:val="00684740"/>
    <w:rsid w:val="00684A4F"/>
    <w:rsid w:val="00684C12"/>
    <w:rsid w:val="00684C18"/>
    <w:rsid w:val="00684C72"/>
    <w:rsid w:val="00684FF8"/>
    <w:rsid w:val="00685117"/>
    <w:rsid w:val="006851E7"/>
    <w:rsid w:val="00685393"/>
    <w:rsid w:val="0068542C"/>
    <w:rsid w:val="0068549B"/>
    <w:rsid w:val="006855E9"/>
    <w:rsid w:val="006859D4"/>
    <w:rsid w:val="00685BD4"/>
    <w:rsid w:val="00685F91"/>
    <w:rsid w:val="00686356"/>
    <w:rsid w:val="0068672E"/>
    <w:rsid w:val="006867AE"/>
    <w:rsid w:val="00686C88"/>
    <w:rsid w:val="00686E01"/>
    <w:rsid w:val="00686F08"/>
    <w:rsid w:val="006872EA"/>
    <w:rsid w:val="00687359"/>
    <w:rsid w:val="0068747A"/>
    <w:rsid w:val="006874F6"/>
    <w:rsid w:val="006876F9"/>
    <w:rsid w:val="00687E1C"/>
    <w:rsid w:val="006900B9"/>
    <w:rsid w:val="006904AD"/>
    <w:rsid w:val="00690583"/>
    <w:rsid w:val="006907EA"/>
    <w:rsid w:val="00690864"/>
    <w:rsid w:val="00690B73"/>
    <w:rsid w:val="00690CE2"/>
    <w:rsid w:val="00690D54"/>
    <w:rsid w:val="00690DBB"/>
    <w:rsid w:val="00690EB9"/>
    <w:rsid w:val="006911A4"/>
    <w:rsid w:val="0069133D"/>
    <w:rsid w:val="006913AC"/>
    <w:rsid w:val="006914E8"/>
    <w:rsid w:val="00691596"/>
    <w:rsid w:val="006915C7"/>
    <w:rsid w:val="00691906"/>
    <w:rsid w:val="00691998"/>
    <w:rsid w:val="006919A6"/>
    <w:rsid w:val="00691B5C"/>
    <w:rsid w:val="00691B6F"/>
    <w:rsid w:val="00691D05"/>
    <w:rsid w:val="00691D96"/>
    <w:rsid w:val="00691E73"/>
    <w:rsid w:val="00691E99"/>
    <w:rsid w:val="0069203F"/>
    <w:rsid w:val="00692198"/>
    <w:rsid w:val="006921BC"/>
    <w:rsid w:val="006924A3"/>
    <w:rsid w:val="0069265D"/>
    <w:rsid w:val="0069282F"/>
    <w:rsid w:val="00692BF5"/>
    <w:rsid w:val="00693232"/>
    <w:rsid w:val="006932FF"/>
    <w:rsid w:val="00693338"/>
    <w:rsid w:val="00693442"/>
    <w:rsid w:val="0069367E"/>
    <w:rsid w:val="0069393E"/>
    <w:rsid w:val="0069394E"/>
    <w:rsid w:val="00693C42"/>
    <w:rsid w:val="00693E42"/>
    <w:rsid w:val="00693EB0"/>
    <w:rsid w:val="00694063"/>
    <w:rsid w:val="006941D2"/>
    <w:rsid w:val="00694239"/>
    <w:rsid w:val="00694306"/>
    <w:rsid w:val="0069446B"/>
    <w:rsid w:val="0069446D"/>
    <w:rsid w:val="006946F9"/>
    <w:rsid w:val="006947BF"/>
    <w:rsid w:val="00694BFE"/>
    <w:rsid w:val="00694F10"/>
    <w:rsid w:val="006950B0"/>
    <w:rsid w:val="00695213"/>
    <w:rsid w:val="006952A3"/>
    <w:rsid w:val="006952E2"/>
    <w:rsid w:val="006954D8"/>
    <w:rsid w:val="0069553F"/>
    <w:rsid w:val="006959F9"/>
    <w:rsid w:val="00695A1C"/>
    <w:rsid w:val="00695AE3"/>
    <w:rsid w:val="00695DE0"/>
    <w:rsid w:val="00695DE9"/>
    <w:rsid w:val="00695F52"/>
    <w:rsid w:val="00696005"/>
    <w:rsid w:val="0069626D"/>
    <w:rsid w:val="006964C2"/>
    <w:rsid w:val="00696C0F"/>
    <w:rsid w:val="00696CCB"/>
    <w:rsid w:val="00696DFA"/>
    <w:rsid w:val="00696F46"/>
    <w:rsid w:val="00697571"/>
    <w:rsid w:val="006977D2"/>
    <w:rsid w:val="00697C9A"/>
    <w:rsid w:val="00697D0E"/>
    <w:rsid w:val="006A0105"/>
    <w:rsid w:val="006A01AF"/>
    <w:rsid w:val="006A06E6"/>
    <w:rsid w:val="006A09AC"/>
    <w:rsid w:val="006A09D7"/>
    <w:rsid w:val="006A10EC"/>
    <w:rsid w:val="006A1C5F"/>
    <w:rsid w:val="006A1F6F"/>
    <w:rsid w:val="006A1FAD"/>
    <w:rsid w:val="006A1FC3"/>
    <w:rsid w:val="006A215D"/>
    <w:rsid w:val="006A2196"/>
    <w:rsid w:val="006A22F7"/>
    <w:rsid w:val="006A23CB"/>
    <w:rsid w:val="006A2455"/>
    <w:rsid w:val="006A2981"/>
    <w:rsid w:val="006A2B71"/>
    <w:rsid w:val="006A2C91"/>
    <w:rsid w:val="006A32BC"/>
    <w:rsid w:val="006A35C6"/>
    <w:rsid w:val="006A3769"/>
    <w:rsid w:val="006A37F3"/>
    <w:rsid w:val="006A3814"/>
    <w:rsid w:val="006A3ACC"/>
    <w:rsid w:val="006A3E84"/>
    <w:rsid w:val="006A4012"/>
    <w:rsid w:val="006A40D2"/>
    <w:rsid w:val="006A42D3"/>
    <w:rsid w:val="006A4474"/>
    <w:rsid w:val="006A4684"/>
    <w:rsid w:val="006A4828"/>
    <w:rsid w:val="006A48CF"/>
    <w:rsid w:val="006A4926"/>
    <w:rsid w:val="006A4AF2"/>
    <w:rsid w:val="006A4BA8"/>
    <w:rsid w:val="006A4DA4"/>
    <w:rsid w:val="006A4E7B"/>
    <w:rsid w:val="006A5392"/>
    <w:rsid w:val="006A5443"/>
    <w:rsid w:val="006A56FC"/>
    <w:rsid w:val="006A5730"/>
    <w:rsid w:val="006A5825"/>
    <w:rsid w:val="006A5939"/>
    <w:rsid w:val="006A5A87"/>
    <w:rsid w:val="006A5AA2"/>
    <w:rsid w:val="006A5BDF"/>
    <w:rsid w:val="006A5C6F"/>
    <w:rsid w:val="006A607C"/>
    <w:rsid w:val="006A6407"/>
    <w:rsid w:val="006A6587"/>
    <w:rsid w:val="006A688B"/>
    <w:rsid w:val="006A6916"/>
    <w:rsid w:val="006A69B2"/>
    <w:rsid w:val="006A69CE"/>
    <w:rsid w:val="006A6A23"/>
    <w:rsid w:val="006A6B01"/>
    <w:rsid w:val="006A6CC5"/>
    <w:rsid w:val="006A6DA5"/>
    <w:rsid w:val="006A7089"/>
    <w:rsid w:val="006A7293"/>
    <w:rsid w:val="006A73D3"/>
    <w:rsid w:val="006A741F"/>
    <w:rsid w:val="006A75D9"/>
    <w:rsid w:val="006A7600"/>
    <w:rsid w:val="006A77C6"/>
    <w:rsid w:val="006A7A1E"/>
    <w:rsid w:val="006A7DFC"/>
    <w:rsid w:val="006B026E"/>
    <w:rsid w:val="006B0290"/>
    <w:rsid w:val="006B04DF"/>
    <w:rsid w:val="006B0635"/>
    <w:rsid w:val="006B0806"/>
    <w:rsid w:val="006B0A8F"/>
    <w:rsid w:val="006B0B4F"/>
    <w:rsid w:val="006B0B7E"/>
    <w:rsid w:val="006B0BCA"/>
    <w:rsid w:val="006B0D62"/>
    <w:rsid w:val="006B0DAF"/>
    <w:rsid w:val="006B0DC6"/>
    <w:rsid w:val="006B1162"/>
    <w:rsid w:val="006B1382"/>
    <w:rsid w:val="006B1592"/>
    <w:rsid w:val="006B15BC"/>
    <w:rsid w:val="006B16C9"/>
    <w:rsid w:val="006B17ED"/>
    <w:rsid w:val="006B1892"/>
    <w:rsid w:val="006B1A6E"/>
    <w:rsid w:val="006B1BCC"/>
    <w:rsid w:val="006B1C48"/>
    <w:rsid w:val="006B1C72"/>
    <w:rsid w:val="006B1D3E"/>
    <w:rsid w:val="006B1E18"/>
    <w:rsid w:val="006B1F87"/>
    <w:rsid w:val="006B2308"/>
    <w:rsid w:val="006B23A2"/>
    <w:rsid w:val="006B24A1"/>
    <w:rsid w:val="006B273E"/>
    <w:rsid w:val="006B28A5"/>
    <w:rsid w:val="006B29AA"/>
    <w:rsid w:val="006B29D7"/>
    <w:rsid w:val="006B2B69"/>
    <w:rsid w:val="006B2CEA"/>
    <w:rsid w:val="006B3202"/>
    <w:rsid w:val="006B33A5"/>
    <w:rsid w:val="006B359D"/>
    <w:rsid w:val="006B3797"/>
    <w:rsid w:val="006B3875"/>
    <w:rsid w:val="006B38E3"/>
    <w:rsid w:val="006B3B8D"/>
    <w:rsid w:val="006B3BB5"/>
    <w:rsid w:val="006B3D52"/>
    <w:rsid w:val="006B3DCF"/>
    <w:rsid w:val="006B3FE6"/>
    <w:rsid w:val="006B4153"/>
    <w:rsid w:val="006B439C"/>
    <w:rsid w:val="006B43DA"/>
    <w:rsid w:val="006B46B5"/>
    <w:rsid w:val="006B4B94"/>
    <w:rsid w:val="006B4E54"/>
    <w:rsid w:val="006B58FA"/>
    <w:rsid w:val="006B5B6F"/>
    <w:rsid w:val="006B5BAC"/>
    <w:rsid w:val="006B5C6F"/>
    <w:rsid w:val="006B5C9E"/>
    <w:rsid w:val="006B5D99"/>
    <w:rsid w:val="006B5EA2"/>
    <w:rsid w:val="006B5EF4"/>
    <w:rsid w:val="006B6013"/>
    <w:rsid w:val="006B6535"/>
    <w:rsid w:val="006B66F1"/>
    <w:rsid w:val="006B6928"/>
    <w:rsid w:val="006B6F85"/>
    <w:rsid w:val="006B6F9C"/>
    <w:rsid w:val="006B6FD1"/>
    <w:rsid w:val="006B7167"/>
    <w:rsid w:val="006B746D"/>
    <w:rsid w:val="006B7610"/>
    <w:rsid w:val="006B77E5"/>
    <w:rsid w:val="006B7826"/>
    <w:rsid w:val="006B7A2A"/>
    <w:rsid w:val="006B7AEA"/>
    <w:rsid w:val="006B7C60"/>
    <w:rsid w:val="006B7D97"/>
    <w:rsid w:val="006B7E0E"/>
    <w:rsid w:val="006B7E2A"/>
    <w:rsid w:val="006B7E31"/>
    <w:rsid w:val="006B7EA5"/>
    <w:rsid w:val="006C00C1"/>
    <w:rsid w:val="006C0281"/>
    <w:rsid w:val="006C0412"/>
    <w:rsid w:val="006C04B0"/>
    <w:rsid w:val="006C06F3"/>
    <w:rsid w:val="006C0BFC"/>
    <w:rsid w:val="006C0D74"/>
    <w:rsid w:val="006C1271"/>
    <w:rsid w:val="006C1407"/>
    <w:rsid w:val="006C1432"/>
    <w:rsid w:val="006C1450"/>
    <w:rsid w:val="006C1A2A"/>
    <w:rsid w:val="006C1A72"/>
    <w:rsid w:val="006C1CFA"/>
    <w:rsid w:val="006C1E54"/>
    <w:rsid w:val="006C1E89"/>
    <w:rsid w:val="006C1FF9"/>
    <w:rsid w:val="006C20E9"/>
    <w:rsid w:val="006C2338"/>
    <w:rsid w:val="006C2560"/>
    <w:rsid w:val="006C271C"/>
    <w:rsid w:val="006C2729"/>
    <w:rsid w:val="006C288C"/>
    <w:rsid w:val="006C29D4"/>
    <w:rsid w:val="006C2BFF"/>
    <w:rsid w:val="006C2CD4"/>
    <w:rsid w:val="006C39DA"/>
    <w:rsid w:val="006C39FE"/>
    <w:rsid w:val="006C3BBC"/>
    <w:rsid w:val="006C3E96"/>
    <w:rsid w:val="006C43A2"/>
    <w:rsid w:val="006C4572"/>
    <w:rsid w:val="006C45B4"/>
    <w:rsid w:val="006C4A83"/>
    <w:rsid w:val="006C4B17"/>
    <w:rsid w:val="006C55B2"/>
    <w:rsid w:val="006C57D5"/>
    <w:rsid w:val="006C599D"/>
    <w:rsid w:val="006C5CDE"/>
    <w:rsid w:val="006C5D1B"/>
    <w:rsid w:val="006C5F54"/>
    <w:rsid w:val="006C6550"/>
    <w:rsid w:val="006C67DF"/>
    <w:rsid w:val="006C688C"/>
    <w:rsid w:val="006C69B5"/>
    <w:rsid w:val="006C6D7D"/>
    <w:rsid w:val="006C6E62"/>
    <w:rsid w:val="006C74E0"/>
    <w:rsid w:val="006C7534"/>
    <w:rsid w:val="006C7677"/>
    <w:rsid w:val="006C77F3"/>
    <w:rsid w:val="006C781F"/>
    <w:rsid w:val="006C782F"/>
    <w:rsid w:val="006C78AA"/>
    <w:rsid w:val="006C7968"/>
    <w:rsid w:val="006C7B11"/>
    <w:rsid w:val="006C7C38"/>
    <w:rsid w:val="006D0225"/>
    <w:rsid w:val="006D023B"/>
    <w:rsid w:val="006D04CC"/>
    <w:rsid w:val="006D065F"/>
    <w:rsid w:val="006D0757"/>
    <w:rsid w:val="006D094A"/>
    <w:rsid w:val="006D09CE"/>
    <w:rsid w:val="006D0AAC"/>
    <w:rsid w:val="006D0AE6"/>
    <w:rsid w:val="006D0C40"/>
    <w:rsid w:val="006D0C68"/>
    <w:rsid w:val="006D0FD0"/>
    <w:rsid w:val="006D114C"/>
    <w:rsid w:val="006D156D"/>
    <w:rsid w:val="006D1617"/>
    <w:rsid w:val="006D16F2"/>
    <w:rsid w:val="006D1809"/>
    <w:rsid w:val="006D180B"/>
    <w:rsid w:val="006D1819"/>
    <w:rsid w:val="006D1893"/>
    <w:rsid w:val="006D19CA"/>
    <w:rsid w:val="006D1BF1"/>
    <w:rsid w:val="006D1C93"/>
    <w:rsid w:val="006D1DBA"/>
    <w:rsid w:val="006D1DBB"/>
    <w:rsid w:val="006D1E03"/>
    <w:rsid w:val="006D20E3"/>
    <w:rsid w:val="006D21A3"/>
    <w:rsid w:val="006D220B"/>
    <w:rsid w:val="006D2221"/>
    <w:rsid w:val="006D236B"/>
    <w:rsid w:val="006D2942"/>
    <w:rsid w:val="006D2E38"/>
    <w:rsid w:val="006D2E4C"/>
    <w:rsid w:val="006D2FBD"/>
    <w:rsid w:val="006D30AB"/>
    <w:rsid w:val="006D33DC"/>
    <w:rsid w:val="006D368F"/>
    <w:rsid w:val="006D37D8"/>
    <w:rsid w:val="006D390A"/>
    <w:rsid w:val="006D3930"/>
    <w:rsid w:val="006D39CF"/>
    <w:rsid w:val="006D3AD2"/>
    <w:rsid w:val="006D3CC2"/>
    <w:rsid w:val="006D3D71"/>
    <w:rsid w:val="006D3FF9"/>
    <w:rsid w:val="006D40BA"/>
    <w:rsid w:val="006D44AB"/>
    <w:rsid w:val="006D4632"/>
    <w:rsid w:val="006D47D6"/>
    <w:rsid w:val="006D492D"/>
    <w:rsid w:val="006D5922"/>
    <w:rsid w:val="006D5A68"/>
    <w:rsid w:val="006D5D5D"/>
    <w:rsid w:val="006D608B"/>
    <w:rsid w:val="006D616A"/>
    <w:rsid w:val="006D62F6"/>
    <w:rsid w:val="006D63DC"/>
    <w:rsid w:val="006D6ABD"/>
    <w:rsid w:val="006D6B39"/>
    <w:rsid w:val="006D6CB1"/>
    <w:rsid w:val="006D6D1E"/>
    <w:rsid w:val="006D6F00"/>
    <w:rsid w:val="006D6FCC"/>
    <w:rsid w:val="006D72AF"/>
    <w:rsid w:val="006D74BD"/>
    <w:rsid w:val="006D778B"/>
    <w:rsid w:val="006D77B6"/>
    <w:rsid w:val="006D7906"/>
    <w:rsid w:val="006D79CC"/>
    <w:rsid w:val="006D7B53"/>
    <w:rsid w:val="006D7C74"/>
    <w:rsid w:val="006D7DC5"/>
    <w:rsid w:val="006E0129"/>
    <w:rsid w:val="006E0172"/>
    <w:rsid w:val="006E0459"/>
    <w:rsid w:val="006E0571"/>
    <w:rsid w:val="006E063C"/>
    <w:rsid w:val="006E078E"/>
    <w:rsid w:val="006E0819"/>
    <w:rsid w:val="006E0914"/>
    <w:rsid w:val="006E0A89"/>
    <w:rsid w:val="006E0B6F"/>
    <w:rsid w:val="006E0FFC"/>
    <w:rsid w:val="006E103A"/>
    <w:rsid w:val="006E13CA"/>
    <w:rsid w:val="006E1454"/>
    <w:rsid w:val="006E149B"/>
    <w:rsid w:val="006E1505"/>
    <w:rsid w:val="006E1643"/>
    <w:rsid w:val="006E16EF"/>
    <w:rsid w:val="006E186B"/>
    <w:rsid w:val="006E18A0"/>
    <w:rsid w:val="006E1AFD"/>
    <w:rsid w:val="006E1C8F"/>
    <w:rsid w:val="006E1CC2"/>
    <w:rsid w:val="006E218F"/>
    <w:rsid w:val="006E2273"/>
    <w:rsid w:val="006E22B3"/>
    <w:rsid w:val="006E266B"/>
    <w:rsid w:val="006E2847"/>
    <w:rsid w:val="006E2879"/>
    <w:rsid w:val="006E28AB"/>
    <w:rsid w:val="006E2B84"/>
    <w:rsid w:val="006E2CD8"/>
    <w:rsid w:val="006E2DD9"/>
    <w:rsid w:val="006E2E76"/>
    <w:rsid w:val="006E311A"/>
    <w:rsid w:val="006E31EA"/>
    <w:rsid w:val="006E33FD"/>
    <w:rsid w:val="006E3660"/>
    <w:rsid w:val="006E36AE"/>
    <w:rsid w:val="006E3986"/>
    <w:rsid w:val="006E3FA7"/>
    <w:rsid w:val="006E4077"/>
    <w:rsid w:val="006E41F4"/>
    <w:rsid w:val="006E438B"/>
    <w:rsid w:val="006E4607"/>
    <w:rsid w:val="006E4982"/>
    <w:rsid w:val="006E49BD"/>
    <w:rsid w:val="006E4A3E"/>
    <w:rsid w:val="006E4BD2"/>
    <w:rsid w:val="006E4CC0"/>
    <w:rsid w:val="006E4DDD"/>
    <w:rsid w:val="006E4E96"/>
    <w:rsid w:val="006E4EFC"/>
    <w:rsid w:val="006E4F67"/>
    <w:rsid w:val="006E50E0"/>
    <w:rsid w:val="006E50F9"/>
    <w:rsid w:val="006E5BC3"/>
    <w:rsid w:val="006E5DEB"/>
    <w:rsid w:val="006E5F5D"/>
    <w:rsid w:val="006E6070"/>
    <w:rsid w:val="006E60DC"/>
    <w:rsid w:val="006E645E"/>
    <w:rsid w:val="006E6554"/>
    <w:rsid w:val="006E6758"/>
    <w:rsid w:val="006E68BE"/>
    <w:rsid w:val="006E71C4"/>
    <w:rsid w:val="006E73BB"/>
    <w:rsid w:val="006E73CC"/>
    <w:rsid w:val="006E75A1"/>
    <w:rsid w:val="006E7647"/>
    <w:rsid w:val="006E775E"/>
    <w:rsid w:val="006E7838"/>
    <w:rsid w:val="006E79F0"/>
    <w:rsid w:val="006E7A1E"/>
    <w:rsid w:val="006E7CC2"/>
    <w:rsid w:val="006E7CCD"/>
    <w:rsid w:val="006E7D5F"/>
    <w:rsid w:val="006E7EF1"/>
    <w:rsid w:val="006F002F"/>
    <w:rsid w:val="006F03F3"/>
    <w:rsid w:val="006F049D"/>
    <w:rsid w:val="006F04BA"/>
    <w:rsid w:val="006F05F4"/>
    <w:rsid w:val="006F072F"/>
    <w:rsid w:val="006F08A9"/>
    <w:rsid w:val="006F1184"/>
    <w:rsid w:val="006F1425"/>
    <w:rsid w:val="006F17EA"/>
    <w:rsid w:val="006F189B"/>
    <w:rsid w:val="006F18BF"/>
    <w:rsid w:val="006F1BC4"/>
    <w:rsid w:val="006F1DA3"/>
    <w:rsid w:val="006F1EC8"/>
    <w:rsid w:val="006F20C2"/>
    <w:rsid w:val="006F233E"/>
    <w:rsid w:val="006F2407"/>
    <w:rsid w:val="006F2409"/>
    <w:rsid w:val="006F250C"/>
    <w:rsid w:val="006F2867"/>
    <w:rsid w:val="006F2B6F"/>
    <w:rsid w:val="006F3156"/>
    <w:rsid w:val="006F3235"/>
    <w:rsid w:val="006F330D"/>
    <w:rsid w:val="006F3501"/>
    <w:rsid w:val="006F36CB"/>
    <w:rsid w:val="006F3C63"/>
    <w:rsid w:val="006F3ED4"/>
    <w:rsid w:val="006F406F"/>
    <w:rsid w:val="006F4126"/>
    <w:rsid w:val="006F414A"/>
    <w:rsid w:val="006F41A7"/>
    <w:rsid w:val="006F41B1"/>
    <w:rsid w:val="006F4224"/>
    <w:rsid w:val="006F444D"/>
    <w:rsid w:val="006F45F3"/>
    <w:rsid w:val="006F46A6"/>
    <w:rsid w:val="006F4ACA"/>
    <w:rsid w:val="006F52DC"/>
    <w:rsid w:val="006F537E"/>
    <w:rsid w:val="006F5539"/>
    <w:rsid w:val="006F57A1"/>
    <w:rsid w:val="006F584A"/>
    <w:rsid w:val="006F5A94"/>
    <w:rsid w:val="006F5B86"/>
    <w:rsid w:val="006F5C82"/>
    <w:rsid w:val="006F650F"/>
    <w:rsid w:val="006F679B"/>
    <w:rsid w:val="006F682A"/>
    <w:rsid w:val="006F6867"/>
    <w:rsid w:val="006F69CA"/>
    <w:rsid w:val="006F6F49"/>
    <w:rsid w:val="006F70FE"/>
    <w:rsid w:val="006F73D8"/>
    <w:rsid w:val="006F74E9"/>
    <w:rsid w:val="006F7B76"/>
    <w:rsid w:val="006F7E06"/>
    <w:rsid w:val="0070029A"/>
    <w:rsid w:val="0070050F"/>
    <w:rsid w:val="00700549"/>
    <w:rsid w:val="0070057D"/>
    <w:rsid w:val="0070071C"/>
    <w:rsid w:val="00700937"/>
    <w:rsid w:val="00700E8B"/>
    <w:rsid w:val="00700EA3"/>
    <w:rsid w:val="00700F73"/>
    <w:rsid w:val="00701170"/>
    <w:rsid w:val="0070165F"/>
    <w:rsid w:val="007017C6"/>
    <w:rsid w:val="007017D2"/>
    <w:rsid w:val="007018BD"/>
    <w:rsid w:val="00701BCE"/>
    <w:rsid w:val="00701CEF"/>
    <w:rsid w:val="00701CFE"/>
    <w:rsid w:val="00701D66"/>
    <w:rsid w:val="00702148"/>
    <w:rsid w:val="0070239A"/>
    <w:rsid w:val="007025C4"/>
    <w:rsid w:val="0070264C"/>
    <w:rsid w:val="0070329B"/>
    <w:rsid w:val="00703456"/>
    <w:rsid w:val="007035C2"/>
    <w:rsid w:val="0070386D"/>
    <w:rsid w:val="007038DD"/>
    <w:rsid w:val="007038F4"/>
    <w:rsid w:val="00703A72"/>
    <w:rsid w:val="00703AE0"/>
    <w:rsid w:val="00703BF0"/>
    <w:rsid w:val="00703C5D"/>
    <w:rsid w:val="00703C94"/>
    <w:rsid w:val="00703FD1"/>
    <w:rsid w:val="00703FD6"/>
    <w:rsid w:val="007042AB"/>
    <w:rsid w:val="007044D2"/>
    <w:rsid w:val="00704584"/>
    <w:rsid w:val="0070465F"/>
    <w:rsid w:val="007046AA"/>
    <w:rsid w:val="00704A6E"/>
    <w:rsid w:val="00704A95"/>
    <w:rsid w:val="00704AF5"/>
    <w:rsid w:val="00704B88"/>
    <w:rsid w:val="00704CB2"/>
    <w:rsid w:val="00704F6E"/>
    <w:rsid w:val="00704F75"/>
    <w:rsid w:val="00705006"/>
    <w:rsid w:val="00705305"/>
    <w:rsid w:val="00705356"/>
    <w:rsid w:val="007053DB"/>
    <w:rsid w:val="00705400"/>
    <w:rsid w:val="007057A5"/>
    <w:rsid w:val="00705852"/>
    <w:rsid w:val="007059A9"/>
    <w:rsid w:val="007059B9"/>
    <w:rsid w:val="00705DA7"/>
    <w:rsid w:val="00706055"/>
    <w:rsid w:val="00706095"/>
    <w:rsid w:val="007062C9"/>
    <w:rsid w:val="007065E0"/>
    <w:rsid w:val="00706801"/>
    <w:rsid w:val="00706854"/>
    <w:rsid w:val="00706AC7"/>
    <w:rsid w:val="00706B73"/>
    <w:rsid w:val="00706B7E"/>
    <w:rsid w:val="0070706E"/>
    <w:rsid w:val="00707093"/>
    <w:rsid w:val="007070C0"/>
    <w:rsid w:val="007075DA"/>
    <w:rsid w:val="00707842"/>
    <w:rsid w:val="00707990"/>
    <w:rsid w:val="00707A2D"/>
    <w:rsid w:val="00707D5B"/>
    <w:rsid w:val="00707E15"/>
    <w:rsid w:val="00707ED6"/>
    <w:rsid w:val="00707FC7"/>
    <w:rsid w:val="00710015"/>
    <w:rsid w:val="007101DC"/>
    <w:rsid w:val="007102EA"/>
    <w:rsid w:val="007102FE"/>
    <w:rsid w:val="0071080F"/>
    <w:rsid w:val="007108B3"/>
    <w:rsid w:val="00710C6E"/>
    <w:rsid w:val="00710E3C"/>
    <w:rsid w:val="00710ED1"/>
    <w:rsid w:val="00711136"/>
    <w:rsid w:val="00711498"/>
    <w:rsid w:val="007115E7"/>
    <w:rsid w:val="0071171E"/>
    <w:rsid w:val="00711752"/>
    <w:rsid w:val="00711A0A"/>
    <w:rsid w:val="00711AAB"/>
    <w:rsid w:val="00711DCC"/>
    <w:rsid w:val="00711EE7"/>
    <w:rsid w:val="0071217E"/>
    <w:rsid w:val="007121D3"/>
    <w:rsid w:val="0071226B"/>
    <w:rsid w:val="0071227B"/>
    <w:rsid w:val="007123D3"/>
    <w:rsid w:val="007125F9"/>
    <w:rsid w:val="00712649"/>
    <w:rsid w:val="007126B2"/>
    <w:rsid w:val="007126F2"/>
    <w:rsid w:val="0071282B"/>
    <w:rsid w:val="00712A98"/>
    <w:rsid w:val="00712B0D"/>
    <w:rsid w:val="00712BA8"/>
    <w:rsid w:val="00712DB3"/>
    <w:rsid w:val="00712F3D"/>
    <w:rsid w:val="00713046"/>
    <w:rsid w:val="0071307F"/>
    <w:rsid w:val="0071326F"/>
    <w:rsid w:val="0071329E"/>
    <w:rsid w:val="007136D5"/>
    <w:rsid w:val="007137B3"/>
    <w:rsid w:val="007137F3"/>
    <w:rsid w:val="00713EEE"/>
    <w:rsid w:val="007143E1"/>
    <w:rsid w:val="00714460"/>
    <w:rsid w:val="0071478A"/>
    <w:rsid w:val="00714812"/>
    <w:rsid w:val="007148E4"/>
    <w:rsid w:val="00714923"/>
    <w:rsid w:val="00714A81"/>
    <w:rsid w:val="00714B06"/>
    <w:rsid w:val="00714D12"/>
    <w:rsid w:val="00715071"/>
    <w:rsid w:val="0071512C"/>
    <w:rsid w:val="007151A9"/>
    <w:rsid w:val="007151E9"/>
    <w:rsid w:val="0071520E"/>
    <w:rsid w:val="0071525E"/>
    <w:rsid w:val="007152F8"/>
    <w:rsid w:val="007154D2"/>
    <w:rsid w:val="0071557F"/>
    <w:rsid w:val="007157DA"/>
    <w:rsid w:val="00715825"/>
    <w:rsid w:val="00715AEA"/>
    <w:rsid w:val="00716652"/>
    <w:rsid w:val="00716655"/>
    <w:rsid w:val="0071678B"/>
    <w:rsid w:val="0071695C"/>
    <w:rsid w:val="00716986"/>
    <w:rsid w:val="00716A9B"/>
    <w:rsid w:val="00716AFB"/>
    <w:rsid w:val="00716BD3"/>
    <w:rsid w:val="00716BF4"/>
    <w:rsid w:val="00716F00"/>
    <w:rsid w:val="00716F90"/>
    <w:rsid w:val="0071705B"/>
    <w:rsid w:val="0071715C"/>
    <w:rsid w:val="00717865"/>
    <w:rsid w:val="00717D24"/>
    <w:rsid w:val="00717E74"/>
    <w:rsid w:val="007200B6"/>
    <w:rsid w:val="00720495"/>
    <w:rsid w:val="00720588"/>
    <w:rsid w:val="0072078C"/>
    <w:rsid w:val="007207D5"/>
    <w:rsid w:val="007208AD"/>
    <w:rsid w:val="0072090E"/>
    <w:rsid w:val="00720B24"/>
    <w:rsid w:val="00720CD0"/>
    <w:rsid w:val="00721061"/>
    <w:rsid w:val="0072107B"/>
    <w:rsid w:val="00721088"/>
    <w:rsid w:val="00721142"/>
    <w:rsid w:val="007212CF"/>
    <w:rsid w:val="0072173C"/>
    <w:rsid w:val="00721944"/>
    <w:rsid w:val="00721A52"/>
    <w:rsid w:val="00721BCE"/>
    <w:rsid w:val="00721D21"/>
    <w:rsid w:val="00721D54"/>
    <w:rsid w:val="00721D66"/>
    <w:rsid w:val="00722282"/>
    <w:rsid w:val="007223DE"/>
    <w:rsid w:val="00722434"/>
    <w:rsid w:val="007224D2"/>
    <w:rsid w:val="007225BA"/>
    <w:rsid w:val="007228AE"/>
    <w:rsid w:val="0072291B"/>
    <w:rsid w:val="00722A5E"/>
    <w:rsid w:val="00722C9B"/>
    <w:rsid w:val="00722D89"/>
    <w:rsid w:val="00722F3E"/>
    <w:rsid w:val="007231C3"/>
    <w:rsid w:val="00723214"/>
    <w:rsid w:val="007232F6"/>
    <w:rsid w:val="00723392"/>
    <w:rsid w:val="00723556"/>
    <w:rsid w:val="0072358D"/>
    <w:rsid w:val="00723738"/>
    <w:rsid w:val="007239F3"/>
    <w:rsid w:val="00723A60"/>
    <w:rsid w:val="00723F0B"/>
    <w:rsid w:val="00723F93"/>
    <w:rsid w:val="00724276"/>
    <w:rsid w:val="007243C3"/>
    <w:rsid w:val="007248B2"/>
    <w:rsid w:val="00724E26"/>
    <w:rsid w:val="00724ED7"/>
    <w:rsid w:val="00724FFC"/>
    <w:rsid w:val="00725069"/>
    <w:rsid w:val="007250A8"/>
    <w:rsid w:val="007252C3"/>
    <w:rsid w:val="00725477"/>
    <w:rsid w:val="0072548E"/>
    <w:rsid w:val="007254D4"/>
    <w:rsid w:val="007254DD"/>
    <w:rsid w:val="00725862"/>
    <w:rsid w:val="00725AEB"/>
    <w:rsid w:val="00725C19"/>
    <w:rsid w:val="00725CC4"/>
    <w:rsid w:val="00725E78"/>
    <w:rsid w:val="00726003"/>
    <w:rsid w:val="0072602F"/>
    <w:rsid w:val="007264B2"/>
    <w:rsid w:val="007264F8"/>
    <w:rsid w:val="0072652A"/>
    <w:rsid w:val="00726604"/>
    <w:rsid w:val="00726621"/>
    <w:rsid w:val="0072662A"/>
    <w:rsid w:val="00726683"/>
    <w:rsid w:val="007266FE"/>
    <w:rsid w:val="007267C8"/>
    <w:rsid w:val="007269C2"/>
    <w:rsid w:val="00726A50"/>
    <w:rsid w:val="00727276"/>
    <w:rsid w:val="007272E2"/>
    <w:rsid w:val="007272F6"/>
    <w:rsid w:val="007274BA"/>
    <w:rsid w:val="00727733"/>
    <w:rsid w:val="0072778F"/>
    <w:rsid w:val="00727793"/>
    <w:rsid w:val="007279FD"/>
    <w:rsid w:val="00727B4F"/>
    <w:rsid w:val="00727C28"/>
    <w:rsid w:val="00727D24"/>
    <w:rsid w:val="00727E11"/>
    <w:rsid w:val="0073012B"/>
    <w:rsid w:val="0073065E"/>
    <w:rsid w:val="00730D45"/>
    <w:rsid w:val="0073104C"/>
    <w:rsid w:val="0073113B"/>
    <w:rsid w:val="0073131C"/>
    <w:rsid w:val="0073160B"/>
    <w:rsid w:val="00731A42"/>
    <w:rsid w:val="00731EB8"/>
    <w:rsid w:val="00731F4A"/>
    <w:rsid w:val="00731FF3"/>
    <w:rsid w:val="00732A0C"/>
    <w:rsid w:val="00732B0E"/>
    <w:rsid w:val="00732E59"/>
    <w:rsid w:val="007330BF"/>
    <w:rsid w:val="007331C6"/>
    <w:rsid w:val="007331D6"/>
    <w:rsid w:val="0073322B"/>
    <w:rsid w:val="0073335D"/>
    <w:rsid w:val="00733432"/>
    <w:rsid w:val="0073365B"/>
    <w:rsid w:val="00733855"/>
    <w:rsid w:val="0073385E"/>
    <w:rsid w:val="00733B7E"/>
    <w:rsid w:val="00733BF8"/>
    <w:rsid w:val="00733F27"/>
    <w:rsid w:val="00734010"/>
    <w:rsid w:val="0073437C"/>
    <w:rsid w:val="007343F7"/>
    <w:rsid w:val="00734945"/>
    <w:rsid w:val="00734AC1"/>
    <w:rsid w:val="00734D55"/>
    <w:rsid w:val="00734EA2"/>
    <w:rsid w:val="00735190"/>
    <w:rsid w:val="007351ED"/>
    <w:rsid w:val="0073526D"/>
    <w:rsid w:val="00735445"/>
    <w:rsid w:val="00735A02"/>
    <w:rsid w:val="00735B2C"/>
    <w:rsid w:val="00735CC6"/>
    <w:rsid w:val="00735D73"/>
    <w:rsid w:val="00735EA5"/>
    <w:rsid w:val="00735F84"/>
    <w:rsid w:val="007360B7"/>
    <w:rsid w:val="00736457"/>
    <w:rsid w:val="00736493"/>
    <w:rsid w:val="00736636"/>
    <w:rsid w:val="0073684B"/>
    <w:rsid w:val="00736872"/>
    <w:rsid w:val="007368FD"/>
    <w:rsid w:val="00737068"/>
    <w:rsid w:val="0073722F"/>
    <w:rsid w:val="00737365"/>
    <w:rsid w:val="00737523"/>
    <w:rsid w:val="00737549"/>
    <w:rsid w:val="0073762A"/>
    <w:rsid w:val="00737656"/>
    <w:rsid w:val="00737902"/>
    <w:rsid w:val="007379C0"/>
    <w:rsid w:val="00737B76"/>
    <w:rsid w:val="00737BE2"/>
    <w:rsid w:val="00737CC4"/>
    <w:rsid w:val="00737D98"/>
    <w:rsid w:val="00737F57"/>
    <w:rsid w:val="00740042"/>
    <w:rsid w:val="00740058"/>
    <w:rsid w:val="00740153"/>
    <w:rsid w:val="007402EA"/>
    <w:rsid w:val="007403BF"/>
    <w:rsid w:val="0074058C"/>
    <w:rsid w:val="00740833"/>
    <w:rsid w:val="00740834"/>
    <w:rsid w:val="0074088C"/>
    <w:rsid w:val="00740A38"/>
    <w:rsid w:val="00740ABD"/>
    <w:rsid w:val="00740B91"/>
    <w:rsid w:val="00740E6A"/>
    <w:rsid w:val="00741162"/>
    <w:rsid w:val="00741366"/>
    <w:rsid w:val="00741389"/>
    <w:rsid w:val="00741392"/>
    <w:rsid w:val="00741463"/>
    <w:rsid w:val="007416E4"/>
    <w:rsid w:val="00741B93"/>
    <w:rsid w:val="00741E72"/>
    <w:rsid w:val="00741F78"/>
    <w:rsid w:val="00742008"/>
    <w:rsid w:val="007421CD"/>
    <w:rsid w:val="007421EA"/>
    <w:rsid w:val="00742491"/>
    <w:rsid w:val="007425FC"/>
    <w:rsid w:val="007426BF"/>
    <w:rsid w:val="00742832"/>
    <w:rsid w:val="00742C4E"/>
    <w:rsid w:val="00742F9F"/>
    <w:rsid w:val="00742FD3"/>
    <w:rsid w:val="0074307D"/>
    <w:rsid w:val="007435D0"/>
    <w:rsid w:val="00743889"/>
    <w:rsid w:val="007439E5"/>
    <w:rsid w:val="00743D5F"/>
    <w:rsid w:val="00743D8A"/>
    <w:rsid w:val="00743D91"/>
    <w:rsid w:val="00743DFA"/>
    <w:rsid w:val="0074439B"/>
    <w:rsid w:val="0074454D"/>
    <w:rsid w:val="00744551"/>
    <w:rsid w:val="00744597"/>
    <w:rsid w:val="007445EF"/>
    <w:rsid w:val="0074462E"/>
    <w:rsid w:val="00744665"/>
    <w:rsid w:val="0074466A"/>
    <w:rsid w:val="00744742"/>
    <w:rsid w:val="00744760"/>
    <w:rsid w:val="00744B9F"/>
    <w:rsid w:val="00744BB2"/>
    <w:rsid w:val="00744C9F"/>
    <w:rsid w:val="007450E6"/>
    <w:rsid w:val="007451C1"/>
    <w:rsid w:val="0074524C"/>
    <w:rsid w:val="007454F7"/>
    <w:rsid w:val="00745547"/>
    <w:rsid w:val="007455DA"/>
    <w:rsid w:val="00745C72"/>
    <w:rsid w:val="00745D56"/>
    <w:rsid w:val="00745DBB"/>
    <w:rsid w:val="00745DDF"/>
    <w:rsid w:val="00745EAD"/>
    <w:rsid w:val="0074605B"/>
    <w:rsid w:val="0074635B"/>
    <w:rsid w:val="007466BB"/>
    <w:rsid w:val="00746976"/>
    <w:rsid w:val="00746997"/>
    <w:rsid w:val="00746F1D"/>
    <w:rsid w:val="00746F23"/>
    <w:rsid w:val="0074727A"/>
    <w:rsid w:val="007473DA"/>
    <w:rsid w:val="0074754D"/>
    <w:rsid w:val="0074758C"/>
    <w:rsid w:val="00747833"/>
    <w:rsid w:val="0074798C"/>
    <w:rsid w:val="007479B9"/>
    <w:rsid w:val="007479D0"/>
    <w:rsid w:val="00747A1E"/>
    <w:rsid w:val="00747A7B"/>
    <w:rsid w:val="00747B65"/>
    <w:rsid w:val="00747BAF"/>
    <w:rsid w:val="00747CA7"/>
    <w:rsid w:val="00747F1A"/>
    <w:rsid w:val="007501BE"/>
    <w:rsid w:val="00750230"/>
    <w:rsid w:val="007505AB"/>
    <w:rsid w:val="007507B1"/>
    <w:rsid w:val="0075098A"/>
    <w:rsid w:val="00750D7B"/>
    <w:rsid w:val="00750DCE"/>
    <w:rsid w:val="00750E83"/>
    <w:rsid w:val="00750EE4"/>
    <w:rsid w:val="00751009"/>
    <w:rsid w:val="007511AC"/>
    <w:rsid w:val="0075138B"/>
    <w:rsid w:val="00751503"/>
    <w:rsid w:val="0075190D"/>
    <w:rsid w:val="0075195E"/>
    <w:rsid w:val="007520E2"/>
    <w:rsid w:val="0075213C"/>
    <w:rsid w:val="00752260"/>
    <w:rsid w:val="007522BE"/>
    <w:rsid w:val="007524C4"/>
    <w:rsid w:val="0075257D"/>
    <w:rsid w:val="0075285E"/>
    <w:rsid w:val="007529F2"/>
    <w:rsid w:val="00752A46"/>
    <w:rsid w:val="00752BC6"/>
    <w:rsid w:val="00752D8A"/>
    <w:rsid w:val="00752DC1"/>
    <w:rsid w:val="00752F26"/>
    <w:rsid w:val="00752F36"/>
    <w:rsid w:val="0075314A"/>
    <w:rsid w:val="007531DF"/>
    <w:rsid w:val="0075335F"/>
    <w:rsid w:val="007533B8"/>
    <w:rsid w:val="007536CC"/>
    <w:rsid w:val="007537DA"/>
    <w:rsid w:val="0075393A"/>
    <w:rsid w:val="007540DB"/>
    <w:rsid w:val="00754592"/>
    <w:rsid w:val="00754612"/>
    <w:rsid w:val="00754989"/>
    <w:rsid w:val="0075529B"/>
    <w:rsid w:val="00755366"/>
    <w:rsid w:val="00755461"/>
    <w:rsid w:val="007556DF"/>
    <w:rsid w:val="00755D18"/>
    <w:rsid w:val="00755F03"/>
    <w:rsid w:val="00756102"/>
    <w:rsid w:val="0075638F"/>
    <w:rsid w:val="00756442"/>
    <w:rsid w:val="00756691"/>
    <w:rsid w:val="00756DE5"/>
    <w:rsid w:val="00756FE4"/>
    <w:rsid w:val="00757033"/>
    <w:rsid w:val="007572D7"/>
    <w:rsid w:val="00757480"/>
    <w:rsid w:val="0075754C"/>
    <w:rsid w:val="00757585"/>
    <w:rsid w:val="007577A7"/>
    <w:rsid w:val="007578B7"/>
    <w:rsid w:val="00757BE1"/>
    <w:rsid w:val="00757C5E"/>
    <w:rsid w:val="00757DBF"/>
    <w:rsid w:val="00757F09"/>
    <w:rsid w:val="0076009D"/>
    <w:rsid w:val="00760255"/>
    <w:rsid w:val="007602A0"/>
    <w:rsid w:val="007603D7"/>
    <w:rsid w:val="00760867"/>
    <w:rsid w:val="007608B1"/>
    <w:rsid w:val="00760F0C"/>
    <w:rsid w:val="0076117A"/>
    <w:rsid w:val="0076118C"/>
    <w:rsid w:val="00761191"/>
    <w:rsid w:val="0076119A"/>
    <w:rsid w:val="00761295"/>
    <w:rsid w:val="00761713"/>
    <w:rsid w:val="00761C4A"/>
    <w:rsid w:val="00761E18"/>
    <w:rsid w:val="00761ED8"/>
    <w:rsid w:val="00761EF7"/>
    <w:rsid w:val="00761F6D"/>
    <w:rsid w:val="00761FC1"/>
    <w:rsid w:val="007621F1"/>
    <w:rsid w:val="00762483"/>
    <w:rsid w:val="00762513"/>
    <w:rsid w:val="00762558"/>
    <w:rsid w:val="00762B30"/>
    <w:rsid w:val="00762B7D"/>
    <w:rsid w:val="00762CE6"/>
    <w:rsid w:val="00763105"/>
    <w:rsid w:val="007631A5"/>
    <w:rsid w:val="00763614"/>
    <w:rsid w:val="00763625"/>
    <w:rsid w:val="0076376B"/>
    <w:rsid w:val="00763786"/>
    <w:rsid w:val="007637A0"/>
    <w:rsid w:val="00763A76"/>
    <w:rsid w:val="00763B14"/>
    <w:rsid w:val="00763BA0"/>
    <w:rsid w:val="00763EFD"/>
    <w:rsid w:val="00763FE6"/>
    <w:rsid w:val="00764361"/>
    <w:rsid w:val="00764379"/>
    <w:rsid w:val="00764558"/>
    <w:rsid w:val="00764C43"/>
    <w:rsid w:val="00764E36"/>
    <w:rsid w:val="00764F00"/>
    <w:rsid w:val="00765185"/>
    <w:rsid w:val="007656E0"/>
    <w:rsid w:val="007658BB"/>
    <w:rsid w:val="007658F4"/>
    <w:rsid w:val="00765A3E"/>
    <w:rsid w:val="00765A51"/>
    <w:rsid w:val="00765BF3"/>
    <w:rsid w:val="00765D57"/>
    <w:rsid w:val="00765F19"/>
    <w:rsid w:val="00765FA3"/>
    <w:rsid w:val="007664FA"/>
    <w:rsid w:val="00766670"/>
    <w:rsid w:val="00766852"/>
    <w:rsid w:val="00766CA5"/>
    <w:rsid w:val="00766D63"/>
    <w:rsid w:val="00766ECD"/>
    <w:rsid w:val="0076709A"/>
    <w:rsid w:val="0076740B"/>
    <w:rsid w:val="00767623"/>
    <w:rsid w:val="00767B93"/>
    <w:rsid w:val="00767C9F"/>
    <w:rsid w:val="00767F9F"/>
    <w:rsid w:val="00770086"/>
    <w:rsid w:val="007700E1"/>
    <w:rsid w:val="00770233"/>
    <w:rsid w:val="00770236"/>
    <w:rsid w:val="007703D8"/>
    <w:rsid w:val="0077048E"/>
    <w:rsid w:val="00770716"/>
    <w:rsid w:val="00770850"/>
    <w:rsid w:val="00770863"/>
    <w:rsid w:val="0077090B"/>
    <w:rsid w:val="00770CE6"/>
    <w:rsid w:val="00771028"/>
    <w:rsid w:val="007714BE"/>
    <w:rsid w:val="0077152D"/>
    <w:rsid w:val="007715C5"/>
    <w:rsid w:val="007716E2"/>
    <w:rsid w:val="007717B6"/>
    <w:rsid w:val="007717BE"/>
    <w:rsid w:val="00771869"/>
    <w:rsid w:val="007718C3"/>
    <w:rsid w:val="007718FA"/>
    <w:rsid w:val="00771C93"/>
    <w:rsid w:val="00771E65"/>
    <w:rsid w:val="00771F38"/>
    <w:rsid w:val="00771FDD"/>
    <w:rsid w:val="0077216A"/>
    <w:rsid w:val="0077260D"/>
    <w:rsid w:val="00772B4E"/>
    <w:rsid w:val="00772BDD"/>
    <w:rsid w:val="00772C3D"/>
    <w:rsid w:val="007730C3"/>
    <w:rsid w:val="00773318"/>
    <w:rsid w:val="00773554"/>
    <w:rsid w:val="0077362E"/>
    <w:rsid w:val="00773928"/>
    <w:rsid w:val="00773936"/>
    <w:rsid w:val="00773D24"/>
    <w:rsid w:val="00773FAE"/>
    <w:rsid w:val="00774049"/>
    <w:rsid w:val="0077423E"/>
    <w:rsid w:val="00774291"/>
    <w:rsid w:val="007742E5"/>
    <w:rsid w:val="007743F5"/>
    <w:rsid w:val="00774438"/>
    <w:rsid w:val="00774923"/>
    <w:rsid w:val="00774BE2"/>
    <w:rsid w:val="00774C3E"/>
    <w:rsid w:val="00774C50"/>
    <w:rsid w:val="00774D1A"/>
    <w:rsid w:val="00774F20"/>
    <w:rsid w:val="007750FB"/>
    <w:rsid w:val="00775438"/>
    <w:rsid w:val="0077550C"/>
    <w:rsid w:val="0077576A"/>
    <w:rsid w:val="00775ABE"/>
    <w:rsid w:val="00775C00"/>
    <w:rsid w:val="00775CB3"/>
    <w:rsid w:val="00776056"/>
    <w:rsid w:val="007760B0"/>
    <w:rsid w:val="007760EA"/>
    <w:rsid w:val="0077612C"/>
    <w:rsid w:val="00776243"/>
    <w:rsid w:val="007762AF"/>
    <w:rsid w:val="00776334"/>
    <w:rsid w:val="00776450"/>
    <w:rsid w:val="0077659A"/>
    <w:rsid w:val="007767C5"/>
    <w:rsid w:val="0077683F"/>
    <w:rsid w:val="00776B0A"/>
    <w:rsid w:val="00776B61"/>
    <w:rsid w:val="00776C49"/>
    <w:rsid w:val="00776CD0"/>
    <w:rsid w:val="00776EAF"/>
    <w:rsid w:val="00776EB0"/>
    <w:rsid w:val="007772E8"/>
    <w:rsid w:val="0077758B"/>
    <w:rsid w:val="0077788F"/>
    <w:rsid w:val="0077795E"/>
    <w:rsid w:val="00777A16"/>
    <w:rsid w:val="00777A4E"/>
    <w:rsid w:val="00777F77"/>
    <w:rsid w:val="0078042F"/>
    <w:rsid w:val="0078047B"/>
    <w:rsid w:val="007806DD"/>
    <w:rsid w:val="00780998"/>
    <w:rsid w:val="00780B5F"/>
    <w:rsid w:val="00780C3F"/>
    <w:rsid w:val="00780E78"/>
    <w:rsid w:val="00781123"/>
    <w:rsid w:val="0078116B"/>
    <w:rsid w:val="007811BB"/>
    <w:rsid w:val="00781264"/>
    <w:rsid w:val="007812E4"/>
    <w:rsid w:val="007815A4"/>
    <w:rsid w:val="0078182D"/>
    <w:rsid w:val="00781A0F"/>
    <w:rsid w:val="00781B23"/>
    <w:rsid w:val="00781C3D"/>
    <w:rsid w:val="00781F3E"/>
    <w:rsid w:val="007824B9"/>
    <w:rsid w:val="00782951"/>
    <w:rsid w:val="0078296B"/>
    <w:rsid w:val="00782DF4"/>
    <w:rsid w:val="00783234"/>
    <w:rsid w:val="0078326E"/>
    <w:rsid w:val="00783514"/>
    <w:rsid w:val="00783825"/>
    <w:rsid w:val="00783845"/>
    <w:rsid w:val="00783A51"/>
    <w:rsid w:val="00783AF3"/>
    <w:rsid w:val="00783C1E"/>
    <w:rsid w:val="00783D89"/>
    <w:rsid w:val="00784009"/>
    <w:rsid w:val="00784123"/>
    <w:rsid w:val="007846A8"/>
    <w:rsid w:val="007848B8"/>
    <w:rsid w:val="0078497E"/>
    <w:rsid w:val="00784BA9"/>
    <w:rsid w:val="00784C4B"/>
    <w:rsid w:val="00785590"/>
    <w:rsid w:val="00785648"/>
    <w:rsid w:val="00785AF0"/>
    <w:rsid w:val="00785CE1"/>
    <w:rsid w:val="00786028"/>
    <w:rsid w:val="00786388"/>
    <w:rsid w:val="00786550"/>
    <w:rsid w:val="007865DA"/>
    <w:rsid w:val="007867B8"/>
    <w:rsid w:val="007867F5"/>
    <w:rsid w:val="007868DF"/>
    <w:rsid w:val="007868E3"/>
    <w:rsid w:val="00786B9D"/>
    <w:rsid w:val="00786BE3"/>
    <w:rsid w:val="00786C06"/>
    <w:rsid w:val="00786EA6"/>
    <w:rsid w:val="00786F59"/>
    <w:rsid w:val="00787228"/>
    <w:rsid w:val="007872D0"/>
    <w:rsid w:val="00787344"/>
    <w:rsid w:val="007873B7"/>
    <w:rsid w:val="007874B1"/>
    <w:rsid w:val="007876CD"/>
    <w:rsid w:val="00787715"/>
    <w:rsid w:val="0078778E"/>
    <w:rsid w:val="0078787D"/>
    <w:rsid w:val="00787A49"/>
    <w:rsid w:val="00787C6C"/>
    <w:rsid w:val="00787ECD"/>
    <w:rsid w:val="00787F0C"/>
    <w:rsid w:val="00790166"/>
    <w:rsid w:val="00790223"/>
    <w:rsid w:val="0079022C"/>
    <w:rsid w:val="0079022E"/>
    <w:rsid w:val="0079045D"/>
    <w:rsid w:val="007905CA"/>
    <w:rsid w:val="00790615"/>
    <w:rsid w:val="007908C6"/>
    <w:rsid w:val="007908EA"/>
    <w:rsid w:val="00790A78"/>
    <w:rsid w:val="00790CC0"/>
    <w:rsid w:val="00790E4A"/>
    <w:rsid w:val="00790EC3"/>
    <w:rsid w:val="00790EC6"/>
    <w:rsid w:val="00791137"/>
    <w:rsid w:val="007915A4"/>
    <w:rsid w:val="00791675"/>
    <w:rsid w:val="007918F4"/>
    <w:rsid w:val="00791C22"/>
    <w:rsid w:val="00792201"/>
    <w:rsid w:val="00792977"/>
    <w:rsid w:val="007931B9"/>
    <w:rsid w:val="007931C1"/>
    <w:rsid w:val="0079334B"/>
    <w:rsid w:val="007933BF"/>
    <w:rsid w:val="007935DC"/>
    <w:rsid w:val="00793654"/>
    <w:rsid w:val="0079396E"/>
    <w:rsid w:val="00793D3B"/>
    <w:rsid w:val="00793DA8"/>
    <w:rsid w:val="0079412E"/>
    <w:rsid w:val="00794239"/>
    <w:rsid w:val="00794561"/>
    <w:rsid w:val="00794569"/>
    <w:rsid w:val="00794795"/>
    <w:rsid w:val="00794950"/>
    <w:rsid w:val="007949DF"/>
    <w:rsid w:val="00794CE0"/>
    <w:rsid w:val="00794EDA"/>
    <w:rsid w:val="0079505E"/>
    <w:rsid w:val="007950FB"/>
    <w:rsid w:val="00795110"/>
    <w:rsid w:val="007951FD"/>
    <w:rsid w:val="0079526C"/>
    <w:rsid w:val="007955AC"/>
    <w:rsid w:val="00795732"/>
    <w:rsid w:val="00795756"/>
    <w:rsid w:val="00795995"/>
    <w:rsid w:val="00795A34"/>
    <w:rsid w:val="00795E7E"/>
    <w:rsid w:val="00795EFE"/>
    <w:rsid w:val="00795F82"/>
    <w:rsid w:val="007964A8"/>
    <w:rsid w:val="007965B3"/>
    <w:rsid w:val="00796837"/>
    <w:rsid w:val="007969A1"/>
    <w:rsid w:val="00796D7B"/>
    <w:rsid w:val="00796E30"/>
    <w:rsid w:val="00797009"/>
    <w:rsid w:val="0079721A"/>
    <w:rsid w:val="00797261"/>
    <w:rsid w:val="00797302"/>
    <w:rsid w:val="00797526"/>
    <w:rsid w:val="007976BF"/>
    <w:rsid w:val="007978B9"/>
    <w:rsid w:val="00797903"/>
    <w:rsid w:val="0079792D"/>
    <w:rsid w:val="00797D72"/>
    <w:rsid w:val="007A027D"/>
    <w:rsid w:val="007A036B"/>
    <w:rsid w:val="007A0387"/>
    <w:rsid w:val="007A03C7"/>
    <w:rsid w:val="007A07A3"/>
    <w:rsid w:val="007A0BC1"/>
    <w:rsid w:val="007A0BE4"/>
    <w:rsid w:val="007A0EAD"/>
    <w:rsid w:val="007A0EB3"/>
    <w:rsid w:val="007A0FE2"/>
    <w:rsid w:val="007A1121"/>
    <w:rsid w:val="007A11EC"/>
    <w:rsid w:val="007A1206"/>
    <w:rsid w:val="007A144D"/>
    <w:rsid w:val="007A1624"/>
    <w:rsid w:val="007A168E"/>
    <w:rsid w:val="007A180D"/>
    <w:rsid w:val="007A1BAC"/>
    <w:rsid w:val="007A1C10"/>
    <w:rsid w:val="007A1F11"/>
    <w:rsid w:val="007A2094"/>
    <w:rsid w:val="007A2186"/>
    <w:rsid w:val="007A21D2"/>
    <w:rsid w:val="007A23C1"/>
    <w:rsid w:val="007A26FE"/>
    <w:rsid w:val="007A2934"/>
    <w:rsid w:val="007A2A75"/>
    <w:rsid w:val="007A2E54"/>
    <w:rsid w:val="007A2FCE"/>
    <w:rsid w:val="007A32C5"/>
    <w:rsid w:val="007A3329"/>
    <w:rsid w:val="007A3C8D"/>
    <w:rsid w:val="007A439F"/>
    <w:rsid w:val="007A4D5D"/>
    <w:rsid w:val="007A5280"/>
    <w:rsid w:val="007A52BF"/>
    <w:rsid w:val="007A5317"/>
    <w:rsid w:val="007A55A2"/>
    <w:rsid w:val="007A57B8"/>
    <w:rsid w:val="007A59E6"/>
    <w:rsid w:val="007A5CFF"/>
    <w:rsid w:val="007A5E59"/>
    <w:rsid w:val="007A5F82"/>
    <w:rsid w:val="007A5FA2"/>
    <w:rsid w:val="007A6077"/>
    <w:rsid w:val="007A61D3"/>
    <w:rsid w:val="007A6391"/>
    <w:rsid w:val="007A6A14"/>
    <w:rsid w:val="007A6BC7"/>
    <w:rsid w:val="007A6E85"/>
    <w:rsid w:val="007A7083"/>
    <w:rsid w:val="007A7150"/>
    <w:rsid w:val="007A7181"/>
    <w:rsid w:val="007A72C0"/>
    <w:rsid w:val="007A78AD"/>
    <w:rsid w:val="007A78C4"/>
    <w:rsid w:val="007A7E04"/>
    <w:rsid w:val="007A7E48"/>
    <w:rsid w:val="007A7F7B"/>
    <w:rsid w:val="007B00B9"/>
    <w:rsid w:val="007B0425"/>
    <w:rsid w:val="007B060E"/>
    <w:rsid w:val="007B079C"/>
    <w:rsid w:val="007B07DC"/>
    <w:rsid w:val="007B0C58"/>
    <w:rsid w:val="007B0DED"/>
    <w:rsid w:val="007B0F32"/>
    <w:rsid w:val="007B0F96"/>
    <w:rsid w:val="007B12BC"/>
    <w:rsid w:val="007B153E"/>
    <w:rsid w:val="007B15D2"/>
    <w:rsid w:val="007B176F"/>
    <w:rsid w:val="007B18D1"/>
    <w:rsid w:val="007B1B01"/>
    <w:rsid w:val="007B1B1F"/>
    <w:rsid w:val="007B1B96"/>
    <w:rsid w:val="007B1CD8"/>
    <w:rsid w:val="007B1D08"/>
    <w:rsid w:val="007B1E3B"/>
    <w:rsid w:val="007B1E5A"/>
    <w:rsid w:val="007B200D"/>
    <w:rsid w:val="007B20E2"/>
    <w:rsid w:val="007B2118"/>
    <w:rsid w:val="007B2201"/>
    <w:rsid w:val="007B245E"/>
    <w:rsid w:val="007B24A9"/>
    <w:rsid w:val="007B24E5"/>
    <w:rsid w:val="007B2811"/>
    <w:rsid w:val="007B29BA"/>
    <w:rsid w:val="007B2A1B"/>
    <w:rsid w:val="007B2DD5"/>
    <w:rsid w:val="007B2E49"/>
    <w:rsid w:val="007B2EAA"/>
    <w:rsid w:val="007B2EC0"/>
    <w:rsid w:val="007B2F84"/>
    <w:rsid w:val="007B2F97"/>
    <w:rsid w:val="007B30EA"/>
    <w:rsid w:val="007B3163"/>
    <w:rsid w:val="007B332B"/>
    <w:rsid w:val="007B3391"/>
    <w:rsid w:val="007B3646"/>
    <w:rsid w:val="007B3764"/>
    <w:rsid w:val="007B3889"/>
    <w:rsid w:val="007B3963"/>
    <w:rsid w:val="007B3A68"/>
    <w:rsid w:val="007B3D27"/>
    <w:rsid w:val="007B405F"/>
    <w:rsid w:val="007B45E7"/>
    <w:rsid w:val="007B46A5"/>
    <w:rsid w:val="007B4A95"/>
    <w:rsid w:val="007B5044"/>
    <w:rsid w:val="007B50D5"/>
    <w:rsid w:val="007B53FF"/>
    <w:rsid w:val="007B547E"/>
    <w:rsid w:val="007B55DC"/>
    <w:rsid w:val="007B5934"/>
    <w:rsid w:val="007B5A26"/>
    <w:rsid w:val="007B5AED"/>
    <w:rsid w:val="007B6033"/>
    <w:rsid w:val="007B6225"/>
    <w:rsid w:val="007B624A"/>
    <w:rsid w:val="007B63E3"/>
    <w:rsid w:val="007B6AA8"/>
    <w:rsid w:val="007B72C1"/>
    <w:rsid w:val="007B73A3"/>
    <w:rsid w:val="007B76B9"/>
    <w:rsid w:val="007B7A74"/>
    <w:rsid w:val="007B7B34"/>
    <w:rsid w:val="007B7B4C"/>
    <w:rsid w:val="007B7C82"/>
    <w:rsid w:val="007B7EAB"/>
    <w:rsid w:val="007C009C"/>
    <w:rsid w:val="007C0162"/>
    <w:rsid w:val="007C03F7"/>
    <w:rsid w:val="007C06BC"/>
    <w:rsid w:val="007C0785"/>
    <w:rsid w:val="007C07A8"/>
    <w:rsid w:val="007C0930"/>
    <w:rsid w:val="007C0A21"/>
    <w:rsid w:val="007C0B4C"/>
    <w:rsid w:val="007C0B68"/>
    <w:rsid w:val="007C143A"/>
    <w:rsid w:val="007C14E8"/>
    <w:rsid w:val="007C151E"/>
    <w:rsid w:val="007C159B"/>
    <w:rsid w:val="007C1659"/>
    <w:rsid w:val="007C16D3"/>
    <w:rsid w:val="007C18CA"/>
    <w:rsid w:val="007C255A"/>
    <w:rsid w:val="007C2571"/>
    <w:rsid w:val="007C257C"/>
    <w:rsid w:val="007C27B8"/>
    <w:rsid w:val="007C2ABA"/>
    <w:rsid w:val="007C2B41"/>
    <w:rsid w:val="007C315B"/>
    <w:rsid w:val="007C34CB"/>
    <w:rsid w:val="007C35DC"/>
    <w:rsid w:val="007C368B"/>
    <w:rsid w:val="007C373B"/>
    <w:rsid w:val="007C3894"/>
    <w:rsid w:val="007C38DD"/>
    <w:rsid w:val="007C38E2"/>
    <w:rsid w:val="007C3A1F"/>
    <w:rsid w:val="007C3DC5"/>
    <w:rsid w:val="007C4138"/>
    <w:rsid w:val="007C47BA"/>
    <w:rsid w:val="007C47CC"/>
    <w:rsid w:val="007C4D4C"/>
    <w:rsid w:val="007C5349"/>
    <w:rsid w:val="007C5A59"/>
    <w:rsid w:val="007C5CE0"/>
    <w:rsid w:val="007C5F15"/>
    <w:rsid w:val="007C6293"/>
    <w:rsid w:val="007C62CB"/>
    <w:rsid w:val="007C630D"/>
    <w:rsid w:val="007C68EB"/>
    <w:rsid w:val="007C69D9"/>
    <w:rsid w:val="007C6B26"/>
    <w:rsid w:val="007C6BD4"/>
    <w:rsid w:val="007C6CF0"/>
    <w:rsid w:val="007C7027"/>
    <w:rsid w:val="007C7064"/>
    <w:rsid w:val="007C70B9"/>
    <w:rsid w:val="007C710C"/>
    <w:rsid w:val="007C72BB"/>
    <w:rsid w:val="007C734E"/>
    <w:rsid w:val="007C755B"/>
    <w:rsid w:val="007C7671"/>
    <w:rsid w:val="007C79B6"/>
    <w:rsid w:val="007C7E04"/>
    <w:rsid w:val="007C7FDC"/>
    <w:rsid w:val="007D00FF"/>
    <w:rsid w:val="007D0609"/>
    <w:rsid w:val="007D07C8"/>
    <w:rsid w:val="007D0842"/>
    <w:rsid w:val="007D0B3C"/>
    <w:rsid w:val="007D0B3D"/>
    <w:rsid w:val="007D0C9B"/>
    <w:rsid w:val="007D0ED5"/>
    <w:rsid w:val="007D120F"/>
    <w:rsid w:val="007D1537"/>
    <w:rsid w:val="007D1789"/>
    <w:rsid w:val="007D1829"/>
    <w:rsid w:val="007D18C3"/>
    <w:rsid w:val="007D1B3B"/>
    <w:rsid w:val="007D22A4"/>
    <w:rsid w:val="007D22E5"/>
    <w:rsid w:val="007D22E8"/>
    <w:rsid w:val="007D23F4"/>
    <w:rsid w:val="007D2492"/>
    <w:rsid w:val="007D2521"/>
    <w:rsid w:val="007D2552"/>
    <w:rsid w:val="007D2637"/>
    <w:rsid w:val="007D2653"/>
    <w:rsid w:val="007D2E59"/>
    <w:rsid w:val="007D3122"/>
    <w:rsid w:val="007D32DB"/>
    <w:rsid w:val="007D33A1"/>
    <w:rsid w:val="007D357C"/>
    <w:rsid w:val="007D3716"/>
    <w:rsid w:val="007D3A72"/>
    <w:rsid w:val="007D3C2C"/>
    <w:rsid w:val="007D3D77"/>
    <w:rsid w:val="007D3F90"/>
    <w:rsid w:val="007D4125"/>
    <w:rsid w:val="007D4663"/>
    <w:rsid w:val="007D4754"/>
    <w:rsid w:val="007D47CE"/>
    <w:rsid w:val="007D4882"/>
    <w:rsid w:val="007D4919"/>
    <w:rsid w:val="007D4AF8"/>
    <w:rsid w:val="007D4B2C"/>
    <w:rsid w:val="007D4CFA"/>
    <w:rsid w:val="007D4DE6"/>
    <w:rsid w:val="007D4E68"/>
    <w:rsid w:val="007D5018"/>
    <w:rsid w:val="007D501E"/>
    <w:rsid w:val="007D5114"/>
    <w:rsid w:val="007D51FC"/>
    <w:rsid w:val="007D543F"/>
    <w:rsid w:val="007D55AB"/>
    <w:rsid w:val="007D5780"/>
    <w:rsid w:val="007D599A"/>
    <w:rsid w:val="007D606F"/>
    <w:rsid w:val="007D653F"/>
    <w:rsid w:val="007D67D0"/>
    <w:rsid w:val="007D6BB0"/>
    <w:rsid w:val="007D6C42"/>
    <w:rsid w:val="007D6F73"/>
    <w:rsid w:val="007D7059"/>
    <w:rsid w:val="007D737C"/>
    <w:rsid w:val="007D7575"/>
    <w:rsid w:val="007D7653"/>
    <w:rsid w:val="007D7788"/>
    <w:rsid w:val="007D77EC"/>
    <w:rsid w:val="007D79D3"/>
    <w:rsid w:val="007D7B21"/>
    <w:rsid w:val="007D7C31"/>
    <w:rsid w:val="007D7F10"/>
    <w:rsid w:val="007E0049"/>
    <w:rsid w:val="007E0062"/>
    <w:rsid w:val="007E013E"/>
    <w:rsid w:val="007E0160"/>
    <w:rsid w:val="007E01BE"/>
    <w:rsid w:val="007E02EA"/>
    <w:rsid w:val="007E086E"/>
    <w:rsid w:val="007E0B8D"/>
    <w:rsid w:val="007E0D11"/>
    <w:rsid w:val="007E0EEB"/>
    <w:rsid w:val="007E0F27"/>
    <w:rsid w:val="007E1247"/>
    <w:rsid w:val="007E14A8"/>
    <w:rsid w:val="007E17D1"/>
    <w:rsid w:val="007E189E"/>
    <w:rsid w:val="007E18FA"/>
    <w:rsid w:val="007E1B0E"/>
    <w:rsid w:val="007E20BC"/>
    <w:rsid w:val="007E2260"/>
    <w:rsid w:val="007E250D"/>
    <w:rsid w:val="007E2727"/>
    <w:rsid w:val="007E27EF"/>
    <w:rsid w:val="007E299C"/>
    <w:rsid w:val="007E2B49"/>
    <w:rsid w:val="007E2F5B"/>
    <w:rsid w:val="007E3051"/>
    <w:rsid w:val="007E330F"/>
    <w:rsid w:val="007E3421"/>
    <w:rsid w:val="007E3443"/>
    <w:rsid w:val="007E3505"/>
    <w:rsid w:val="007E352A"/>
    <w:rsid w:val="007E3849"/>
    <w:rsid w:val="007E38A1"/>
    <w:rsid w:val="007E38F0"/>
    <w:rsid w:val="007E3A6A"/>
    <w:rsid w:val="007E3C4F"/>
    <w:rsid w:val="007E3CFA"/>
    <w:rsid w:val="007E3F87"/>
    <w:rsid w:val="007E426D"/>
    <w:rsid w:val="007E44D8"/>
    <w:rsid w:val="007E45EC"/>
    <w:rsid w:val="007E4880"/>
    <w:rsid w:val="007E4AB3"/>
    <w:rsid w:val="007E4CA3"/>
    <w:rsid w:val="007E517D"/>
    <w:rsid w:val="007E5355"/>
    <w:rsid w:val="007E53D7"/>
    <w:rsid w:val="007E596B"/>
    <w:rsid w:val="007E5975"/>
    <w:rsid w:val="007E5C00"/>
    <w:rsid w:val="007E5C5B"/>
    <w:rsid w:val="007E5C8A"/>
    <w:rsid w:val="007E5F44"/>
    <w:rsid w:val="007E5F99"/>
    <w:rsid w:val="007E6008"/>
    <w:rsid w:val="007E6207"/>
    <w:rsid w:val="007E65FE"/>
    <w:rsid w:val="007E7243"/>
    <w:rsid w:val="007E757F"/>
    <w:rsid w:val="007E761E"/>
    <w:rsid w:val="007E76DE"/>
    <w:rsid w:val="007E7A41"/>
    <w:rsid w:val="007E7ABE"/>
    <w:rsid w:val="007E7C78"/>
    <w:rsid w:val="007F0264"/>
    <w:rsid w:val="007F0272"/>
    <w:rsid w:val="007F0400"/>
    <w:rsid w:val="007F0422"/>
    <w:rsid w:val="007F0432"/>
    <w:rsid w:val="007F065C"/>
    <w:rsid w:val="007F06F3"/>
    <w:rsid w:val="007F0A40"/>
    <w:rsid w:val="007F0B3C"/>
    <w:rsid w:val="007F0C3B"/>
    <w:rsid w:val="007F0C4F"/>
    <w:rsid w:val="007F0DA5"/>
    <w:rsid w:val="007F0E72"/>
    <w:rsid w:val="007F11AC"/>
    <w:rsid w:val="007F12EB"/>
    <w:rsid w:val="007F1357"/>
    <w:rsid w:val="007F1516"/>
    <w:rsid w:val="007F156C"/>
    <w:rsid w:val="007F1784"/>
    <w:rsid w:val="007F1982"/>
    <w:rsid w:val="007F1A37"/>
    <w:rsid w:val="007F1F36"/>
    <w:rsid w:val="007F223F"/>
    <w:rsid w:val="007F22BD"/>
    <w:rsid w:val="007F264B"/>
    <w:rsid w:val="007F266A"/>
    <w:rsid w:val="007F28D7"/>
    <w:rsid w:val="007F29B0"/>
    <w:rsid w:val="007F2B35"/>
    <w:rsid w:val="007F2C89"/>
    <w:rsid w:val="007F2CA1"/>
    <w:rsid w:val="007F2DB4"/>
    <w:rsid w:val="007F2DD7"/>
    <w:rsid w:val="007F3015"/>
    <w:rsid w:val="007F3100"/>
    <w:rsid w:val="007F32F0"/>
    <w:rsid w:val="007F33F6"/>
    <w:rsid w:val="007F370A"/>
    <w:rsid w:val="007F397E"/>
    <w:rsid w:val="007F3DB6"/>
    <w:rsid w:val="007F3EA4"/>
    <w:rsid w:val="007F3F52"/>
    <w:rsid w:val="007F4035"/>
    <w:rsid w:val="007F408C"/>
    <w:rsid w:val="007F4127"/>
    <w:rsid w:val="007F452C"/>
    <w:rsid w:val="007F4729"/>
    <w:rsid w:val="007F48B5"/>
    <w:rsid w:val="007F4949"/>
    <w:rsid w:val="007F497E"/>
    <w:rsid w:val="007F4D5F"/>
    <w:rsid w:val="007F4D8D"/>
    <w:rsid w:val="007F4DC6"/>
    <w:rsid w:val="007F4FCA"/>
    <w:rsid w:val="007F53CB"/>
    <w:rsid w:val="007F5BEB"/>
    <w:rsid w:val="007F5CBF"/>
    <w:rsid w:val="007F5D71"/>
    <w:rsid w:val="007F5DD0"/>
    <w:rsid w:val="007F5E79"/>
    <w:rsid w:val="007F5FED"/>
    <w:rsid w:val="007F6038"/>
    <w:rsid w:val="007F60CE"/>
    <w:rsid w:val="007F62DC"/>
    <w:rsid w:val="007F62ED"/>
    <w:rsid w:val="007F6E00"/>
    <w:rsid w:val="007F6F06"/>
    <w:rsid w:val="007F7347"/>
    <w:rsid w:val="007F77B3"/>
    <w:rsid w:val="007F7B62"/>
    <w:rsid w:val="007F7C0D"/>
    <w:rsid w:val="007F7C77"/>
    <w:rsid w:val="007F7D3A"/>
    <w:rsid w:val="00800074"/>
    <w:rsid w:val="008000F2"/>
    <w:rsid w:val="00800514"/>
    <w:rsid w:val="0080058C"/>
    <w:rsid w:val="00800626"/>
    <w:rsid w:val="0080078A"/>
    <w:rsid w:val="008009D8"/>
    <w:rsid w:val="00800EDC"/>
    <w:rsid w:val="008013ED"/>
    <w:rsid w:val="00801625"/>
    <w:rsid w:val="008016B3"/>
    <w:rsid w:val="00801BC5"/>
    <w:rsid w:val="00801D4A"/>
    <w:rsid w:val="00801EBF"/>
    <w:rsid w:val="008023D1"/>
    <w:rsid w:val="00802519"/>
    <w:rsid w:val="008025E9"/>
    <w:rsid w:val="0080270B"/>
    <w:rsid w:val="00802724"/>
    <w:rsid w:val="00802752"/>
    <w:rsid w:val="008027E9"/>
    <w:rsid w:val="00802977"/>
    <w:rsid w:val="00802C1C"/>
    <w:rsid w:val="00802C9D"/>
    <w:rsid w:val="00802D2A"/>
    <w:rsid w:val="00802D3E"/>
    <w:rsid w:val="00802E20"/>
    <w:rsid w:val="00802EB3"/>
    <w:rsid w:val="008034D9"/>
    <w:rsid w:val="008034FA"/>
    <w:rsid w:val="0080364A"/>
    <w:rsid w:val="008036EC"/>
    <w:rsid w:val="00803821"/>
    <w:rsid w:val="00803AFB"/>
    <w:rsid w:val="00803CDC"/>
    <w:rsid w:val="00803E5E"/>
    <w:rsid w:val="00803F7E"/>
    <w:rsid w:val="00803FAE"/>
    <w:rsid w:val="00804481"/>
    <w:rsid w:val="008044E4"/>
    <w:rsid w:val="00804A10"/>
    <w:rsid w:val="00804B61"/>
    <w:rsid w:val="00804C7B"/>
    <w:rsid w:val="00804CE9"/>
    <w:rsid w:val="00805467"/>
    <w:rsid w:val="008054F3"/>
    <w:rsid w:val="0080557D"/>
    <w:rsid w:val="008057E5"/>
    <w:rsid w:val="0080599D"/>
    <w:rsid w:val="00805A95"/>
    <w:rsid w:val="00805ACF"/>
    <w:rsid w:val="00805AE8"/>
    <w:rsid w:val="00805BF5"/>
    <w:rsid w:val="00805D51"/>
    <w:rsid w:val="00806176"/>
    <w:rsid w:val="00806766"/>
    <w:rsid w:val="008069B3"/>
    <w:rsid w:val="00806AA6"/>
    <w:rsid w:val="00806CCF"/>
    <w:rsid w:val="00806FE3"/>
    <w:rsid w:val="00807194"/>
    <w:rsid w:val="008072F6"/>
    <w:rsid w:val="008073AA"/>
    <w:rsid w:val="008075C5"/>
    <w:rsid w:val="00807663"/>
    <w:rsid w:val="0080773A"/>
    <w:rsid w:val="00807D27"/>
    <w:rsid w:val="00807F14"/>
    <w:rsid w:val="00810090"/>
    <w:rsid w:val="00810200"/>
    <w:rsid w:val="00810221"/>
    <w:rsid w:val="00810337"/>
    <w:rsid w:val="008103C5"/>
    <w:rsid w:val="00810414"/>
    <w:rsid w:val="008107BE"/>
    <w:rsid w:val="0081082F"/>
    <w:rsid w:val="008109DD"/>
    <w:rsid w:val="00810D58"/>
    <w:rsid w:val="008110C8"/>
    <w:rsid w:val="008118E0"/>
    <w:rsid w:val="00811B91"/>
    <w:rsid w:val="00811BCB"/>
    <w:rsid w:val="00811C66"/>
    <w:rsid w:val="0081230D"/>
    <w:rsid w:val="008123BA"/>
    <w:rsid w:val="0081249B"/>
    <w:rsid w:val="008124DB"/>
    <w:rsid w:val="00812506"/>
    <w:rsid w:val="0081253A"/>
    <w:rsid w:val="008129AE"/>
    <w:rsid w:val="008129F4"/>
    <w:rsid w:val="00812AD7"/>
    <w:rsid w:val="00812C45"/>
    <w:rsid w:val="00812E34"/>
    <w:rsid w:val="00813503"/>
    <w:rsid w:val="00813551"/>
    <w:rsid w:val="0081362F"/>
    <w:rsid w:val="0081373C"/>
    <w:rsid w:val="008137F3"/>
    <w:rsid w:val="00813856"/>
    <w:rsid w:val="008139C4"/>
    <w:rsid w:val="008139D8"/>
    <w:rsid w:val="00813B38"/>
    <w:rsid w:val="00813BA4"/>
    <w:rsid w:val="00813E46"/>
    <w:rsid w:val="00813E7B"/>
    <w:rsid w:val="0081412D"/>
    <w:rsid w:val="008146C7"/>
    <w:rsid w:val="00814717"/>
    <w:rsid w:val="008148D2"/>
    <w:rsid w:val="00814BD2"/>
    <w:rsid w:val="00814CC9"/>
    <w:rsid w:val="00814CD5"/>
    <w:rsid w:val="00814F06"/>
    <w:rsid w:val="00814F91"/>
    <w:rsid w:val="00814FC9"/>
    <w:rsid w:val="00814FE1"/>
    <w:rsid w:val="008153D1"/>
    <w:rsid w:val="00815402"/>
    <w:rsid w:val="0081553D"/>
    <w:rsid w:val="00815712"/>
    <w:rsid w:val="00815813"/>
    <w:rsid w:val="00815856"/>
    <w:rsid w:val="008158E2"/>
    <w:rsid w:val="00815A93"/>
    <w:rsid w:val="00815B80"/>
    <w:rsid w:val="00815B84"/>
    <w:rsid w:val="00815C17"/>
    <w:rsid w:val="00815C1D"/>
    <w:rsid w:val="00815CF3"/>
    <w:rsid w:val="00816141"/>
    <w:rsid w:val="00816903"/>
    <w:rsid w:val="00816A8B"/>
    <w:rsid w:val="00816C0D"/>
    <w:rsid w:val="00816C6D"/>
    <w:rsid w:val="00816CB5"/>
    <w:rsid w:val="0081707D"/>
    <w:rsid w:val="008171B8"/>
    <w:rsid w:val="00817389"/>
    <w:rsid w:val="008175D3"/>
    <w:rsid w:val="00817711"/>
    <w:rsid w:val="0081771E"/>
    <w:rsid w:val="008178F1"/>
    <w:rsid w:val="00817CE6"/>
    <w:rsid w:val="00817E3C"/>
    <w:rsid w:val="008203D2"/>
    <w:rsid w:val="00820566"/>
    <w:rsid w:val="008205F8"/>
    <w:rsid w:val="0082081B"/>
    <w:rsid w:val="00820855"/>
    <w:rsid w:val="00820911"/>
    <w:rsid w:val="00820C00"/>
    <w:rsid w:val="00820C72"/>
    <w:rsid w:val="00821024"/>
    <w:rsid w:val="0082104F"/>
    <w:rsid w:val="00821078"/>
    <w:rsid w:val="00821259"/>
    <w:rsid w:val="008212E3"/>
    <w:rsid w:val="0082130F"/>
    <w:rsid w:val="0082141F"/>
    <w:rsid w:val="00821596"/>
    <w:rsid w:val="00821598"/>
    <w:rsid w:val="0082197D"/>
    <w:rsid w:val="00821A01"/>
    <w:rsid w:val="008223A7"/>
    <w:rsid w:val="00822803"/>
    <w:rsid w:val="0082290D"/>
    <w:rsid w:val="00822CF6"/>
    <w:rsid w:val="00822DDC"/>
    <w:rsid w:val="00823150"/>
    <w:rsid w:val="0082336D"/>
    <w:rsid w:val="008234BA"/>
    <w:rsid w:val="0082358B"/>
    <w:rsid w:val="00823867"/>
    <w:rsid w:val="00823BFA"/>
    <w:rsid w:val="00823DCB"/>
    <w:rsid w:val="0082436A"/>
    <w:rsid w:val="008244CB"/>
    <w:rsid w:val="008249AC"/>
    <w:rsid w:val="00824BBF"/>
    <w:rsid w:val="00824CDB"/>
    <w:rsid w:val="00824DEA"/>
    <w:rsid w:val="00824E6C"/>
    <w:rsid w:val="00824E74"/>
    <w:rsid w:val="00824F9A"/>
    <w:rsid w:val="00824FAF"/>
    <w:rsid w:val="008250F0"/>
    <w:rsid w:val="00825212"/>
    <w:rsid w:val="00825584"/>
    <w:rsid w:val="00825631"/>
    <w:rsid w:val="00825634"/>
    <w:rsid w:val="0082569A"/>
    <w:rsid w:val="008257B9"/>
    <w:rsid w:val="00825CEA"/>
    <w:rsid w:val="00825DB3"/>
    <w:rsid w:val="00825F9C"/>
    <w:rsid w:val="00825FA8"/>
    <w:rsid w:val="0082649C"/>
    <w:rsid w:val="00826646"/>
    <w:rsid w:val="0082676C"/>
    <w:rsid w:val="008269E2"/>
    <w:rsid w:val="00826AC4"/>
    <w:rsid w:val="00826B2F"/>
    <w:rsid w:val="00826C65"/>
    <w:rsid w:val="00826FC7"/>
    <w:rsid w:val="008270C5"/>
    <w:rsid w:val="0082729C"/>
    <w:rsid w:val="008272E6"/>
    <w:rsid w:val="00827679"/>
    <w:rsid w:val="008276A1"/>
    <w:rsid w:val="0082774E"/>
    <w:rsid w:val="00827ADF"/>
    <w:rsid w:val="00827B48"/>
    <w:rsid w:val="00827D82"/>
    <w:rsid w:val="00827DE2"/>
    <w:rsid w:val="00827FB7"/>
    <w:rsid w:val="00830350"/>
    <w:rsid w:val="008307F7"/>
    <w:rsid w:val="00830A00"/>
    <w:rsid w:val="00830C08"/>
    <w:rsid w:val="00830D19"/>
    <w:rsid w:val="00830D42"/>
    <w:rsid w:val="00830E44"/>
    <w:rsid w:val="00830E90"/>
    <w:rsid w:val="0083113C"/>
    <w:rsid w:val="008311D1"/>
    <w:rsid w:val="008314F0"/>
    <w:rsid w:val="00831510"/>
    <w:rsid w:val="0083178A"/>
    <w:rsid w:val="0083184E"/>
    <w:rsid w:val="00831AE0"/>
    <w:rsid w:val="00831BBC"/>
    <w:rsid w:val="00831CDA"/>
    <w:rsid w:val="00831E04"/>
    <w:rsid w:val="00831E8D"/>
    <w:rsid w:val="0083203B"/>
    <w:rsid w:val="008326D4"/>
    <w:rsid w:val="00832756"/>
    <w:rsid w:val="00832952"/>
    <w:rsid w:val="00832AFA"/>
    <w:rsid w:val="00832BD7"/>
    <w:rsid w:val="00832C37"/>
    <w:rsid w:val="00832FF7"/>
    <w:rsid w:val="008330EA"/>
    <w:rsid w:val="008331CD"/>
    <w:rsid w:val="008332F5"/>
    <w:rsid w:val="00833518"/>
    <w:rsid w:val="00833957"/>
    <w:rsid w:val="008339E0"/>
    <w:rsid w:val="00833B4F"/>
    <w:rsid w:val="00833CF9"/>
    <w:rsid w:val="00833DDC"/>
    <w:rsid w:val="00833F37"/>
    <w:rsid w:val="00833FD3"/>
    <w:rsid w:val="00834087"/>
    <w:rsid w:val="008344D6"/>
    <w:rsid w:val="0083453E"/>
    <w:rsid w:val="00834651"/>
    <w:rsid w:val="00834713"/>
    <w:rsid w:val="0083489E"/>
    <w:rsid w:val="008348D8"/>
    <w:rsid w:val="008348F7"/>
    <w:rsid w:val="00834D09"/>
    <w:rsid w:val="00834E28"/>
    <w:rsid w:val="00834E81"/>
    <w:rsid w:val="00834F37"/>
    <w:rsid w:val="00834F6D"/>
    <w:rsid w:val="00835267"/>
    <w:rsid w:val="0083535B"/>
    <w:rsid w:val="0083583B"/>
    <w:rsid w:val="008358CE"/>
    <w:rsid w:val="0083598A"/>
    <w:rsid w:val="0083598B"/>
    <w:rsid w:val="00835D95"/>
    <w:rsid w:val="00836103"/>
    <w:rsid w:val="00836BBF"/>
    <w:rsid w:val="00836C1E"/>
    <w:rsid w:val="00836CB8"/>
    <w:rsid w:val="00836FA0"/>
    <w:rsid w:val="00836FD6"/>
    <w:rsid w:val="0083714B"/>
    <w:rsid w:val="0083724A"/>
    <w:rsid w:val="008372DF"/>
    <w:rsid w:val="0083731A"/>
    <w:rsid w:val="00837488"/>
    <w:rsid w:val="008374A4"/>
    <w:rsid w:val="0083753B"/>
    <w:rsid w:val="0083761C"/>
    <w:rsid w:val="00837912"/>
    <w:rsid w:val="00837C86"/>
    <w:rsid w:val="00837D38"/>
    <w:rsid w:val="00837D48"/>
    <w:rsid w:val="00837E2B"/>
    <w:rsid w:val="00837ED8"/>
    <w:rsid w:val="00837FB1"/>
    <w:rsid w:val="0083C980"/>
    <w:rsid w:val="0084001F"/>
    <w:rsid w:val="00840150"/>
    <w:rsid w:val="00840364"/>
    <w:rsid w:val="008406FA"/>
    <w:rsid w:val="0084078B"/>
    <w:rsid w:val="008408D8"/>
    <w:rsid w:val="00840AB3"/>
    <w:rsid w:val="00840B1A"/>
    <w:rsid w:val="00840DD2"/>
    <w:rsid w:val="00841144"/>
    <w:rsid w:val="008412D3"/>
    <w:rsid w:val="0084172F"/>
    <w:rsid w:val="008418A9"/>
    <w:rsid w:val="0084190D"/>
    <w:rsid w:val="00841A45"/>
    <w:rsid w:val="00841B8A"/>
    <w:rsid w:val="00841CE5"/>
    <w:rsid w:val="00841DF2"/>
    <w:rsid w:val="00841E0F"/>
    <w:rsid w:val="00841F77"/>
    <w:rsid w:val="0084202E"/>
    <w:rsid w:val="00842502"/>
    <w:rsid w:val="00842525"/>
    <w:rsid w:val="0084258F"/>
    <w:rsid w:val="00842942"/>
    <w:rsid w:val="00842BD8"/>
    <w:rsid w:val="00842E58"/>
    <w:rsid w:val="0084305C"/>
    <w:rsid w:val="008430F3"/>
    <w:rsid w:val="00843124"/>
    <w:rsid w:val="00843373"/>
    <w:rsid w:val="00843D34"/>
    <w:rsid w:val="008440A9"/>
    <w:rsid w:val="00844201"/>
    <w:rsid w:val="00844239"/>
    <w:rsid w:val="00844320"/>
    <w:rsid w:val="0084455B"/>
    <w:rsid w:val="00844722"/>
    <w:rsid w:val="00844724"/>
    <w:rsid w:val="00844815"/>
    <w:rsid w:val="00844855"/>
    <w:rsid w:val="00844B0C"/>
    <w:rsid w:val="00844DE9"/>
    <w:rsid w:val="00845687"/>
    <w:rsid w:val="008456ED"/>
    <w:rsid w:val="008458EC"/>
    <w:rsid w:val="0084594D"/>
    <w:rsid w:val="00845A42"/>
    <w:rsid w:val="00845BCD"/>
    <w:rsid w:val="00845DB3"/>
    <w:rsid w:val="00846799"/>
    <w:rsid w:val="00846C85"/>
    <w:rsid w:val="00846EED"/>
    <w:rsid w:val="00847302"/>
    <w:rsid w:val="00847531"/>
    <w:rsid w:val="00847563"/>
    <w:rsid w:val="00847633"/>
    <w:rsid w:val="00847650"/>
    <w:rsid w:val="00847829"/>
    <w:rsid w:val="008501B1"/>
    <w:rsid w:val="008503D1"/>
    <w:rsid w:val="008503FB"/>
    <w:rsid w:val="008504C1"/>
    <w:rsid w:val="0085056E"/>
    <w:rsid w:val="00850927"/>
    <w:rsid w:val="008509D2"/>
    <w:rsid w:val="00850B73"/>
    <w:rsid w:val="00850DB7"/>
    <w:rsid w:val="0085102D"/>
    <w:rsid w:val="008511FC"/>
    <w:rsid w:val="0085149B"/>
    <w:rsid w:val="00851558"/>
    <w:rsid w:val="008515A0"/>
    <w:rsid w:val="00851615"/>
    <w:rsid w:val="008519BD"/>
    <w:rsid w:val="00851BF9"/>
    <w:rsid w:val="00851C5F"/>
    <w:rsid w:val="00851C71"/>
    <w:rsid w:val="00851DE6"/>
    <w:rsid w:val="00851E8A"/>
    <w:rsid w:val="00851EC2"/>
    <w:rsid w:val="00851F3A"/>
    <w:rsid w:val="00851FD9"/>
    <w:rsid w:val="008523C3"/>
    <w:rsid w:val="00852778"/>
    <w:rsid w:val="008528A9"/>
    <w:rsid w:val="008528FC"/>
    <w:rsid w:val="00852B20"/>
    <w:rsid w:val="00852BA7"/>
    <w:rsid w:val="00852D50"/>
    <w:rsid w:val="00852E26"/>
    <w:rsid w:val="00852FD6"/>
    <w:rsid w:val="00852FE4"/>
    <w:rsid w:val="00853195"/>
    <w:rsid w:val="0085388D"/>
    <w:rsid w:val="00853960"/>
    <w:rsid w:val="00853B2A"/>
    <w:rsid w:val="00853D06"/>
    <w:rsid w:val="00853F58"/>
    <w:rsid w:val="00854224"/>
    <w:rsid w:val="0085427E"/>
    <w:rsid w:val="0085453D"/>
    <w:rsid w:val="00854763"/>
    <w:rsid w:val="008547F1"/>
    <w:rsid w:val="0085495C"/>
    <w:rsid w:val="00854A8F"/>
    <w:rsid w:val="00854BB0"/>
    <w:rsid w:val="00854D52"/>
    <w:rsid w:val="00854E41"/>
    <w:rsid w:val="00854F73"/>
    <w:rsid w:val="00854F81"/>
    <w:rsid w:val="00854F86"/>
    <w:rsid w:val="00855235"/>
    <w:rsid w:val="0085534B"/>
    <w:rsid w:val="00855359"/>
    <w:rsid w:val="008553E8"/>
    <w:rsid w:val="008555A9"/>
    <w:rsid w:val="00855628"/>
    <w:rsid w:val="008557E4"/>
    <w:rsid w:val="00855A21"/>
    <w:rsid w:val="00855A86"/>
    <w:rsid w:val="00855B85"/>
    <w:rsid w:val="00855CF1"/>
    <w:rsid w:val="00855D3B"/>
    <w:rsid w:val="00855E28"/>
    <w:rsid w:val="0085639D"/>
    <w:rsid w:val="0085649D"/>
    <w:rsid w:val="00856566"/>
    <w:rsid w:val="00856751"/>
    <w:rsid w:val="008567BB"/>
    <w:rsid w:val="0085694A"/>
    <w:rsid w:val="0085694C"/>
    <w:rsid w:val="00856AD2"/>
    <w:rsid w:val="00856E7B"/>
    <w:rsid w:val="008570E4"/>
    <w:rsid w:val="0085713B"/>
    <w:rsid w:val="008571D1"/>
    <w:rsid w:val="00857428"/>
    <w:rsid w:val="0085747F"/>
    <w:rsid w:val="0085751A"/>
    <w:rsid w:val="00857586"/>
    <w:rsid w:val="0085765A"/>
    <w:rsid w:val="00857877"/>
    <w:rsid w:val="008578F8"/>
    <w:rsid w:val="00857AF2"/>
    <w:rsid w:val="00857B26"/>
    <w:rsid w:val="00857D1D"/>
    <w:rsid w:val="00857D8F"/>
    <w:rsid w:val="00857E76"/>
    <w:rsid w:val="00857FCD"/>
    <w:rsid w:val="00860003"/>
    <w:rsid w:val="0086012D"/>
    <w:rsid w:val="00860140"/>
    <w:rsid w:val="0086018A"/>
    <w:rsid w:val="0086021B"/>
    <w:rsid w:val="00860441"/>
    <w:rsid w:val="008604B1"/>
    <w:rsid w:val="008606EA"/>
    <w:rsid w:val="00860C60"/>
    <w:rsid w:val="00860CAD"/>
    <w:rsid w:val="00860EDF"/>
    <w:rsid w:val="0086101A"/>
    <w:rsid w:val="00861143"/>
    <w:rsid w:val="008611FF"/>
    <w:rsid w:val="00861519"/>
    <w:rsid w:val="00861699"/>
    <w:rsid w:val="008619BC"/>
    <w:rsid w:val="00861A97"/>
    <w:rsid w:val="00861AB0"/>
    <w:rsid w:val="00861CA4"/>
    <w:rsid w:val="00861CDB"/>
    <w:rsid w:val="00861EBD"/>
    <w:rsid w:val="00862029"/>
    <w:rsid w:val="00862174"/>
    <w:rsid w:val="008621DB"/>
    <w:rsid w:val="00862891"/>
    <w:rsid w:val="008628F2"/>
    <w:rsid w:val="00862933"/>
    <w:rsid w:val="00862A02"/>
    <w:rsid w:val="00862FB8"/>
    <w:rsid w:val="00862FDF"/>
    <w:rsid w:val="0086319E"/>
    <w:rsid w:val="0086338D"/>
    <w:rsid w:val="00863485"/>
    <w:rsid w:val="008634B5"/>
    <w:rsid w:val="008635B6"/>
    <w:rsid w:val="008642E9"/>
    <w:rsid w:val="00864581"/>
    <w:rsid w:val="00864638"/>
    <w:rsid w:val="00864F6A"/>
    <w:rsid w:val="00864FD4"/>
    <w:rsid w:val="00865087"/>
    <w:rsid w:val="008653C4"/>
    <w:rsid w:val="0086558B"/>
    <w:rsid w:val="008655D8"/>
    <w:rsid w:val="00865657"/>
    <w:rsid w:val="008656E5"/>
    <w:rsid w:val="008657B6"/>
    <w:rsid w:val="00865826"/>
    <w:rsid w:val="008658B6"/>
    <w:rsid w:val="008658D9"/>
    <w:rsid w:val="00865CE0"/>
    <w:rsid w:val="00866017"/>
    <w:rsid w:val="00866053"/>
    <w:rsid w:val="00866482"/>
    <w:rsid w:val="008666D4"/>
    <w:rsid w:val="008666F0"/>
    <w:rsid w:val="008667C6"/>
    <w:rsid w:val="008668AE"/>
    <w:rsid w:val="00866A0A"/>
    <w:rsid w:val="00866A19"/>
    <w:rsid w:val="00866A71"/>
    <w:rsid w:val="00866B9F"/>
    <w:rsid w:val="00866BF2"/>
    <w:rsid w:val="00866D51"/>
    <w:rsid w:val="008670A7"/>
    <w:rsid w:val="0086718F"/>
    <w:rsid w:val="00867259"/>
    <w:rsid w:val="0086725A"/>
    <w:rsid w:val="008673A5"/>
    <w:rsid w:val="0086744E"/>
    <w:rsid w:val="008674B2"/>
    <w:rsid w:val="0086758D"/>
    <w:rsid w:val="00867A39"/>
    <w:rsid w:val="00867C6C"/>
    <w:rsid w:val="00867E1B"/>
    <w:rsid w:val="00867EB5"/>
    <w:rsid w:val="008700C9"/>
    <w:rsid w:val="00870387"/>
    <w:rsid w:val="00870512"/>
    <w:rsid w:val="00870827"/>
    <w:rsid w:val="00870847"/>
    <w:rsid w:val="0087094C"/>
    <w:rsid w:val="00870BF8"/>
    <w:rsid w:val="00870E29"/>
    <w:rsid w:val="008711D0"/>
    <w:rsid w:val="00871368"/>
    <w:rsid w:val="008715B7"/>
    <w:rsid w:val="00871630"/>
    <w:rsid w:val="00871682"/>
    <w:rsid w:val="008718B9"/>
    <w:rsid w:val="008719A0"/>
    <w:rsid w:val="00871A92"/>
    <w:rsid w:val="00871B2F"/>
    <w:rsid w:val="00871BBB"/>
    <w:rsid w:val="00871DC7"/>
    <w:rsid w:val="00872293"/>
    <w:rsid w:val="0087229A"/>
    <w:rsid w:val="008729C5"/>
    <w:rsid w:val="008729D0"/>
    <w:rsid w:val="00872A85"/>
    <w:rsid w:val="00872BE8"/>
    <w:rsid w:val="00872BEF"/>
    <w:rsid w:val="00872D30"/>
    <w:rsid w:val="008733CD"/>
    <w:rsid w:val="0087357F"/>
    <w:rsid w:val="00873C1F"/>
    <w:rsid w:val="00873E46"/>
    <w:rsid w:val="00873E95"/>
    <w:rsid w:val="00874119"/>
    <w:rsid w:val="008741A2"/>
    <w:rsid w:val="008743B5"/>
    <w:rsid w:val="00874490"/>
    <w:rsid w:val="008744DE"/>
    <w:rsid w:val="00874998"/>
    <w:rsid w:val="008749B9"/>
    <w:rsid w:val="008749C1"/>
    <w:rsid w:val="00874A21"/>
    <w:rsid w:val="008752B7"/>
    <w:rsid w:val="0087538C"/>
    <w:rsid w:val="0087545A"/>
    <w:rsid w:val="00875460"/>
    <w:rsid w:val="0087554A"/>
    <w:rsid w:val="0087563F"/>
    <w:rsid w:val="008756A5"/>
    <w:rsid w:val="0087587D"/>
    <w:rsid w:val="00875F64"/>
    <w:rsid w:val="00876141"/>
    <w:rsid w:val="00876385"/>
    <w:rsid w:val="008765FF"/>
    <w:rsid w:val="008769F4"/>
    <w:rsid w:val="00876E76"/>
    <w:rsid w:val="00876E7D"/>
    <w:rsid w:val="00876F0A"/>
    <w:rsid w:val="00877104"/>
    <w:rsid w:val="00877601"/>
    <w:rsid w:val="008777BD"/>
    <w:rsid w:val="008778C4"/>
    <w:rsid w:val="00877D79"/>
    <w:rsid w:val="0088028B"/>
    <w:rsid w:val="0088029B"/>
    <w:rsid w:val="00880563"/>
    <w:rsid w:val="00880612"/>
    <w:rsid w:val="00880740"/>
    <w:rsid w:val="008809D1"/>
    <w:rsid w:val="00880B3C"/>
    <w:rsid w:val="00880E61"/>
    <w:rsid w:val="00880ED0"/>
    <w:rsid w:val="0088113D"/>
    <w:rsid w:val="00881198"/>
    <w:rsid w:val="0088140E"/>
    <w:rsid w:val="00881646"/>
    <w:rsid w:val="00881760"/>
    <w:rsid w:val="008819B5"/>
    <w:rsid w:val="00881DD2"/>
    <w:rsid w:val="00881F3E"/>
    <w:rsid w:val="00882291"/>
    <w:rsid w:val="008822AC"/>
    <w:rsid w:val="008826D3"/>
    <w:rsid w:val="008827C1"/>
    <w:rsid w:val="00882D5B"/>
    <w:rsid w:val="00882E05"/>
    <w:rsid w:val="0088334C"/>
    <w:rsid w:val="00883694"/>
    <w:rsid w:val="008838AF"/>
    <w:rsid w:val="0088395C"/>
    <w:rsid w:val="00883D19"/>
    <w:rsid w:val="00883E80"/>
    <w:rsid w:val="008846DB"/>
    <w:rsid w:val="008847A6"/>
    <w:rsid w:val="00884921"/>
    <w:rsid w:val="008849D9"/>
    <w:rsid w:val="00884F4F"/>
    <w:rsid w:val="0088521F"/>
    <w:rsid w:val="008852F0"/>
    <w:rsid w:val="0088534B"/>
    <w:rsid w:val="00885696"/>
    <w:rsid w:val="008859B7"/>
    <w:rsid w:val="008859F4"/>
    <w:rsid w:val="00885A33"/>
    <w:rsid w:val="00885ABB"/>
    <w:rsid w:val="00885D2C"/>
    <w:rsid w:val="00885DBC"/>
    <w:rsid w:val="00885F15"/>
    <w:rsid w:val="00886056"/>
    <w:rsid w:val="0088612E"/>
    <w:rsid w:val="00886336"/>
    <w:rsid w:val="00886497"/>
    <w:rsid w:val="00886512"/>
    <w:rsid w:val="008867B4"/>
    <w:rsid w:val="00886A34"/>
    <w:rsid w:val="00886D56"/>
    <w:rsid w:val="00886E70"/>
    <w:rsid w:val="00886F03"/>
    <w:rsid w:val="008870BB"/>
    <w:rsid w:val="00887424"/>
    <w:rsid w:val="008874B2"/>
    <w:rsid w:val="008876D3"/>
    <w:rsid w:val="008876EE"/>
    <w:rsid w:val="00887771"/>
    <w:rsid w:val="0088791C"/>
    <w:rsid w:val="00887B1E"/>
    <w:rsid w:val="00887DAC"/>
    <w:rsid w:val="00887FDD"/>
    <w:rsid w:val="0089001D"/>
    <w:rsid w:val="008901D1"/>
    <w:rsid w:val="00890282"/>
    <w:rsid w:val="008904A0"/>
    <w:rsid w:val="008904B5"/>
    <w:rsid w:val="00890607"/>
    <w:rsid w:val="0089069C"/>
    <w:rsid w:val="00890783"/>
    <w:rsid w:val="00890D8A"/>
    <w:rsid w:val="00890EAD"/>
    <w:rsid w:val="0089109C"/>
    <w:rsid w:val="00891195"/>
    <w:rsid w:val="008911EF"/>
    <w:rsid w:val="008913CA"/>
    <w:rsid w:val="008915E6"/>
    <w:rsid w:val="008919CD"/>
    <w:rsid w:val="00891C6E"/>
    <w:rsid w:val="00891D82"/>
    <w:rsid w:val="00891E50"/>
    <w:rsid w:val="00892190"/>
    <w:rsid w:val="00892264"/>
    <w:rsid w:val="00892309"/>
    <w:rsid w:val="0089235A"/>
    <w:rsid w:val="008923C9"/>
    <w:rsid w:val="00892423"/>
    <w:rsid w:val="008924A1"/>
    <w:rsid w:val="00892512"/>
    <w:rsid w:val="00892598"/>
    <w:rsid w:val="0089287F"/>
    <w:rsid w:val="008928CC"/>
    <w:rsid w:val="00892E1A"/>
    <w:rsid w:val="0089302B"/>
    <w:rsid w:val="00893109"/>
    <w:rsid w:val="00893222"/>
    <w:rsid w:val="0089323A"/>
    <w:rsid w:val="00893338"/>
    <w:rsid w:val="008935F6"/>
    <w:rsid w:val="00893991"/>
    <w:rsid w:val="00893C13"/>
    <w:rsid w:val="00893CD0"/>
    <w:rsid w:val="00893ED5"/>
    <w:rsid w:val="00893FE9"/>
    <w:rsid w:val="0089413B"/>
    <w:rsid w:val="008943C9"/>
    <w:rsid w:val="008945AA"/>
    <w:rsid w:val="008948EC"/>
    <w:rsid w:val="00894A28"/>
    <w:rsid w:val="00894AD6"/>
    <w:rsid w:val="00894B43"/>
    <w:rsid w:val="00894C68"/>
    <w:rsid w:val="0089506E"/>
    <w:rsid w:val="0089508D"/>
    <w:rsid w:val="008952C4"/>
    <w:rsid w:val="0089542C"/>
    <w:rsid w:val="00895801"/>
    <w:rsid w:val="00895AF4"/>
    <w:rsid w:val="00895C76"/>
    <w:rsid w:val="008960FC"/>
    <w:rsid w:val="00896156"/>
    <w:rsid w:val="00896311"/>
    <w:rsid w:val="00896422"/>
    <w:rsid w:val="00896477"/>
    <w:rsid w:val="008967BA"/>
    <w:rsid w:val="00896B59"/>
    <w:rsid w:val="00896C1F"/>
    <w:rsid w:val="00896E36"/>
    <w:rsid w:val="00896F14"/>
    <w:rsid w:val="00896F6B"/>
    <w:rsid w:val="00897113"/>
    <w:rsid w:val="0089724F"/>
    <w:rsid w:val="00897627"/>
    <w:rsid w:val="008978AC"/>
    <w:rsid w:val="00897965"/>
    <w:rsid w:val="0089799D"/>
    <w:rsid w:val="00897AAA"/>
    <w:rsid w:val="00897C38"/>
    <w:rsid w:val="00897D42"/>
    <w:rsid w:val="00897FB6"/>
    <w:rsid w:val="00897FC3"/>
    <w:rsid w:val="008A00A9"/>
    <w:rsid w:val="008A0284"/>
    <w:rsid w:val="008A02D6"/>
    <w:rsid w:val="008A0637"/>
    <w:rsid w:val="008A064F"/>
    <w:rsid w:val="008A0660"/>
    <w:rsid w:val="008A094C"/>
    <w:rsid w:val="008A09A4"/>
    <w:rsid w:val="008A0ABD"/>
    <w:rsid w:val="008A0B71"/>
    <w:rsid w:val="008A0F65"/>
    <w:rsid w:val="008A0FBE"/>
    <w:rsid w:val="008A0FE4"/>
    <w:rsid w:val="008A1049"/>
    <w:rsid w:val="008A12DE"/>
    <w:rsid w:val="008A136A"/>
    <w:rsid w:val="008A13F9"/>
    <w:rsid w:val="008A154E"/>
    <w:rsid w:val="008A1862"/>
    <w:rsid w:val="008A19E0"/>
    <w:rsid w:val="008A1BE6"/>
    <w:rsid w:val="008A1C57"/>
    <w:rsid w:val="008A1D72"/>
    <w:rsid w:val="008A2053"/>
    <w:rsid w:val="008A20F7"/>
    <w:rsid w:val="008A2236"/>
    <w:rsid w:val="008A2705"/>
    <w:rsid w:val="008A2823"/>
    <w:rsid w:val="008A28A9"/>
    <w:rsid w:val="008A29E3"/>
    <w:rsid w:val="008A2C11"/>
    <w:rsid w:val="008A3072"/>
    <w:rsid w:val="008A34E1"/>
    <w:rsid w:val="008A38F2"/>
    <w:rsid w:val="008A3AC2"/>
    <w:rsid w:val="008A3B85"/>
    <w:rsid w:val="008A3C7C"/>
    <w:rsid w:val="008A3CD9"/>
    <w:rsid w:val="008A3EA3"/>
    <w:rsid w:val="008A3EAE"/>
    <w:rsid w:val="008A4348"/>
    <w:rsid w:val="008A4456"/>
    <w:rsid w:val="008A4752"/>
    <w:rsid w:val="008A47B5"/>
    <w:rsid w:val="008A47DE"/>
    <w:rsid w:val="008A4B49"/>
    <w:rsid w:val="008A4EAB"/>
    <w:rsid w:val="008A50B3"/>
    <w:rsid w:val="008A5147"/>
    <w:rsid w:val="008A53F1"/>
    <w:rsid w:val="008A54AE"/>
    <w:rsid w:val="008A5585"/>
    <w:rsid w:val="008A57F8"/>
    <w:rsid w:val="008A5824"/>
    <w:rsid w:val="008A5866"/>
    <w:rsid w:val="008A5D3F"/>
    <w:rsid w:val="008A5E0E"/>
    <w:rsid w:val="008A5FC1"/>
    <w:rsid w:val="008A5FEF"/>
    <w:rsid w:val="008A6084"/>
    <w:rsid w:val="008A66BD"/>
    <w:rsid w:val="008A6782"/>
    <w:rsid w:val="008A678D"/>
    <w:rsid w:val="008A6AD8"/>
    <w:rsid w:val="008A6FC7"/>
    <w:rsid w:val="008A70A3"/>
    <w:rsid w:val="008A713D"/>
    <w:rsid w:val="008A7309"/>
    <w:rsid w:val="008A74A6"/>
    <w:rsid w:val="008A76B2"/>
    <w:rsid w:val="008A7944"/>
    <w:rsid w:val="008A7A5D"/>
    <w:rsid w:val="008A7AB3"/>
    <w:rsid w:val="008A7AD3"/>
    <w:rsid w:val="008A7EA4"/>
    <w:rsid w:val="008B0555"/>
    <w:rsid w:val="008B07C8"/>
    <w:rsid w:val="008B09F7"/>
    <w:rsid w:val="008B0AE6"/>
    <w:rsid w:val="008B0D4D"/>
    <w:rsid w:val="008B0EBE"/>
    <w:rsid w:val="008B0EF2"/>
    <w:rsid w:val="008B1446"/>
    <w:rsid w:val="008B1642"/>
    <w:rsid w:val="008B16EF"/>
    <w:rsid w:val="008B1A4A"/>
    <w:rsid w:val="008B1E7E"/>
    <w:rsid w:val="008B1F1F"/>
    <w:rsid w:val="008B222F"/>
    <w:rsid w:val="008B22FF"/>
    <w:rsid w:val="008B2539"/>
    <w:rsid w:val="008B25AB"/>
    <w:rsid w:val="008B28E1"/>
    <w:rsid w:val="008B297D"/>
    <w:rsid w:val="008B305E"/>
    <w:rsid w:val="008B314B"/>
    <w:rsid w:val="008B323D"/>
    <w:rsid w:val="008B33EC"/>
    <w:rsid w:val="008B345E"/>
    <w:rsid w:val="008B3897"/>
    <w:rsid w:val="008B39E5"/>
    <w:rsid w:val="008B3AE0"/>
    <w:rsid w:val="008B3C44"/>
    <w:rsid w:val="008B3E49"/>
    <w:rsid w:val="008B41E5"/>
    <w:rsid w:val="008B4253"/>
    <w:rsid w:val="008B45B9"/>
    <w:rsid w:val="008B4637"/>
    <w:rsid w:val="008B4670"/>
    <w:rsid w:val="008B496B"/>
    <w:rsid w:val="008B49AD"/>
    <w:rsid w:val="008B4C86"/>
    <w:rsid w:val="008B4E2C"/>
    <w:rsid w:val="008B5091"/>
    <w:rsid w:val="008B51BB"/>
    <w:rsid w:val="008B5398"/>
    <w:rsid w:val="008B5460"/>
    <w:rsid w:val="008B5AAE"/>
    <w:rsid w:val="008B6405"/>
    <w:rsid w:val="008B6642"/>
    <w:rsid w:val="008B6904"/>
    <w:rsid w:val="008B690A"/>
    <w:rsid w:val="008B6B8A"/>
    <w:rsid w:val="008B6C4D"/>
    <w:rsid w:val="008B6E8A"/>
    <w:rsid w:val="008B6F12"/>
    <w:rsid w:val="008B7104"/>
    <w:rsid w:val="008B7450"/>
    <w:rsid w:val="008B74D0"/>
    <w:rsid w:val="008B7CCA"/>
    <w:rsid w:val="008B7D88"/>
    <w:rsid w:val="008BD414"/>
    <w:rsid w:val="008C01AC"/>
    <w:rsid w:val="008C01DD"/>
    <w:rsid w:val="008C02E6"/>
    <w:rsid w:val="008C03BE"/>
    <w:rsid w:val="008C05DA"/>
    <w:rsid w:val="008C062A"/>
    <w:rsid w:val="008C066E"/>
    <w:rsid w:val="008C072C"/>
    <w:rsid w:val="008C08B4"/>
    <w:rsid w:val="008C0D15"/>
    <w:rsid w:val="008C1182"/>
    <w:rsid w:val="008C118B"/>
    <w:rsid w:val="008C1354"/>
    <w:rsid w:val="008C13E5"/>
    <w:rsid w:val="008C15F2"/>
    <w:rsid w:val="008C1672"/>
    <w:rsid w:val="008C169D"/>
    <w:rsid w:val="008C16B3"/>
    <w:rsid w:val="008C19EF"/>
    <w:rsid w:val="008C1D90"/>
    <w:rsid w:val="008C1DD5"/>
    <w:rsid w:val="008C1F0F"/>
    <w:rsid w:val="008C1F3B"/>
    <w:rsid w:val="008C1F59"/>
    <w:rsid w:val="008C22B3"/>
    <w:rsid w:val="008C2335"/>
    <w:rsid w:val="008C23B6"/>
    <w:rsid w:val="008C249E"/>
    <w:rsid w:val="008C27FF"/>
    <w:rsid w:val="008C291E"/>
    <w:rsid w:val="008C2954"/>
    <w:rsid w:val="008C2ACD"/>
    <w:rsid w:val="008C2BC3"/>
    <w:rsid w:val="008C2C25"/>
    <w:rsid w:val="008C2C7B"/>
    <w:rsid w:val="008C2DA0"/>
    <w:rsid w:val="008C2DC9"/>
    <w:rsid w:val="008C2EDC"/>
    <w:rsid w:val="008C2F47"/>
    <w:rsid w:val="008C3055"/>
    <w:rsid w:val="008C31AF"/>
    <w:rsid w:val="008C340F"/>
    <w:rsid w:val="008C360E"/>
    <w:rsid w:val="008C3843"/>
    <w:rsid w:val="008C3B3C"/>
    <w:rsid w:val="008C3C68"/>
    <w:rsid w:val="008C3CCC"/>
    <w:rsid w:val="008C3D39"/>
    <w:rsid w:val="008C4100"/>
    <w:rsid w:val="008C41E8"/>
    <w:rsid w:val="008C426F"/>
    <w:rsid w:val="008C43E2"/>
    <w:rsid w:val="008C45C5"/>
    <w:rsid w:val="008C46E4"/>
    <w:rsid w:val="008C4719"/>
    <w:rsid w:val="008C477C"/>
    <w:rsid w:val="008C4871"/>
    <w:rsid w:val="008C48DE"/>
    <w:rsid w:val="008C49A7"/>
    <w:rsid w:val="008C4C4C"/>
    <w:rsid w:val="008C4E3B"/>
    <w:rsid w:val="008C4E66"/>
    <w:rsid w:val="008C5303"/>
    <w:rsid w:val="008C56CA"/>
    <w:rsid w:val="008C5B3B"/>
    <w:rsid w:val="008C5C57"/>
    <w:rsid w:val="008C5D9F"/>
    <w:rsid w:val="008C5DD0"/>
    <w:rsid w:val="008C5E20"/>
    <w:rsid w:val="008C62F3"/>
    <w:rsid w:val="008C66DD"/>
    <w:rsid w:val="008C678D"/>
    <w:rsid w:val="008C69C8"/>
    <w:rsid w:val="008C6B28"/>
    <w:rsid w:val="008C6D9A"/>
    <w:rsid w:val="008C6DC3"/>
    <w:rsid w:val="008C6F37"/>
    <w:rsid w:val="008C70E2"/>
    <w:rsid w:val="008C7549"/>
    <w:rsid w:val="008C7725"/>
    <w:rsid w:val="008C773A"/>
    <w:rsid w:val="008C79FA"/>
    <w:rsid w:val="008C7CE9"/>
    <w:rsid w:val="008C7D2B"/>
    <w:rsid w:val="008C7D63"/>
    <w:rsid w:val="008C7F21"/>
    <w:rsid w:val="008D0092"/>
    <w:rsid w:val="008D0208"/>
    <w:rsid w:val="008D03C9"/>
    <w:rsid w:val="008D0532"/>
    <w:rsid w:val="008D0563"/>
    <w:rsid w:val="008D06AC"/>
    <w:rsid w:val="008D06D8"/>
    <w:rsid w:val="008D0722"/>
    <w:rsid w:val="008D074D"/>
    <w:rsid w:val="008D0941"/>
    <w:rsid w:val="008D0B3F"/>
    <w:rsid w:val="008D0D6F"/>
    <w:rsid w:val="008D0F01"/>
    <w:rsid w:val="008D0F40"/>
    <w:rsid w:val="008D10B2"/>
    <w:rsid w:val="008D12A8"/>
    <w:rsid w:val="008D145B"/>
    <w:rsid w:val="008D15A5"/>
    <w:rsid w:val="008D1760"/>
    <w:rsid w:val="008D18ED"/>
    <w:rsid w:val="008D1C39"/>
    <w:rsid w:val="008D1CED"/>
    <w:rsid w:val="008D1D4F"/>
    <w:rsid w:val="008D1EE5"/>
    <w:rsid w:val="008D1F55"/>
    <w:rsid w:val="008D23A5"/>
    <w:rsid w:val="008D26AA"/>
    <w:rsid w:val="008D2EBA"/>
    <w:rsid w:val="008D334C"/>
    <w:rsid w:val="008D3589"/>
    <w:rsid w:val="008D35EA"/>
    <w:rsid w:val="008D36E5"/>
    <w:rsid w:val="008D39DC"/>
    <w:rsid w:val="008D3A52"/>
    <w:rsid w:val="008D3CDE"/>
    <w:rsid w:val="008D432E"/>
    <w:rsid w:val="008D4392"/>
    <w:rsid w:val="008D446C"/>
    <w:rsid w:val="008D484D"/>
    <w:rsid w:val="008D4A39"/>
    <w:rsid w:val="008D4A72"/>
    <w:rsid w:val="008D4EC1"/>
    <w:rsid w:val="008D4F18"/>
    <w:rsid w:val="008D4F3C"/>
    <w:rsid w:val="008D509E"/>
    <w:rsid w:val="008D553A"/>
    <w:rsid w:val="008D56F8"/>
    <w:rsid w:val="008D5A59"/>
    <w:rsid w:val="008D620B"/>
    <w:rsid w:val="008D6274"/>
    <w:rsid w:val="008D62A4"/>
    <w:rsid w:val="008D66E0"/>
    <w:rsid w:val="008D6788"/>
    <w:rsid w:val="008D69D6"/>
    <w:rsid w:val="008D6FD8"/>
    <w:rsid w:val="008D6FE4"/>
    <w:rsid w:val="008D70F1"/>
    <w:rsid w:val="008D7163"/>
    <w:rsid w:val="008D74A2"/>
    <w:rsid w:val="008D74AE"/>
    <w:rsid w:val="008D778A"/>
    <w:rsid w:val="008D7E83"/>
    <w:rsid w:val="008D7EDD"/>
    <w:rsid w:val="008D7F67"/>
    <w:rsid w:val="008D7F7B"/>
    <w:rsid w:val="008E026E"/>
    <w:rsid w:val="008E033F"/>
    <w:rsid w:val="008E0358"/>
    <w:rsid w:val="008E0E5F"/>
    <w:rsid w:val="008E0EA8"/>
    <w:rsid w:val="008E0FA1"/>
    <w:rsid w:val="008E117B"/>
    <w:rsid w:val="008E1328"/>
    <w:rsid w:val="008E1389"/>
    <w:rsid w:val="008E1860"/>
    <w:rsid w:val="008E19D4"/>
    <w:rsid w:val="008E23C7"/>
    <w:rsid w:val="008E23CD"/>
    <w:rsid w:val="008E2726"/>
    <w:rsid w:val="008E2814"/>
    <w:rsid w:val="008E291E"/>
    <w:rsid w:val="008E2A77"/>
    <w:rsid w:val="008E2E7C"/>
    <w:rsid w:val="008E2EF3"/>
    <w:rsid w:val="008E2FC3"/>
    <w:rsid w:val="008E37DD"/>
    <w:rsid w:val="008E3806"/>
    <w:rsid w:val="008E38D8"/>
    <w:rsid w:val="008E3A34"/>
    <w:rsid w:val="008E3ACD"/>
    <w:rsid w:val="008E3BE1"/>
    <w:rsid w:val="008E3D37"/>
    <w:rsid w:val="008E3D5C"/>
    <w:rsid w:val="008E3D6F"/>
    <w:rsid w:val="008E3D7B"/>
    <w:rsid w:val="008E3E08"/>
    <w:rsid w:val="008E3EF6"/>
    <w:rsid w:val="008E4074"/>
    <w:rsid w:val="008E4151"/>
    <w:rsid w:val="008E430A"/>
    <w:rsid w:val="008E47C6"/>
    <w:rsid w:val="008E49A7"/>
    <w:rsid w:val="008E4BC1"/>
    <w:rsid w:val="008E4C66"/>
    <w:rsid w:val="008E4D2C"/>
    <w:rsid w:val="008E4DF3"/>
    <w:rsid w:val="008E519D"/>
    <w:rsid w:val="008E52ED"/>
    <w:rsid w:val="008E546C"/>
    <w:rsid w:val="008E57F4"/>
    <w:rsid w:val="008E5917"/>
    <w:rsid w:val="008E5C07"/>
    <w:rsid w:val="008E5D43"/>
    <w:rsid w:val="008E5E6D"/>
    <w:rsid w:val="008E5F15"/>
    <w:rsid w:val="008E5FDF"/>
    <w:rsid w:val="008E6299"/>
    <w:rsid w:val="008E642A"/>
    <w:rsid w:val="008E65A5"/>
    <w:rsid w:val="008E6705"/>
    <w:rsid w:val="008E6B18"/>
    <w:rsid w:val="008E6B24"/>
    <w:rsid w:val="008E6B60"/>
    <w:rsid w:val="008E6D17"/>
    <w:rsid w:val="008E6D24"/>
    <w:rsid w:val="008E7056"/>
    <w:rsid w:val="008E7114"/>
    <w:rsid w:val="008E7219"/>
    <w:rsid w:val="008E73DC"/>
    <w:rsid w:val="008E73F0"/>
    <w:rsid w:val="008E74A5"/>
    <w:rsid w:val="008E750D"/>
    <w:rsid w:val="008E752A"/>
    <w:rsid w:val="008E766E"/>
    <w:rsid w:val="008E76DD"/>
    <w:rsid w:val="008E7818"/>
    <w:rsid w:val="008E7B63"/>
    <w:rsid w:val="008E7BD9"/>
    <w:rsid w:val="008E7BF4"/>
    <w:rsid w:val="008E7C18"/>
    <w:rsid w:val="008E7E41"/>
    <w:rsid w:val="008E7F59"/>
    <w:rsid w:val="008E7FC7"/>
    <w:rsid w:val="008F0011"/>
    <w:rsid w:val="008F008D"/>
    <w:rsid w:val="008F00EA"/>
    <w:rsid w:val="008F01E4"/>
    <w:rsid w:val="008F0370"/>
    <w:rsid w:val="008F0477"/>
    <w:rsid w:val="008F0B0F"/>
    <w:rsid w:val="008F0D31"/>
    <w:rsid w:val="008F0D63"/>
    <w:rsid w:val="008F10A8"/>
    <w:rsid w:val="008F113B"/>
    <w:rsid w:val="008F121F"/>
    <w:rsid w:val="008F127C"/>
    <w:rsid w:val="008F141A"/>
    <w:rsid w:val="008F15D1"/>
    <w:rsid w:val="008F161F"/>
    <w:rsid w:val="008F1681"/>
    <w:rsid w:val="008F183C"/>
    <w:rsid w:val="008F1953"/>
    <w:rsid w:val="008F1C09"/>
    <w:rsid w:val="008F1F06"/>
    <w:rsid w:val="008F2459"/>
    <w:rsid w:val="008F25D1"/>
    <w:rsid w:val="008F25D7"/>
    <w:rsid w:val="008F260D"/>
    <w:rsid w:val="008F26ED"/>
    <w:rsid w:val="008F2A50"/>
    <w:rsid w:val="008F2AE0"/>
    <w:rsid w:val="008F2C39"/>
    <w:rsid w:val="008F2CBA"/>
    <w:rsid w:val="008F2D4A"/>
    <w:rsid w:val="008F2EDA"/>
    <w:rsid w:val="008F3396"/>
    <w:rsid w:val="008F35B6"/>
    <w:rsid w:val="008F36A1"/>
    <w:rsid w:val="008F3BE9"/>
    <w:rsid w:val="008F3E04"/>
    <w:rsid w:val="008F49D6"/>
    <w:rsid w:val="008F4A5E"/>
    <w:rsid w:val="008F4B19"/>
    <w:rsid w:val="008F4BC5"/>
    <w:rsid w:val="008F4D04"/>
    <w:rsid w:val="008F4D35"/>
    <w:rsid w:val="008F4F9F"/>
    <w:rsid w:val="008F5139"/>
    <w:rsid w:val="008F51AE"/>
    <w:rsid w:val="008F52CB"/>
    <w:rsid w:val="008F5300"/>
    <w:rsid w:val="008F559E"/>
    <w:rsid w:val="008F56CD"/>
    <w:rsid w:val="008F5743"/>
    <w:rsid w:val="008F593C"/>
    <w:rsid w:val="008F5C6A"/>
    <w:rsid w:val="008F5D42"/>
    <w:rsid w:val="008F5EC5"/>
    <w:rsid w:val="008F5F13"/>
    <w:rsid w:val="008F61C4"/>
    <w:rsid w:val="008F61FA"/>
    <w:rsid w:val="008F626B"/>
    <w:rsid w:val="008F67C6"/>
    <w:rsid w:val="008F6AB0"/>
    <w:rsid w:val="008F6AC1"/>
    <w:rsid w:val="008F6B28"/>
    <w:rsid w:val="008F6CF4"/>
    <w:rsid w:val="008F6DB4"/>
    <w:rsid w:val="008F7203"/>
    <w:rsid w:val="008F74F5"/>
    <w:rsid w:val="008F7536"/>
    <w:rsid w:val="008F765A"/>
    <w:rsid w:val="008F799F"/>
    <w:rsid w:val="008F7A28"/>
    <w:rsid w:val="008F7B91"/>
    <w:rsid w:val="008F7C08"/>
    <w:rsid w:val="008F7C0B"/>
    <w:rsid w:val="008F7D1E"/>
    <w:rsid w:val="0090001D"/>
    <w:rsid w:val="009001B7"/>
    <w:rsid w:val="009001C0"/>
    <w:rsid w:val="009003C1"/>
    <w:rsid w:val="009003E9"/>
    <w:rsid w:val="009004DE"/>
    <w:rsid w:val="009004ED"/>
    <w:rsid w:val="0090060E"/>
    <w:rsid w:val="00900683"/>
    <w:rsid w:val="00900867"/>
    <w:rsid w:val="00900981"/>
    <w:rsid w:val="009009BB"/>
    <w:rsid w:val="00900A06"/>
    <w:rsid w:val="00900B0A"/>
    <w:rsid w:val="00900CDE"/>
    <w:rsid w:val="00900FEB"/>
    <w:rsid w:val="009010FB"/>
    <w:rsid w:val="009012B4"/>
    <w:rsid w:val="00901351"/>
    <w:rsid w:val="0090165B"/>
    <w:rsid w:val="0090174E"/>
    <w:rsid w:val="009018C7"/>
    <w:rsid w:val="0090197B"/>
    <w:rsid w:val="00901B9F"/>
    <w:rsid w:val="00901CE9"/>
    <w:rsid w:val="0090210E"/>
    <w:rsid w:val="009022FA"/>
    <w:rsid w:val="00902835"/>
    <w:rsid w:val="00902A87"/>
    <w:rsid w:val="00902CED"/>
    <w:rsid w:val="00902DDB"/>
    <w:rsid w:val="00902F72"/>
    <w:rsid w:val="0090305B"/>
    <w:rsid w:val="00903159"/>
    <w:rsid w:val="00903197"/>
    <w:rsid w:val="009031D9"/>
    <w:rsid w:val="00903522"/>
    <w:rsid w:val="00903AD0"/>
    <w:rsid w:val="00903F62"/>
    <w:rsid w:val="00904382"/>
    <w:rsid w:val="009043CC"/>
    <w:rsid w:val="0090447D"/>
    <w:rsid w:val="009044A1"/>
    <w:rsid w:val="0090485A"/>
    <w:rsid w:val="00905218"/>
    <w:rsid w:val="0090522C"/>
    <w:rsid w:val="009053A3"/>
    <w:rsid w:val="0090567E"/>
    <w:rsid w:val="009058E4"/>
    <w:rsid w:val="009059DB"/>
    <w:rsid w:val="00905A1F"/>
    <w:rsid w:val="00905D2F"/>
    <w:rsid w:val="009060E6"/>
    <w:rsid w:val="0090618C"/>
    <w:rsid w:val="00906277"/>
    <w:rsid w:val="009063EE"/>
    <w:rsid w:val="00906476"/>
    <w:rsid w:val="009067BD"/>
    <w:rsid w:val="00906C65"/>
    <w:rsid w:val="009075AC"/>
    <w:rsid w:val="0090762B"/>
    <w:rsid w:val="00907C18"/>
    <w:rsid w:val="00907D71"/>
    <w:rsid w:val="00907E1A"/>
    <w:rsid w:val="00907FA4"/>
    <w:rsid w:val="00910074"/>
    <w:rsid w:val="009100D6"/>
    <w:rsid w:val="00910113"/>
    <w:rsid w:val="0091019A"/>
    <w:rsid w:val="0091042A"/>
    <w:rsid w:val="00910475"/>
    <w:rsid w:val="00910558"/>
    <w:rsid w:val="00910779"/>
    <w:rsid w:val="00910A6D"/>
    <w:rsid w:val="00910BDA"/>
    <w:rsid w:val="00910E6A"/>
    <w:rsid w:val="00910F47"/>
    <w:rsid w:val="00910F81"/>
    <w:rsid w:val="0091103F"/>
    <w:rsid w:val="00911064"/>
    <w:rsid w:val="009110EA"/>
    <w:rsid w:val="009114A9"/>
    <w:rsid w:val="0091152A"/>
    <w:rsid w:val="0091153B"/>
    <w:rsid w:val="00911962"/>
    <w:rsid w:val="00911AF3"/>
    <w:rsid w:val="00911B56"/>
    <w:rsid w:val="00911BFE"/>
    <w:rsid w:val="00911D79"/>
    <w:rsid w:val="00912282"/>
    <w:rsid w:val="009122C8"/>
    <w:rsid w:val="009123AA"/>
    <w:rsid w:val="00912583"/>
    <w:rsid w:val="00912672"/>
    <w:rsid w:val="00912A84"/>
    <w:rsid w:val="00912D32"/>
    <w:rsid w:val="00912DA1"/>
    <w:rsid w:val="00912F1A"/>
    <w:rsid w:val="00912FFE"/>
    <w:rsid w:val="00913310"/>
    <w:rsid w:val="009133C1"/>
    <w:rsid w:val="0091351C"/>
    <w:rsid w:val="009135FB"/>
    <w:rsid w:val="009136E4"/>
    <w:rsid w:val="00913FF3"/>
    <w:rsid w:val="0091401C"/>
    <w:rsid w:val="0091417F"/>
    <w:rsid w:val="00914345"/>
    <w:rsid w:val="00914384"/>
    <w:rsid w:val="0091438C"/>
    <w:rsid w:val="009145D4"/>
    <w:rsid w:val="009146F6"/>
    <w:rsid w:val="00914848"/>
    <w:rsid w:val="00914947"/>
    <w:rsid w:val="0091496E"/>
    <w:rsid w:val="00914BD5"/>
    <w:rsid w:val="00914C78"/>
    <w:rsid w:val="00914CD9"/>
    <w:rsid w:val="00914D99"/>
    <w:rsid w:val="00914E34"/>
    <w:rsid w:val="009150C0"/>
    <w:rsid w:val="009152BA"/>
    <w:rsid w:val="009157DC"/>
    <w:rsid w:val="0091583A"/>
    <w:rsid w:val="009158D4"/>
    <w:rsid w:val="009159F7"/>
    <w:rsid w:val="00915AF7"/>
    <w:rsid w:val="00915CE8"/>
    <w:rsid w:val="0091650A"/>
    <w:rsid w:val="00916541"/>
    <w:rsid w:val="009167B7"/>
    <w:rsid w:val="0091697A"/>
    <w:rsid w:val="00916C6C"/>
    <w:rsid w:val="00916C9F"/>
    <w:rsid w:val="00916D13"/>
    <w:rsid w:val="00916E05"/>
    <w:rsid w:val="00916E1C"/>
    <w:rsid w:val="00916E9E"/>
    <w:rsid w:val="00916F8C"/>
    <w:rsid w:val="00916FF9"/>
    <w:rsid w:val="009170F3"/>
    <w:rsid w:val="0091747A"/>
    <w:rsid w:val="009174E6"/>
    <w:rsid w:val="009176D0"/>
    <w:rsid w:val="00917AD6"/>
    <w:rsid w:val="00917CC7"/>
    <w:rsid w:val="00917E51"/>
    <w:rsid w:val="00917F4F"/>
    <w:rsid w:val="00920008"/>
    <w:rsid w:val="00920046"/>
    <w:rsid w:val="009202D6"/>
    <w:rsid w:val="00920804"/>
    <w:rsid w:val="009208EF"/>
    <w:rsid w:val="00920BE0"/>
    <w:rsid w:val="00920C44"/>
    <w:rsid w:val="009211C0"/>
    <w:rsid w:val="00921218"/>
    <w:rsid w:val="0092128F"/>
    <w:rsid w:val="0092182A"/>
    <w:rsid w:val="00921877"/>
    <w:rsid w:val="00921C22"/>
    <w:rsid w:val="00922025"/>
    <w:rsid w:val="0092211C"/>
    <w:rsid w:val="00922621"/>
    <w:rsid w:val="00922683"/>
    <w:rsid w:val="00922718"/>
    <w:rsid w:val="00922B9A"/>
    <w:rsid w:val="00922CF5"/>
    <w:rsid w:val="00922D18"/>
    <w:rsid w:val="00923310"/>
    <w:rsid w:val="0092338E"/>
    <w:rsid w:val="00923590"/>
    <w:rsid w:val="00923646"/>
    <w:rsid w:val="0092367A"/>
    <w:rsid w:val="009236AA"/>
    <w:rsid w:val="00923BC2"/>
    <w:rsid w:val="00923E64"/>
    <w:rsid w:val="00923EC7"/>
    <w:rsid w:val="009243DF"/>
    <w:rsid w:val="00924415"/>
    <w:rsid w:val="00924578"/>
    <w:rsid w:val="009245D1"/>
    <w:rsid w:val="009247E2"/>
    <w:rsid w:val="009247E7"/>
    <w:rsid w:val="00924C14"/>
    <w:rsid w:val="00924C80"/>
    <w:rsid w:val="00924DDD"/>
    <w:rsid w:val="00925131"/>
    <w:rsid w:val="00925219"/>
    <w:rsid w:val="009252A3"/>
    <w:rsid w:val="0092533E"/>
    <w:rsid w:val="00925544"/>
    <w:rsid w:val="00925552"/>
    <w:rsid w:val="00925596"/>
    <w:rsid w:val="009258D8"/>
    <w:rsid w:val="00925D53"/>
    <w:rsid w:val="00925FDF"/>
    <w:rsid w:val="00926104"/>
    <w:rsid w:val="00926164"/>
    <w:rsid w:val="009262D9"/>
    <w:rsid w:val="0092632E"/>
    <w:rsid w:val="009265A3"/>
    <w:rsid w:val="009266E8"/>
    <w:rsid w:val="009267A6"/>
    <w:rsid w:val="009267ED"/>
    <w:rsid w:val="00926853"/>
    <w:rsid w:val="00926BD6"/>
    <w:rsid w:val="00926D19"/>
    <w:rsid w:val="00926DE0"/>
    <w:rsid w:val="00926E2E"/>
    <w:rsid w:val="00926EEB"/>
    <w:rsid w:val="009270FC"/>
    <w:rsid w:val="00927225"/>
    <w:rsid w:val="0092728C"/>
    <w:rsid w:val="00927368"/>
    <w:rsid w:val="00927587"/>
    <w:rsid w:val="00927639"/>
    <w:rsid w:val="009276C7"/>
    <w:rsid w:val="00927847"/>
    <w:rsid w:val="009278F3"/>
    <w:rsid w:val="00927AE5"/>
    <w:rsid w:val="00927B68"/>
    <w:rsid w:val="00927CDB"/>
    <w:rsid w:val="00927D3F"/>
    <w:rsid w:val="00927D9A"/>
    <w:rsid w:val="00927F32"/>
    <w:rsid w:val="00930066"/>
    <w:rsid w:val="0093013E"/>
    <w:rsid w:val="00930477"/>
    <w:rsid w:val="00930789"/>
    <w:rsid w:val="00930A68"/>
    <w:rsid w:val="00930B36"/>
    <w:rsid w:val="00930D6F"/>
    <w:rsid w:val="00930DD3"/>
    <w:rsid w:val="00930DF1"/>
    <w:rsid w:val="00930E7F"/>
    <w:rsid w:val="009310B7"/>
    <w:rsid w:val="0093133F"/>
    <w:rsid w:val="009313A9"/>
    <w:rsid w:val="009313AA"/>
    <w:rsid w:val="0093147A"/>
    <w:rsid w:val="009315E6"/>
    <w:rsid w:val="0093167D"/>
    <w:rsid w:val="00931737"/>
    <w:rsid w:val="009318A1"/>
    <w:rsid w:val="00931A65"/>
    <w:rsid w:val="00931C74"/>
    <w:rsid w:val="00931CDC"/>
    <w:rsid w:val="00931E58"/>
    <w:rsid w:val="009321F9"/>
    <w:rsid w:val="00932213"/>
    <w:rsid w:val="00932226"/>
    <w:rsid w:val="00932574"/>
    <w:rsid w:val="009327C6"/>
    <w:rsid w:val="009328A3"/>
    <w:rsid w:val="009329CB"/>
    <w:rsid w:val="00932B17"/>
    <w:rsid w:val="00932BD0"/>
    <w:rsid w:val="00932CE2"/>
    <w:rsid w:val="00932D80"/>
    <w:rsid w:val="00932EF4"/>
    <w:rsid w:val="0093337A"/>
    <w:rsid w:val="009334C0"/>
    <w:rsid w:val="009335FD"/>
    <w:rsid w:val="009336F4"/>
    <w:rsid w:val="0093378F"/>
    <w:rsid w:val="00933858"/>
    <w:rsid w:val="009338A2"/>
    <w:rsid w:val="0093427D"/>
    <w:rsid w:val="00934512"/>
    <w:rsid w:val="00934564"/>
    <w:rsid w:val="009346A9"/>
    <w:rsid w:val="00934ED7"/>
    <w:rsid w:val="00934F6C"/>
    <w:rsid w:val="009350B8"/>
    <w:rsid w:val="0093512C"/>
    <w:rsid w:val="00935135"/>
    <w:rsid w:val="00935219"/>
    <w:rsid w:val="009354DA"/>
    <w:rsid w:val="009354E5"/>
    <w:rsid w:val="00935A22"/>
    <w:rsid w:val="00935B29"/>
    <w:rsid w:val="00935BFD"/>
    <w:rsid w:val="00935D5B"/>
    <w:rsid w:val="00935E68"/>
    <w:rsid w:val="00935E9D"/>
    <w:rsid w:val="00936324"/>
    <w:rsid w:val="00936446"/>
    <w:rsid w:val="0093649F"/>
    <w:rsid w:val="009365CC"/>
    <w:rsid w:val="009366E0"/>
    <w:rsid w:val="00936780"/>
    <w:rsid w:val="00936828"/>
    <w:rsid w:val="00936869"/>
    <w:rsid w:val="00936BC8"/>
    <w:rsid w:val="00936DAD"/>
    <w:rsid w:val="00937066"/>
    <w:rsid w:val="009371A2"/>
    <w:rsid w:val="009372CD"/>
    <w:rsid w:val="00937FB9"/>
    <w:rsid w:val="00940430"/>
    <w:rsid w:val="0094088F"/>
    <w:rsid w:val="00940D96"/>
    <w:rsid w:val="00940F5A"/>
    <w:rsid w:val="00940F77"/>
    <w:rsid w:val="009411AF"/>
    <w:rsid w:val="0094125B"/>
    <w:rsid w:val="00941419"/>
    <w:rsid w:val="0094159C"/>
    <w:rsid w:val="009416DA"/>
    <w:rsid w:val="0094188E"/>
    <w:rsid w:val="009419E0"/>
    <w:rsid w:val="009419E3"/>
    <w:rsid w:val="00941B50"/>
    <w:rsid w:val="00941C91"/>
    <w:rsid w:val="00942003"/>
    <w:rsid w:val="009421F8"/>
    <w:rsid w:val="009422C9"/>
    <w:rsid w:val="009425C5"/>
    <w:rsid w:val="009426C8"/>
    <w:rsid w:val="00942739"/>
    <w:rsid w:val="0094277E"/>
    <w:rsid w:val="00942871"/>
    <w:rsid w:val="00942983"/>
    <w:rsid w:val="00942A00"/>
    <w:rsid w:val="00942F35"/>
    <w:rsid w:val="009431D1"/>
    <w:rsid w:val="00943278"/>
    <w:rsid w:val="0094330B"/>
    <w:rsid w:val="0094333A"/>
    <w:rsid w:val="0094362A"/>
    <w:rsid w:val="00943718"/>
    <w:rsid w:val="009438D3"/>
    <w:rsid w:val="0094392A"/>
    <w:rsid w:val="00943B72"/>
    <w:rsid w:val="00943B80"/>
    <w:rsid w:val="00943BD6"/>
    <w:rsid w:val="00943C90"/>
    <w:rsid w:val="00943D1B"/>
    <w:rsid w:val="00943DF2"/>
    <w:rsid w:val="00944004"/>
    <w:rsid w:val="00944246"/>
    <w:rsid w:val="0094438F"/>
    <w:rsid w:val="009446F5"/>
    <w:rsid w:val="00944A44"/>
    <w:rsid w:val="00945125"/>
    <w:rsid w:val="0094529C"/>
    <w:rsid w:val="009452EA"/>
    <w:rsid w:val="0094539A"/>
    <w:rsid w:val="009453C5"/>
    <w:rsid w:val="0094559C"/>
    <w:rsid w:val="009456E6"/>
    <w:rsid w:val="00945AA2"/>
    <w:rsid w:val="00945C93"/>
    <w:rsid w:val="00946255"/>
    <w:rsid w:val="00946401"/>
    <w:rsid w:val="009464F7"/>
    <w:rsid w:val="00946704"/>
    <w:rsid w:val="00946771"/>
    <w:rsid w:val="00946935"/>
    <w:rsid w:val="00946AC7"/>
    <w:rsid w:val="009471DB"/>
    <w:rsid w:val="00947350"/>
    <w:rsid w:val="00947903"/>
    <w:rsid w:val="00947A5A"/>
    <w:rsid w:val="00947C92"/>
    <w:rsid w:val="00947CE2"/>
    <w:rsid w:val="00947F28"/>
    <w:rsid w:val="00947F90"/>
    <w:rsid w:val="0095003B"/>
    <w:rsid w:val="0095027A"/>
    <w:rsid w:val="0095065C"/>
    <w:rsid w:val="00950754"/>
    <w:rsid w:val="0095078D"/>
    <w:rsid w:val="009508EB"/>
    <w:rsid w:val="009509BC"/>
    <w:rsid w:val="00950AC5"/>
    <w:rsid w:val="00950AEF"/>
    <w:rsid w:val="00950AF8"/>
    <w:rsid w:val="00950B40"/>
    <w:rsid w:val="00950B7B"/>
    <w:rsid w:val="00950FFF"/>
    <w:rsid w:val="0095111E"/>
    <w:rsid w:val="009511FE"/>
    <w:rsid w:val="009512CF"/>
    <w:rsid w:val="0095139B"/>
    <w:rsid w:val="0095167C"/>
    <w:rsid w:val="0095185B"/>
    <w:rsid w:val="00951A4C"/>
    <w:rsid w:val="00951AFB"/>
    <w:rsid w:val="00951BB1"/>
    <w:rsid w:val="00951BD2"/>
    <w:rsid w:val="00951D89"/>
    <w:rsid w:val="00952135"/>
    <w:rsid w:val="00952752"/>
    <w:rsid w:val="0095283F"/>
    <w:rsid w:val="00952AAD"/>
    <w:rsid w:val="00952D36"/>
    <w:rsid w:val="00952DAC"/>
    <w:rsid w:val="00952DDB"/>
    <w:rsid w:val="00952E1A"/>
    <w:rsid w:val="00952E7D"/>
    <w:rsid w:val="009530EF"/>
    <w:rsid w:val="009532BA"/>
    <w:rsid w:val="009534E9"/>
    <w:rsid w:val="00953582"/>
    <w:rsid w:val="009535AC"/>
    <w:rsid w:val="009537C0"/>
    <w:rsid w:val="009537DF"/>
    <w:rsid w:val="009539D5"/>
    <w:rsid w:val="00953A7B"/>
    <w:rsid w:val="00953AB9"/>
    <w:rsid w:val="00953AFE"/>
    <w:rsid w:val="00953D4C"/>
    <w:rsid w:val="00953EA7"/>
    <w:rsid w:val="00953FA4"/>
    <w:rsid w:val="009540CB"/>
    <w:rsid w:val="009540E4"/>
    <w:rsid w:val="009540F8"/>
    <w:rsid w:val="009547DF"/>
    <w:rsid w:val="00954F5F"/>
    <w:rsid w:val="009551AD"/>
    <w:rsid w:val="00955234"/>
    <w:rsid w:val="00955376"/>
    <w:rsid w:val="00955538"/>
    <w:rsid w:val="009555B2"/>
    <w:rsid w:val="00955633"/>
    <w:rsid w:val="009557CB"/>
    <w:rsid w:val="00955935"/>
    <w:rsid w:val="00955B52"/>
    <w:rsid w:val="00955BA4"/>
    <w:rsid w:val="00955C49"/>
    <w:rsid w:val="00955C7F"/>
    <w:rsid w:val="00955F8A"/>
    <w:rsid w:val="00956093"/>
    <w:rsid w:val="00956497"/>
    <w:rsid w:val="00956527"/>
    <w:rsid w:val="009565D8"/>
    <w:rsid w:val="00956669"/>
    <w:rsid w:val="009567E3"/>
    <w:rsid w:val="00956921"/>
    <w:rsid w:val="00956991"/>
    <w:rsid w:val="00956B52"/>
    <w:rsid w:val="00957368"/>
    <w:rsid w:val="00957421"/>
    <w:rsid w:val="00957591"/>
    <w:rsid w:val="009575BF"/>
    <w:rsid w:val="0095761C"/>
    <w:rsid w:val="00957783"/>
    <w:rsid w:val="00957807"/>
    <w:rsid w:val="0095787C"/>
    <w:rsid w:val="009579AA"/>
    <w:rsid w:val="00957B16"/>
    <w:rsid w:val="00957D7F"/>
    <w:rsid w:val="00957E04"/>
    <w:rsid w:val="00960012"/>
    <w:rsid w:val="00960059"/>
    <w:rsid w:val="0096026C"/>
    <w:rsid w:val="009602E1"/>
    <w:rsid w:val="0096050C"/>
    <w:rsid w:val="009607B0"/>
    <w:rsid w:val="009608EC"/>
    <w:rsid w:val="00960A54"/>
    <w:rsid w:val="00960D21"/>
    <w:rsid w:val="00961023"/>
    <w:rsid w:val="009611ED"/>
    <w:rsid w:val="00961262"/>
    <w:rsid w:val="00961650"/>
    <w:rsid w:val="00961699"/>
    <w:rsid w:val="00961761"/>
    <w:rsid w:val="00961884"/>
    <w:rsid w:val="00961930"/>
    <w:rsid w:val="00961AD6"/>
    <w:rsid w:val="00961F88"/>
    <w:rsid w:val="009620C2"/>
    <w:rsid w:val="00962376"/>
    <w:rsid w:val="009624FD"/>
    <w:rsid w:val="00962622"/>
    <w:rsid w:val="0096280B"/>
    <w:rsid w:val="00962BC8"/>
    <w:rsid w:val="009631B4"/>
    <w:rsid w:val="00963476"/>
    <w:rsid w:val="0096353C"/>
    <w:rsid w:val="00963DDA"/>
    <w:rsid w:val="00963E5F"/>
    <w:rsid w:val="0096416D"/>
    <w:rsid w:val="00964585"/>
    <w:rsid w:val="009647F5"/>
    <w:rsid w:val="009648F1"/>
    <w:rsid w:val="00964A3D"/>
    <w:rsid w:val="00964A4B"/>
    <w:rsid w:val="00964B6B"/>
    <w:rsid w:val="00964D8E"/>
    <w:rsid w:val="00964DD6"/>
    <w:rsid w:val="00965148"/>
    <w:rsid w:val="009651D0"/>
    <w:rsid w:val="00965272"/>
    <w:rsid w:val="00965377"/>
    <w:rsid w:val="0096537C"/>
    <w:rsid w:val="009653D1"/>
    <w:rsid w:val="00965579"/>
    <w:rsid w:val="009656BC"/>
    <w:rsid w:val="00965752"/>
    <w:rsid w:val="009658A1"/>
    <w:rsid w:val="00965A3C"/>
    <w:rsid w:val="00965C5A"/>
    <w:rsid w:val="00965D1C"/>
    <w:rsid w:val="00965FBC"/>
    <w:rsid w:val="00966164"/>
    <w:rsid w:val="00966517"/>
    <w:rsid w:val="009665BC"/>
    <w:rsid w:val="009668ED"/>
    <w:rsid w:val="0096695D"/>
    <w:rsid w:val="00966B7C"/>
    <w:rsid w:val="00966C54"/>
    <w:rsid w:val="00966D4D"/>
    <w:rsid w:val="00966F66"/>
    <w:rsid w:val="0096704E"/>
    <w:rsid w:val="009675CD"/>
    <w:rsid w:val="009678E5"/>
    <w:rsid w:val="00967CAA"/>
    <w:rsid w:val="00967E7E"/>
    <w:rsid w:val="00967F43"/>
    <w:rsid w:val="00970138"/>
    <w:rsid w:val="00970720"/>
    <w:rsid w:val="00970CB3"/>
    <w:rsid w:val="00970D96"/>
    <w:rsid w:val="00970E51"/>
    <w:rsid w:val="00970EDE"/>
    <w:rsid w:val="00970F47"/>
    <w:rsid w:val="009710BE"/>
    <w:rsid w:val="009711A7"/>
    <w:rsid w:val="00971281"/>
    <w:rsid w:val="00971369"/>
    <w:rsid w:val="00971601"/>
    <w:rsid w:val="00971620"/>
    <w:rsid w:val="00971878"/>
    <w:rsid w:val="00971AFD"/>
    <w:rsid w:val="00971CA8"/>
    <w:rsid w:val="00971DC2"/>
    <w:rsid w:val="0097218A"/>
    <w:rsid w:val="00972315"/>
    <w:rsid w:val="00972379"/>
    <w:rsid w:val="00972430"/>
    <w:rsid w:val="00972547"/>
    <w:rsid w:val="00972932"/>
    <w:rsid w:val="00972AC3"/>
    <w:rsid w:val="00972ACA"/>
    <w:rsid w:val="00972BA9"/>
    <w:rsid w:val="00972F56"/>
    <w:rsid w:val="009730F1"/>
    <w:rsid w:val="00973338"/>
    <w:rsid w:val="00973438"/>
    <w:rsid w:val="00973565"/>
    <w:rsid w:val="009738D5"/>
    <w:rsid w:val="00973BB0"/>
    <w:rsid w:val="00973F50"/>
    <w:rsid w:val="00974041"/>
    <w:rsid w:val="009741A1"/>
    <w:rsid w:val="0097437B"/>
    <w:rsid w:val="009744C9"/>
    <w:rsid w:val="00974AC1"/>
    <w:rsid w:val="00974AC8"/>
    <w:rsid w:val="00974AFC"/>
    <w:rsid w:val="00975298"/>
    <w:rsid w:val="00975448"/>
    <w:rsid w:val="00975A98"/>
    <w:rsid w:val="00975AD5"/>
    <w:rsid w:val="00975D90"/>
    <w:rsid w:val="00975D96"/>
    <w:rsid w:val="00976109"/>
    <w:rsid w:val="009761F5"/>
    <w:rsid w:val="00976203"/>
    <w:rsid w:val="009765C3"/>
    <w:rsid w:val="0097684E"/>
    <w:rsid w:val="00976853"/>
    <w:rsid w:val="0097689C"/>
    <w:rsid w:val="00976D30"/>
    <w:rsid w:val="009770D8"/>
    <w:rsid w:val="00977204"/>
    <w:rsid w:val="00977413"/>
    <w:rsid w:val="009776C4"/>
    <w:rsid w:val="00977709"/>
    <w:rsid w:val="00977D22"/>
    <w:rsid w:val="00980276"/>
    <w:rsid w:val="00980498"/>
    <w:rsid w:val="009805CF"/>
    <w:rsid w:val="009808F0"/>
    <w:rsid w:val="00980B71"/>
    <w:rsid w:val="00980DE1"/>
    <w:rsid w:val="00980DEC"/>
    <w:rsid w:val="00980E15"/>
    <w:rsid w:val="00980FAE"/>
    <w:rsid w:val="00981200"/>
    <w:rsid w:val="009812F5"/>
    <w:rsid w:val="00981331"/>
    <w:rsid w:val="009813BB"/>
    <w:rsid w:val="009813D0"/>
    <w:rsid w:val="0098166F"/>
    <w:rsid w:val="0098183A"/>
    <w:rsid w:val="00981A90"/>
    <w:rsid w:val="00981BC9"/>
    <w:rsid w:val="00982C9B"/>
    <w:rsid w:val="00982DC2"/>
    <w:rsid w:val="00982ED2"/>
    <w:rsid w:val="009831F6"/>
    <w:rsid w:val="009835CA"/>
    <w:rsid w:val="009838A3"/>
    <w:rsid w:val="009839A3"/>
    <w:rsid w:val="00983BCA"/>
    <w:rsid w:val="00983CF0"/>
    <w:rsid w:val="00983D38"/>
    <w:rsid w:val="00984459"/>
    <w:rsid w:val="009847D9"/>
    <w:rsid w:val="00984DC4"/>
    <w:rsid w:val="00984DE3"/>
    <w:rsid w:val="00984E7E"/>
    <w:rsid w:val="00984F2C"/>
    <w:rsid w:val="0098500A"/>
    <w:rsid w:val="0098504F"/>
    <w:rsid w:val="00985356"/>
    <w:rsid w:val="00985485"/>
    <w:rsid w:val="009855EC"/>
    <w:rsid w:val="00985674"/>
    <w:rsid w:val="009858F4"/>
    <w:rsid w:val="00985C23"/>
    <w:rsid w:val="00985CEC"/>
    <w:rsid w:val="00985E7D"/>
    <w:rsid w:val="00985F38"/>
    <w:rsid w:val="0098610D"/>
    <w:rsid w:val="00986306"/>
    <w:rsid w:val="0098632E"/>
    <w:rsid w:val="00986358"/>
    <w:rsid w:val="00986509"/>
    <w:rsid w:val="00986758"/>
    <w:rsid w:val="0098679F"/>
    <w:rsid w:val="0098685F"/>
    <w:rsid w:val="0098689A"/>
    <w:rsid w:val="009868DD"/>
    <w:rsid w:val="009869B6"/>
    <w:rsid w:val="00986ABA"/>
    <w:rsid w:val="00986D92"/>
    <w:rsid w:val="00987223"/>
    <w:rsid w:val="009874F1"/>
    <w:rsid w:val="009877C8"/>
    <w:rsid w:val="00987893"/>
    <w:rsid w:val="00987AC0"/>
    <w:rsid w:val="00987B36"/>
    <w:rsid w:val="00990141"/>
    <w:rsid w:val="0099033D"/>
    <w:rsid w:val="009903DE"/>
    <w:rsid w:val="009906E0"/>
    <w:rsid w:val="00990BA6"/>
    <w:rsid w:val="00990BD4"/>
    <w:rsid w:val="00990D2A"/>
    <w:rsid w:val="00990D7D"/>
    <w:rsid w:val="00990DF7"/>
    <w:rsid w:val="00990E3C"/>
    <w:rsid w:val="009910C4"/>
    <w:rsid w:val="009911DD"/>
    <w:rsid w:val="00991232"/>
    <w:rsid w:val="00991341"/>
    <w:rsid w:val="00991A17"/>
    <w:rsid w:val="00991A46"/>
    <w:rsid w:val="00991C4C"/>
    <w:rsid w:val="00992431"/>
    <w:rsid w:val="009929D4"/>
    <w:rsid w:val="00992D9D"/>
    <w:rsid w:val="00992E7A"/>
    <w:rsid w:val="0099311F"/>
    <w:rsid w:val="00993499"/>
    <w:rsid w:val="00993658"/>
    <w:rsid w:val="00993827"/>
    <w:rsid w:val="009938CB"/>
    <w:rsid w:val="009938D9"/>
    <w:rsid w:val="009938F2"/>
    <w:rsid w:val="00993A47"/>
    <w:rsid w:val="00993A93"/>
    <w:rsid w:val="00993BE3"/>
    <w:rsid w:val="00993C0B"/>
    <w:rsid w:val="00993CE8"/>
    <w:rsid w:val="0099411C"/>
    <w:rsid w:val="0099452C"/>
    <w:rsid w:val="00994549"/>
    <w:rsid w:val="00994722"/>
    <w:rsid w:val="00994BC6"/>
    <w:rsid w:val="009950D8"/>
    <w:rsid w:val="009950FE"/>
    <w:rsid w:val="009953D2"/>
    <w:rsid w:val="009954C4"/>
    <w:rsid w:val="009954D3"/>
    <w:rsid w:val="00995619"/>
    <w:rsid w:val="009957C8"/>
    <w:rsid w:val="00995B95"/>
    <w:rsid w:val="00995CD2"/>
    <w:rsid w:val="00995D38"/>
    <w:rsid w:val="00995E4B"/>
    <w:rsid w:val="00995F99"/>
    <w:rsid w:val="00995FB9"/>
    <w:rsid w:val="00996443"/>
    <w:rsid w:val="009964A0"/>
    <w:rsid w:val="009965C4"/>
    <w:rsid w:val="00996721"/>
    <w:rsid w:val="00996798"/>
    <w:rsid w:val="00996B3C"/>
    <w:rsid w:val="00996BC7"/>
    <w:rsid w:val="00996CA3"/>
    <w:rsid w:val="00996DFF"/>
    <w:rsid w:val="00996F25"/>
    <w:rsid w:val="00996F8D"/>
    <w:rsid w:val="009972BB"/>
    <w:rsid w:val="009974A2"/>
    <w:rsid w:val="0099788D"/>
    <w:rsid w:val="0099792A"/>
    <w:rsid w:val="00997A7E"/>
    <w:rsid w:val="00997C1A"/>
    <w:rsid w:val="00997C2B"/>
    <w:rsid w:val="00997C72"/>
    <w:rsid w:val="00997C9E"/>
    <w:rsid w:val="00997D27"/>
    <w:rsid w:val="009A007C"/>
    <w:rsid w:val="009A0292"/>
    <w:rsid w:val="009A03F2"/>
    <w:rsid w:val="009A070D"/>
    <w:rsid w:val="009A0738"/>
    <w:rsid w:val="009A0790"/>
    <w:rsid w:val="009A089A"/>
    <w:rsid w:val="009A0B0F"/>
    <w:rsid w:val="009A0C9A"/>
    <w:rsid w:val="009A0DA8"/>
    <w:rsid w:val="009A1147"/>
    <w:rsid w:val="009A1188"/>
    <w:rsid w:val="009A12D3"/>
    <w:rsid w:val="009A1322"/>
    <w:rsid w:val="009A13EC"/>
    <w:rsid w:val="009A154A"/>
    <w:rsid w:val="009A187D"/>
    <w:rsid w:val="009A18A9"/>
    <w:rsid w:val="009A1995"/>
    <w:rsid w:val="009A1C2D"/>
    <w:rsid w:val="009A2715"/>
    <w:rsid w:val="009A2840"/>
    <w:rsid w:val="009A2B12"/>
    <w:rsid w:val="009A2BA7"/>
    <w:rsid w:val="009A2C90"/>
    <w:rsid w:val="009A2DA3"/>
    <w:rsid w:val="009A2E2C"/>
    <w:rsid w:val="009A2E5A"/>
    <w:rsid w:val="009A2E78"/>
    <w:rsid w:val="009A2E79"/>
    <w:rsid w:val="009A30B2"/>
    <w:rsid w:val="009A31CD"/>
    <w:rsid w:val="009A338A"/>
    <w:rsid w:val="009A356D"/>
    <w:rsid w:val="009A37C2"/>
    <w:rsid w:val="009A396A"/>
    <w:rsid w:val="009A397C"/>
    <w:rsid w:val="009A3B45"/>
    <w:rsid w:val="009A3BE1"/>
    <w:rsid w:val="009A3C5C"/>
    <w:rsid w:val="009A3D42"/>
    <w:rsid w:val="009A4107"/>
    <w:rsid w:val="009A43CB"/>
    <w:rsid w:val="009A446B"/>
    <w:rsid w:val="009A47F1"/>
    <w:rsid w:val="009A48CC"/>
    <w:rsid w:val="009A4B5D"/>
    <w:rsid w:val="009A4B77"/>
    <w:rsid w:val="009A4CA3"/>
    <w:rsid w:val="009A4D61"/>
    <w:rsid w:val="009A4D72"/>
    <w:rsid w:val="009A4E22"/>
    <w:rsid w:val="009A5242"/>
    <w:rsid w:val="009A525F"/>
    <w:rsid w:val="009A55F6"/>
    <w:rsid w:val="009A5661"/>
    <w:rsid w:val="009A5AA3"/>
    <w:rsid w:val="009A5C5E"/>
    <w:rsid w:val="009A5D5D"/>
    <w:rsid w:val="009A5E51"/>
    <w:rsid w:val="009A5F33"/>
    <w:rsid w:val="009A6064"/>
    <w:rsid w:val="009A610F"/>
    <w:rsid w:val="009A6133"/>
    <w:rsid w:val="009A61BA"/>
    <w:rsid w:val="009A63B1"/>
    <w:rsid w:val="009A6791"/>
    <w:rsid w:val="009A6B17"/>
    <w:rsid w:val="009A6B63"/>
    <w:rsid w:val="009A6C75"/>
    <w:rsid w:val="009A6F40"/>
    <w:rsid w:val="009A73A0"/>
    <w:rsid w:val="009A73B8"/>
    <w:rsid w:val="009A74D8"/>
    <w:rsid w:val="009A7957"/>
    <w:rsid w:val="009A79CC"/>
    <w:rsid w:val="009A7AFD"/>
    <w:rsid w:val="009A7D20"/>
    <w:rsid w:val="009A7E74"/>
    <w:rsid w:val="009A7EDC"/>
    <w:rsid w:val="009B00C1"/>
    <w:rsid w:val="009B01EB"/>
    <w:rsid w:val="009B0233"/>
    <w:rsid w:val="009B04F8"/>
    <w:rsid w:val="009B059C"/>
    <w:rsid w:val="009B05E4"/>
    <w:rsid w:val="009B06A4"/>
    <w:rsid w:val="009B0757"/>
    <w:rsid w:val="009B0969"/>
    <w:rsid w:val="009B0EE8"/>
    <w:rsid w:val="009B1046"/>
    <w:rsid w:val="009B10D6"/>
    <w:rsid w:val="009B15A4"/>
    <w:rsid w:val="009B1714"/>
    <w:rsid w:val="009B1C23"/>
    <w:rsid w:val="009B1E6F"/>
    <w:rsid w:val="009B1EAF"/>
    <w:rsid w:val="009B1ECA"/>
    <w:rsid w:val="009B1F56"/>
    <w:rsid w:val="009B1F7A"/>
    <w:rsid w:val="009B22AE"/>
    <w:rsid w:val="009B27CA"/>
    <w:rsid w:val="009B27E8"/>
    <w:rsid w:val="009B28AF"/>
    <w:rsid w:val="009B2DD7"/>
    <w:rsid w:val="009B2FAF"/>
    <w:rsid w:val="009B3171"/>
    <w:rsid w:val="009B361B"/>
    <w:rsid w:val="009B36F2"/>
    <w:rsid w:val="009B37AC"/>
    <w:rsid w:val="009B3A51"/>
    <w:rsid w:val="009B3E7D"/>
    <w:rsid w:val="009B3FAB"/>
    <w:rsid w:val="009B4055"/>
    <w:rsid w:val="009B40DF"/>
    <w:rsid w:val="009B44D7"/>
    <w:rsid w:val="009B4832"/>
    <w:rsid w:val="009B48BC"/>
    <w:rsid w:val="009B4904"/>
    <w:rsid w:val="009B4AE3"/>
    <w:rsid w:val="009B4DDB"/>
    <w:rsid w:val="009B5032"/>
    <w:rsid w:val="009B506B"/>
    <w:rsid w:val="009B518C"/>
    <w:rsid w:val="009B535F"/>
    <w:rsid w:val="009B5743"/>
    <w:rsid w:val="009B5E45"/>
    <w:rsid w:val="009B600D"/>
    <w:rsid w:val="009B60FC"/>
    <w:rsid w:val="009B631A"/>
    <w:rsid w:val="009B6923"/>
    <w:rsid w:val="009B6EB8"/>
    <w:rsid w:val="009B7441"/>
    <w:rsid w:val="009B7684"/>
    <w:rsid w:val="009B7CE8"/>
    <w:rsid w:val="009B7D74"/>
    <w:rsid w:val="009B7D88"/>
    <w:rsid w:val="009C0039"/>
    <w:rsid w:val="009C0456"/>
    <w:rsid w:val="009C0510"/>
    <w:rsid w:val="009C06AD"/>
    <w:rsid w:val="009C0708"/>
    <w:rsid w:val="009C07F1"/>
    <w:rsid w:val="009C09BF"/>
    <w:rsid w:val="009C0BAA"/>
    <w:rsid w:val="009C0C6C"/>
    <w:rsid w:val="009C0C6D"/>
    <w:rsid w:val="009C0F17"/>
    <w:rsid w:val="009C0F80"/>
    <w:rsid w:val="009C0FE7"/>
    <w:rsid w:val="009C14AB"/>
    <w:rsid w:val="009C1666"/>
    <w:rsid w:val="009C1900"/>
    <w:rsid w:val="009C194F"/>
    <w:rsid w:val="009C1AB2"/>
    <w:rsid w:val="009C1D88"/>
    <w:rsid w:val="009C1E65"/>
    <w:rsid w:val="009C2076"/>
    <w:rsid w:val="009C20D0"/>
    <w:rsid w:val="009C21BC"/>
    <w:rsid w:val="009C21F1"/>
    <w:rsid w:val="009C2383"/>
    <w:rsid w:val="009C23B7"/>
    <w:rsid w:val="009C2786"/>
    <w:rsid w:val="009C2C8E"/>
    <w:rsid w:val="009C3232"/>
    <w:rsid w:val="009C3253"/>
    <w:rsid w:val="009C3325"/>
    <w:rsid w:val="009C3327"/>
    <w:rsid w:val="009C355E"/>
    <w:rsid w:val="009C3756"/>
    <w:rsid w:val="009C3B97"/>
    <w:rsid w:val="009C3D24"/>
    <w:rsid w:val="009C3D2E"/>
    <w:rsid w:val="009C3E0A"/>
    <w:rsid w:val="009C401F"/>
    <w:rsid w:val="009C4136"/>
    <w:rsid w:val="009C4352"/>
    <w:rsid w:val="009C43DA"/>
    <w:rsid w:val="009C44BF"/>
    <w:rsid w:val="009C46C4"/>
    <w:rsid w:val="009C4848"/>
    <w:rsid w:val="009C4C18"/>
    <w:rsid w:val="009C4D19"/>
    <w:rsid w:val="009C4DC0"/>
    <w:rsid w:val="009C4F35"/>
    <w:rsid w:val="009C503D"/>
    <w:rsid w:val="009C5041"/>
    <w:rsid w:val="009C52A5"/>
    <w:rsid w:val="009C53FA"/>
    <w:rsid w:val="009C56C5"/>
    <w:rsid w:val="009C59D6"/>
    <w:rsid w:val="009C5E79"/>
    <w:rsid w:val="009C6878"/>
    <w:rsid w:val="009C6B59"/>
    <w:rsid w:val="009C6C7D"/>
    <w:rsid w:val="009C6D6F"/>
    <w:rsid w:val="009C6E69"/>
    <w:rsid w:val="009C7015"/>
    <w:rsid w:val="009C72C3"/>
    <w:rsid w:val="009C7407"/>
    <w:rsid w:val="009C76A8"/>
    <w:rsid w:val="009C76FC"/>
    <w:rsid w:val="009C78BC"/>
    <w:rsid w:val="009C79E3"/>
    <w:rsid w:val="009C7A0F"/>
    <w:rsid w:val="009C7C13"/>
    <w:rsid w:val="009C7F21"/>
    <w:rsid w:val="009D00E1"/>
    <w:rsid w:val="009D0398"/>
    <w:rsid w:val="009D064B"/>
    <w:rsid w:val="009D06C0"/>
    <w:rsid w:val="009D090C"/>
    <w:rsid w:val="009D0AC5"/>
    <w:rsid w:val="009D0AFC"/>
    <w:rsid w:val="009D0B25"/>
    <w:rsid w:val="009D0D62"/>
    <w:rsid w:val="009D0E64"/>
    <w:rsid w:val="009D11B3"/>
    <w:rsid w:val="009D14D2"/>
    <w:rsid w:val="009D1684"/>
    <w:rsid w:val="009D16B9"/>
    <w:rsid w:val="009D1720"/>
    <w:rsid w:val="009D17B1"/>
    <w:rsid w:val="009D18F9"/>
    <w:rsid w:val="009D1CA2"/>
    <w:rsid w:val="009D2B41"/>
    <w:rsid w:val="009D2CB3"/>
    <w:rsid w:val="009D31F5"/>
    <w:rsid w:val="009D322F"/>
    <w:rsid w:val="009D36D0"/>
    <w:rsid w:val="009D3928"/>
    <w:rsid w:val="009D39A6"/>
    <w:rsid w:val="009D3A91"/>
    <w:rsid w:val="009D3C3C"/>
    <w:rsid w:val="009D3D9C"/>
    <w:rsid w:val="009D3DCF"/>
    <w:rsid w:val="009D4398"/>
    <w:rsid w:val="009D439A"/>
    <w:rsid w:val="009D43AB"/>
    <w:rsid w:val="009D44F3"/>
    <w:rsid w:val="009D4714"/>
    <w:rsid w:val="009D473E"/>
    <w:rsid w:val="009D48F2"/>
    <w:rsid w:val="009D49E3"/>
    <w:rsid w:val="009D4CCB"/>
    <w:rsid w:val="009D4DB7"/>
    <w:rsid w:val="009D4EA2"/>
    <w:rsid w:val="009D52AD"/>
    <w:rsid w:val="009D5418"/>
    <w:rsid w:val="009D54C2"/>
    <w:rsid w:val="009D5BFC"/>
    <w:rsid w:val="009D5C0E"/>
    <w:rsid w:val="009D601B"/>
    <w:rsid w:val="009D60AA"/>
    <w:rsid w:val="009D6397"/>
    <w:rsid w:val="009D6675"/>
    <w:rsid w:val="009D6978"/>
    <w:rsid w:val="009D69F4"/>
    <w:rsid w:val="009D6B8F"/>
    <w:rsid w:val="009D6C1F"/>
    <w:rsid w:val="009D6C7F"/>
    <w:rsid w:val="009D6E76"/>
    <w:rsid w:val="009D7033"/>
    <w:rsid w:val="009D712D"/>
    <w:rsid w:val="009D71EF"/>
    <w:rsid w:val="009D7303"/>
    <w:rsid w:val="009D7335"/>
    <w:rsid w:val="009D7704"/>
    <w:rsid w:val="009D7737"/>
    <w:rsid w:val="009D798E"/>
    <w:rsid w:val="009D7C36"/>
    <w:rsid w:val="009E02E2"/>
    <w:rsid w:val="009E0353"/>
    <w:rsid w:val="009E04DB"/>
    <w:rsid w:val="009E0544"/>
    <w:rsid w:val="009E06A0"/>
    <w:rsid w:val="009E06BE"/>
    <w:rsid w:val="009E0878"/>
    <w:rsid w:val="009E09A3"/>
    <w:rsid w:val="009E0C1A"/>
    <w:rsid w:val="009E0DA8"/>
    <w:rsid w:val="009E0E11"/>
    <w:rsid w:val="009E0EA7"/>
    <w:rsid w:val="009E124A"/>
    <w:rsid w:val="009E175A"/>
    <w:rsid w:val="009E1A34"/>
    <w:rsid w:val="009E1D18"/>
    <w:rsid w:val="009E1DCB"/>
    <w:rsid w:val="009E1E35"/>
    <w:rsid w:val="009E1E50"/>
    <w:rsid w:val="009E20B2"/>
    <w:rsid w:val="009E20C9"/>
    <w:rsid w:val="009E2215"/>
    <w:rsid w:val="009E249E"/>
    <w:rsid w:val="009E256D"/>
    <w:rsid w:val="009E2684"/>
    <w:rsid w:val="009E288B"/>
    <w:rsid w:val="009E2941"/>
    <w:rsid w:val="009E29DC"/>
    <w:rsid w:val="009E2A75"/>
    <w:rsid w:val="009E2D19"/>
    <w:rsid w:val="009E2D82"/>
    <w:rsid w:val="009E2E6D"/>
    <w:rsid w:val="009E3235"/>
    <w:rsid w:val="009E3465"/>
    <w:rsid w:val="009E3492"/>
    <w:rsid w:val="009E3590"/>
    <w:rsid w:val="009E35EE"/>
    <w:rsid w:val="009E3869"/>
    <w:rsid w:val="009E3870"/>
    <w:rsid w:val="009E38C0"/>
    <w:rsid w:val="009E39C0"/>
    <w:rsid w:val="009E3B74"/>
    <w:rsid w:val="009E3FE2"/>
    <w:rsid w:val="009E4073"/>
    <w:rsid w:val="009E42F6"/>
    <w:rsid w:val="009E44FB"/>
    <w:rsid w:val="009E4722"/>
    <w:rsid w:val="009E47BB"/>
    <w:rsid w:val="009E47D4"/>
    <w:rsid w:val="009E4999"/>
    <w:rsid w:val="009E4D3F"/>
    <w:rsid w:val="009E4E17"/>
    <w:rsid w:val="009E4EFC"/>
    <w:rsid w:val="009E5035"/>
    <w:rsid w:val="009E5261"/>
    <w:rsid w:val="009E5416"/>
    <w:rsid w:val="009E5484"/>
    <w:rsid w:val="009E54AA"/>
    <w:rsid w:val="009E55D0"/>
    <w:rsid w:val="009E577E"/>
    <w:rsid w:val="009E5788"/>
    <w:rsid w:val="009E57D1"/>
    <w:rsid w:val="009E6426"/>
    <w:rsid w:val="009E674C"/>
    <w:rsid w:val="009E695D"/>
    <w:rsid w:val="009E6B53"/>
    <w:rsid w:val="009E6C79"/>
    <w:rsid w:val="009E6D76"/>
    <w:rsid w:val="009E6E18"/>
    <w:rsid w:val="009E7116"/>
    <w:rsid w:val="009E72A7"/>
    <w:rsid w:val="009E735B"/>
    <w:rsid w:val="009E73E8"/>
    <w:rsid w:val="009E79F7"/>
    <w:rsid w:val="009E7AF6"/>
    <w:rsid w:val="009E7B29"/>
    <w:rsid w:val="009E7C01"/>
    <w:rsid w:val="009E7E8C"/>
    <w:rsid w:val="009F01D0"/>
    <w:rsid w:val="009F0309"/>
    <w:rsid w:val="009F0386"/>
    <w:rsid w:val="009F0474"/>
    <w:rsid w:val="009F04AE"/>
    <w:rsid w:val="009F050A"/>
    <w:rsid w:val="009F062F"/>
    <w:rsid w:val="009F0D1B"/>
    <w:rsid w:val="009F0E08"/>
    <w:rsid w:val="009F0E7F"/>
    <w:rsid w:val="009F0F2F"/>
    <w:rsid w:val="009F129A"/>
    <w:rsid w:val="009F12DA"/>
    <w:rsid w:val="009F13AD"/>
    <w:rsid w:val="009F1419"/>
    <w:rsid w:val="009F1576"/>
    <w:rsid w:val="009F1978"/>
    <w:rsid w:val="009F1AA2"/>
    <w:rsid w:val="009F1AAD"/>
    <w:rsid w:val="009F1C1F"/>
    <w:rsid w:val="009F1C43"/>
    <w:rsid w:val="009F1FA5"/>
    <w:rsid w:val="009F20D6"/>
    <w:rsid w:val="009F23B2"/>
    <w:rsid w:val="009F2455"/>
    <w:rsid w:val="009F2520"/>
    <w:rsid w:val="009F25DC"/>
    <w:rsid w:val="009F2617"/>
    <w:rsid w:val="009F261D"/>
    <w:rsid w:val="009F27E3"/>
    <w:rsid w:val="009F2999"/>
    <w:rsid w:val="009F2A50"/>
    <w:rsid w:val="009F2B44"/>
    <w:rsid w:val="009F2B49"/>
    <w:rsid w:val="009F2C11"/>
    <w:rsid w:val="009F2F23"/>
    <w:rsid w:val="009F32EF"/>
    <w:rsid w:val="009F33E7"/>
    <w:rsid w:val="009F34CD"/>
    <w:rsid w:val="009F3684"/>
    <w:rsid w:val="009F36E0"/>
    <w:rsid w:val="009F3771"/>
    <w:rsid w:val="009F386F"/>
    <w:rsid w:val="009F3922"/>
    <w:rsid w:val="009F3B7F"/>
    <w:rsid w:val="009F3D41"/>
    <w:rsid w:val="009F3DA3"/>
    <w:rsid w:val="009F3E91"/>
    <w:rsid w:val="009F3EA3"/>
    <w:rsid w:val="009F4086"/>
    <w:rsid w:val="009F40D7"/>
    <w:rsid w:val="009F4414"/>
    <w:rsid w:val="009F451B"/>
    <w:rsid w:val="009F45CF"/>
    <w:rsid w:val="009F4748"/>
    <w:rsid w:val="009F4871"/>
    <w:rsid w:val="009F4D9F"/>
    <w:rsid w:val="009F4E98"/>
    <w:rsid w:val="009F533A"/>
    <w:rsid w:val="009F580D"/>
    <w:rsid w:val="009F5BBA"/>
    <w:rsid w:val="009F5DF2"/>
    <w:rsid w:val="009F5E79"/>
    <w:rsid w:val="009F642C"/>
    <w:rsid w:val="009F6997"/>
    <w:rsid w:val="009F6A40"/>
    <w:rsid w:val="009F6AF7"/>
    <w:rsid w:val="009F6DB9"/>
    <w:rsid w:val="009F6F47"/>
    <w:rsid w:val="009F701C"/>
    <w:rsid w:val="009F74E8"/>
    <w:rsid w:val="00A000A9"/>
    <w:rsid w:val="00A00162"/>
    <w:rsid w:val="00A00459"/>
    <w:rsid w:val="00A005A5"/>
    <w:rsid w:val="00A005CA"/>
    <w:rsid w:val="00A00660"/>
    <w:rsid w:val="00A007FE"/>
    <w:rsid w:val="00A009C8"/>
    <w:rsid w:val="00A00A36"/>
    <w:rsid w:val="00A00D6A"/>
    <w:rsid w:val="00A00E95"/>
    <w:rsid w:val="00A01081"/>
    <w:rsid w:val="00A01216"/>
    <w:rsid w:val="00A014E6"/>
    <w:rsid w:val="00A019A3"/>
    <w:rsid w:val="00A01A7F"/>
    <w:rsid w:val="00A01A94"/>
    <w:rsid w:val="00A01D80"/>
    <w:rsid w:val="00A02175"/>
    <w:rsid w:val="00A022CC"/>
    <w:rsid w:val="00A02412"/>
    <w:rsid w:val="00A025BB"/>
    <w:rsid w:val="00A02602"/>
    <w:rsid w:val="00A0264B"/>
    <w:rsid w:val="00A027EC"/>
    <w:rsid w:val="00A02931"/>
    <w:rsid w:val="00A02A59"/>
    <w:rsid w:val="00A02B3C"/>
    <w:rsid w:val="00A02E14"/>
    <w:rsid w:val="00A02EF5"/>
    <w:rsid w:val="00A0304B"/>
    <w:rsid w:val="00A03061"/>
    <w:rsid w:val="00A03189"/>
    <w:rsid w:val="00A033E6"/>
    <w:rsid w:val="00A03426"/>
    <w:rsid w:val="00A034DB"/>
    <w:rsid w:val="00A0381D"/>
    <w:rsid w:val="00A03906"/>
    <w:rsid w:val="00A0390F"/>
    <w:rsid w:val="00A03973"/>
    <w:rsid w:val="00A03978"/>
    <w:rsid w:val="00A03B22"/>
    <w:rsid w:val="00A03C6C"/>
    <w:rsid w:val="00A03D19"/>
    <w:rsid w:val="00A03E1C"/>
    <w:rsid w:val="00A03E99"/>
    <w:rsid w:val="00A041D8"/>
    <w:rsid w:val="00A04504"/>
    <w:rsid w:val="00A0458F"/>
    <w:rsid w:val="00A046A5"/>
    <w:rsid w:val="00A046CC"/>
    <w:rsid w:val="00A04745"/>
    <w:rsid w:val="00A04AEB"/>
    <w:rsid w:val="00A04DCE"/>
    <w:rsid w:val="00A04F04"/>
    <w:rsid w:val="00A04FE2"/>
    <w:rsid w:val="00A0518C"/>
    <w:rsid w:val="00A0540A"/>
    <w:rsid w:val="00A0550C"/>
    <w:rsid w:val="00A056B0"/>
    <w:rsid w:val="00A05768"/>
    <w:rsid w:val="00A05777"/>
    <w:rsid w:val="00A05874"/>
    <w:rsid w:val="00A058F5"/>
    <w:rsid w:val="00A05947"/>
    <w:rsid w:val="00A0599B"/>
    <w:rsid w:val="00A05E26"/>
    <w:rsid w:val="00A05EB0"/>
    <w:rsid w:val="00A05F5C"/>
    <w:rsid w:val="00A061E6"/>
    <w:rsid w:val="00A062C4"/>
    <w:rsid w:val="00A06316"/>
    <w:rsid w:val="00A066FF"/>
    <w:rsid w:val="00A06864"/>
    <w:rsid w:val="00A06A48"/>
    <w:rsid w:val="00A06DAC"/>
    <w:rsid w:val="00A06FB5"/>
    <w:rsid w:val="00A071A0"/>
    <w:rsid w:val="00A073D4"/>
    <w:rsid w:val="00A07757"/>
    <w:rsid w:val="00A078C9"/>
    <w:rsid w:val="00A07967"/>
    <w:rsid w:val="00A079B0"/>
    <w:rsid w:val="00A079B3"/>
    <w:rsid w:val="00A07A96"/>
    <w:rsid w:val="00A07AC0"/>
    <w:rsid w:val="00A07D8E"/>
    <w:rsid w:val="00A10073"/>
    <w:rsid w:val="00A100EA"/>
    <w:rsid w:val="00A10172"/>
    <w:rsid w:val="00A1032C"/>
    <w:rsid w:val="00A104C4"/>
    <w:rsid w:val="00A10742"/>
    <w:rsid w:val="00A10893"/>
    <w:rsid w:val="00A10906"/>
    <w:rsid w:val="00A10AED"/>
    <w:rsid w:val="00A10C0E"/>
    <w:rsid w:val="00A10E12"/>
    <w:rsid w:val="00A10EEA"/>
    <w:rsid w:val="00A11066"/>
    <w:rsid w:val="00A112DA"/>
    <w:rsid w:val="00A1134E"/>
    <w:rsid w:val="00A114DF"/>
    <w:rsid w:val="00A114EE"/>
    <w:rsid w:val="00A11951"/>
    <w:rsid w:val="00A11A37"/>
    <w:rsid w:val="00A11FDA"/>
    <w:rsid w:val="00A12001"/>
    <w:rsid w:val="00A1201A"/>
    <w:rsid w:val="00A1202E"/>
    <w:rsid w:val="00A124E7"/>
    <w:rsid w:val="00A12624"/>
    <w:rsid w:val="00A127AC"/>
    <w:rsid w:val="00A128F5"/>
    <w:rsid w:val="00A129E8"/>
    <w:rsid w:val="00A12AE6"/>
    <w:rsid w:val="00A12FFB"/>
    <w:rsid w:val="00A132A3"/>
    <w:rsid w:val="00A13407"/>
    <w:rsid w:val="00A13563"/>
    <w:rsid w:val="00A13B5F"/>
    <w:rsid w:val="00A13E97"/>
    <w:rsid w:val="00A14117"/>
    <w:rsid w:val="00A14137"/>
    <w:rsid w:val="00A14258"/>
    <w:rsid w:val="00A14767"/>
    <w:rsid w:val="00A148C6"/>
    <w:rsid w:val="00A14933"/>
    <w:rsid w:val="00A149DF"/>
    <w:rsid w:val="00A14BCD"/>
    <w:rsid w:val="00A14E5F"/>
    <w:rsid w:val="00A15122"/>
    <w:rsid w:val="00A1534A"/>
    <w:rsid w:val="00A1570F"/>
    <w:rsid w:val="00A15A62"/>
    <w:rsid w:val="00A15D36"/>
    <w:rsid w:val="00A15D4D"/>
    <w:rsid w:val="00A15E5B"/>
    <w:rsid w:val="00A15E6F"/>
    <w:rsid w:val="00A16071"/>
    <w:rsid w:val="00A16208"/>
    <w:rsid w:val="00A163BA"/>
    <w:rsid w:val="00A16A47"/>
    <w:rsid w:val="00A16D8A"/>
    <w:rsid w:val="00A16E7D"/>
    <w:rsid w:val="00A17178"/>
    <w:rsid w:val="00A1750D"/>
    <w:rsid w:val="00A17678"/>
    <w:rsid w:val="00A176FF"/>
    <w:rsid w:val="00A17841"/>
    <w:rsid w:val="00A179D3"/>
    <w:rsid w:val="00A17EAE"/>
    <w:rsid w:val="00A17ED5"/>
    <w:rsid w:val="00A17F9D"/>
    <w:rsid w:val="00A20430"/>
    <w:rsid w:val="00A2057F"/>
    <w:rsid w:val="00A206B6"/>
    <w:rsid w:val="00A20A29"/>
    <w:rsid w:val="00A20BCC"/>
    <w:rsid w:val="00A20C6F"/>
    <w:rsid w:val="00A20C98"/>
    <w:rsid w:val="00A20F2C"/>
    <w:rsid w:val="00A2176C"/>
    <w:rsid w:val="00A21BBD"/>
    <w:rsid w:val="00A21F1C"/>
    <w:rsid w:val="00A21F55"/>
    <w:rsid w:val="00A21FF9"/>
    <w:rsid w:val="00A22329"/>
    <w:rsid w:val="00A2248B"/>
    <w:rsid w:val="00A22653"/>
    <w:rsid w:val="00A22777"/>
    <w:rsid w:val="00A22989"/>
    <w:rsid w:val="00A22C30"/>
    <w:rsid w:val="00A22D62"/>
    <w:rsid w:val="00A22DAC"/>
    <w:rsid w:val="00A22EC1"/>
    <w:rsid w:val="00A23201"/>
    <w:rsid w:val="00A23494"/>
    <w:rsid w:val="00A234A6"/>
    <w:rsid w:val="00A23537"/>
    <w:rsid w:val="00A237A0"/>
    <w:rsid w:val="00A237ED"/>
    <w:rsid w:val="00A237F5"/>
    <w:rsid w:val="00A23880"/>
    <w:rsid w:val="00A23B93"/>
    <w:rsid w:val="00A23E35"/>
    <w:rsid w:val="00A23F93"/>
    <w:rsid w:val="00A24009"/>
    <w:rsid w:val="00A24136"/>
    <w:rsid w:val="00A2441F"/>
    <w:rsid w:val="00A24481"/>
    <w:rsid w:val="00A2453F"/>
    <w:rsid w:val="00A247E8"/>
    <w:rsid w:val="00A24872"/>
    <w:rsid w:val="00A249FA"/>
    <w:rsid w:val="00A24B96"/>
    <w:rsid w:val="00A24D44"/>
    <w:rsid w:val="00A24EAA"/>
    <w:rsid w:val="00A24F68"/>
    <w:rsid w:val="00A25221"/>
    <w:rsid w:val="00A252E0"/>
    <w:rsid w:val="00A255B9"/>
    <w:rsid w:val="00A256C0"/>
    <w:rsid w:val="00A256CF"/>
    <w:rsid w:val="00A2573F"/>
    <w:rsid w:val="00A25767"/>
    <w:rsid w:val="00A25795"/>
    <w:rsid w:val="00A25875"/>
    <w:rsid w:val="00A258B0"/>
    <w:rsid w:val="00A2599B"/>
    <w:rsid w:val="00A25BF0"/>
    <w:rsid w:val="00A25FC5"/>
    <w:rsid w:val="00A260E5"/>
    <w:rsid w:val="00A264A5"/>
    <w:rsid w:val="00A264C1"/>
    <w:rsid w:val="00A267BA"/>
    <w:rsid w:val="00A26845"/>
    <w:rsid w:val="00A268CF"/>
    <w:rsid w:val="00A26C4B"/>
    <w:rsid w:val="00A271C6"/>
    <w:rsid w:val="00A27480"/>
    <w:rsid w:val="00A278AD"/>
    <w:rsid w:val="00A27B98"/>
    <w:rsid w:val="00A27C16"/>
    <w:rsid w:val="00A27E1A"/>
    <w:rsid w:val="00A27E83"/>
    <w:rsid w:val="00A30102"/>
    <w:rsid w:val="00A30123"/>
    <w:rsid w:val="00A302AD"/>
    <w:rsid w:val="00A302CA"/>
    <w:rsid w:val="00A30495"/>
    <w:rsid w:val="00A304BC"/>
    <w:rsid w:val="00A304EF"/>
    <w:rsid w:val="00A307AA"/>
    <w:rsid w:val="00A307CD"/>
    <w:rsid w:val="00A30849"/>
    <w:rsid w:val="00A3089B"/>
    <w:rsid w:val="00A30ABD"/>
    <w:rsid w:val="00A30B64"/>
    <w:rsid w:val="00A30DBE"/>
    <w:rsid w:val="00A30EC7"/>
    <w:rsid w:val="00A30EDF"/>
    <w:rsid w:val="00A3101A"/>
    <w:rsid w:val="00A31BC1"/>
    <w:rsid w:val="00A31DA4"/>
    <w:rsid w:val="00A31F06"/>
    <w:rsid w:val="00A31F1C"/>
    <w:rsid w:val="00A31F5B"/>
    <w:rsid w:val="00A31F5F"/>
    <w:rsid w:val="00A32253"/>
    <w:rsid w:val="00A323B7"/>
    <w:rsid w:val="00A3262A"/>
    <w:rsid w:val="00A3288F"/>
    <w:rsid w:val="00A3298E"/>
    <w:rsid w:val="00A32A06"/>
    <w:rsid w:val="00A32CCC"/>
    <w:rsid w:val="00A32D26"/>
    <w:rsid w:val="00A32E2E"/>
    <w:rsid w:val="00A32F1C"/>
    <w:rsid w:val="00A32FD4"/>
    <w:rsid w:val="00A331C4"/>
    <w:rsid w:val="00A3336D"/>
    <w:rsid w:val="00A3361E"/>
    <w:rsid w:val="00A336C7"/>
    <w:rsid w:val="00A3397B"/>
    <w:rsid w:val="00A33CD2"/>
    <w:rsid w:val="00A33D20"/>
    <w:rsid w:val="00A34020"/>
    <w:rsid w:val="00A34041"/>
    <w:rsid w:val="00A34150"/>
    <w:rsid w:val="00A3432A"/>
    <w:rsid w:val="00A344D4"/>
    <w:rsid w:val="00A34BD7"/>
    <w:rsid w:val="00A34DCF"/>
    <w:rsid w:val="00A34EC5"/>
    <w:rsid w:val="00A34F80"/>
    <w:rsid w:val="00A3513C"/>
    <w:rsid w:val="00A3514A"/>
    <w:rsid w:val="00A351A4"/>
    <w:rsid w:val="00A354C9"/>
    <w:rsid w:val="00A35529"/>
    <w:rsid w:val="00A35776"/>
    <w:rsid w:val="00A357AD"/>
    <w:rsid w:val="00A35844"/>
    <w:rsid w:val="00A359E3"/>
    <w:rsid w:val="00A35A2F"/>
    <w:rsid w:val="00A35C9E"/>
    <w:rsid w:val="00A35DB2"/>
    <w:rsid w:val="00A360E4"/>
    <w:rsid w:val="00A36151"/>
    <w:rsid w:val="00A3617D"/>
    <w:rsid w:val="00A362BA"/>
    <w:rsid w:val="00A363FB"/>
    <w:rsid w:val="00A36554"/>
    <w:rsid w:val="00A36771"/>
    <w:rsid w:val="00A367CC"/>
    <w:rsid w:val="00A3690E"/>
    <w:rsid w:val="00A36B2A"/>
    <w:rsid w:val="00A36CEC"/>
    <w:rsid w:val="00A36DC9"/>
    <w:rsid w:val="00A3704C"/>
    <w:rsid w:val="00A37255"/>
    <w:rsid w:val="00A37560"/>
    <w:rsid w:val="00A37709"/>
    <w:rsid w:val="00A37769"/>
    <w:rsid w:val="00A37B86"/>
    <w:rsid w:val="00A37E05"/>
    <w:rsid w:val="00A37F36"/>
    <w:rsid w:val="00A37F81"/>
    <w:rsid w:val="00A37F95"/>
    <w:rsid w:val="00A40004"/>
    <w:rsid w:val="00A40060"/>
    <w:rsid w:val="00A401C7"/>
    <w:rsid w:val="00A403BE"/>
    <w:rsid w:val="00A40574"/>
    <w:rsid w:val="00A40626"/>
    <w:rsid w:val="00A40687"/>
    <w:rsid w:val="00A407A6"/>
    <w:rsid w:val="00A40A14"/>
    <w:rsid w:val="00A40A20"/>
    <w:rsid w:val="00A40A6D"/>
    <w:rsid w:val="00A40BBA"/>
    <w:rsid w:val="00A40D84"/>
    <w:rsid w:val="00A40F08"/>
    <w:rsid w:val="00A41081"/>
    <w:rsid w:val="00A41107"/>
    <w:rsid w:val="00A41131"/>
    <w:rsid w:val="00A41189"/>
    <w:rsid w:val="00A414B5"/>
    <w:rsid w:val="00A414F1"/>
    <w:rsid w:val="00A41740"/>
    <w:rsid w:val="00A4180F"/>
    <w:rsid w:val="00A41858"/>
    <w:rsid w:val="00A41869"/>
    <w:rsid w:val="00A41904"/>
    <w:rsid w:val="00A41B1F"/>
    <w:rsid w:val="00A41B6C"/>
    <w:rsid w:val="00A41C58"/>
    <w:rsid w:val="00A41F87"/>
    <w:rsid w:val="00A41FC0"/>
    <w:rsid w:val="00A425A6"/>
    <w:rsid w:val="00A42856"/>
    <w:rsid w:val="00A42B82"/>
    <w:rsid w:val="00A42D33"/>
    <w:rsid w:val="00A4323C"/>
    <w:rsid w:val="00A433AA"/>
    <w:rsid w:val="00A43420"/>
    <w:rsid w:val="00A4376B"/>
    <w:rsid w:val="00A437B8"/>
    <w:rsid w:val="00A437C0"/>
    <w:rsid w:val="00A43AAE"/>
    <w:rsid w:val="00A43AC0"/>
    <w:rsid w:val="00A43C20"/>
    <w:rsid w:val="00A43F79"/>
    <w:rsid w:val="00A43F91"/>
    <w:rsid w:val="00A4416E"/>
    <w:rsid w:val="00A44239"/>
    <w:rsid w:val="00A443CB"/>
    <w:rsid w:val="00A44495"/>
    <w:rsid w:val="00A4462E"/>
    <w:rsid w:val="00A448CA"/>
    <w:rsid w:val="00A449CF"/>
    <w:rsid w:val="00A44AF2"/>
    <w:rsid w:val="00A44D8B"/>
    <w:rsid w:val="00A45207"/>
    <w:rsid w:val="00A4525B"/>
    <w:rsid w:val="00A4548D"/>
    <w:rsid w:val="00A455D5"/>
    <w:rsid w:val="00A45888"/>
    <w:rsid w:val="00A45A5E"/>
    <w:rsid w:val="00A46033"/>
    <w:rsid w:val="00A462C2"/>
    <w:rsid w:val="00A4638A"/>
    <w:rsid w:val="00A466F7"/>
    <w:rsid w:val="00A46A41"/>
    <w:rsid w:val="00A46B3A"/>
    <w:rsid w:val="00A46CC4"/>
    <w:rsid w:val="00A46DDC"/>
    <w:rsid w:val="00A46E09"/>
    <w:rsid w:val="00A46E51"/>
    <w:rsid w:val="00A47109"/>
    <w:rsid w:val="00A4728D"/>
    <w:rsid w:val="00A47436"/>
    <w:rsid w:val="00A476A9"/>
    <w:rsid w:val="00A479A0"/>
    <w:rsid w:val="00A479B6"/>
    <w:rsid w:val="00A47C96"/>
    <w:rsid w:val="00A50006"/>
    <w:rsid w:val="00A50418"/>
    <w:rsid w:val="00A509EA"/>
    <w:rsid w:val="00A50A87"/>
    <w:rsid w:val="00A50C17"/>
    <w:rsid w:val="00A50DC1"/>
    <w:rsid w:val="00A50F87"/>
    <w:rsid w:val="00A5120B"/>
    <w:rsid w:val="00A515A3"/>
    <w:rsid w:val="00A517EA"/>
    <w:rsid w:val="00A518E8"/>
    <w:rsid w:val="00A51C6B"/>
    <w:rsid w:val="00A51F1A"/>
    <w:rsid w:val="00A51F54"/>
    <w:rsid w:val="00A521F1"/>
    <w:rsid w:val="00A5228C"/>
    <w:rsid w:val="00A528D0"/>
    <w:rsid w:val="00A528FB"/>
    <w:rsid w:val="00A529BF"/>
    <w:rsid w:val="00A52AC1"/>
    <w:rsid w:val="00A52AF3"/>
    <w:rsid w:val="00A52C99"/>
    <w:rsid w:val="00A52F9C"/>
    <w:rsid w:val="00A53078"/>
    <w:rsid w:val="00A530EC"/>
    <w:rsid w:val="00A5319F"/>
    <w:rsid w:val="00A533CC"/>
    <w:rsid w:val="00A535BB"/>
    <w:rsid w:val="00A537FD"/>
    <w:rsid w:val="00A5390A"/>
    <w:rsid w:val="00A53A64"/>
    <w:rsid w:val="00A53A6B"/>
    <w:rsid w:val="00A53B5D"/>
    <w:rsid w:val="00A53ED4"/>
    <w:rsid w:val="00A5405F"/>
    <w:rsid w:val="00A54220"/>
    <w:rsid w:val="00A5431E"/>
    <w:rsid w:val="00A543DD"/>
    <w:rsid w:val="00A5450E"/>
    <w:rsid w:val="00A5472E"/>
    <w:rsid w:val="00A548BD"/>
    <w:rsid w:val="00A54B39"/>
    <w:rsid w:val="00A54D94"/>
    <w:rsid w:val="00A54E21"/>
    <w:rsid w:val="00A54F3F"/>
    <w:rsid w:val="00A5507E"/>
    <w:rsid w:val="00A5515B"/>
    <w:rsid w:val="00A55201"/>
    <w:rsid w:val="00A55240"/>
    <w:rsid w:val="00A55270"/>
    <w:rsid w:val="00A55677"/>
    <w:rsid w:val="00A556A0"/>
    <w:rsid w:val="00A55C2F"/>
    <w:rsid w:val="00A55CBF"/>
    <w:rsid w:val="00A55D16"/>
    <w:rsid w:val="00A55F1A"/>
    <w:rsid w:val="00A56076"/>
    <w:rsid w:val="00A56673"/>
    <w:rsid w:val="00A566B8"/>
    <w:rsid w:val="00A566EA"/>
    <w:rsid w:val="00A5671C"/>
    <w:rsid w:val="00A567D7"/>
    <w:rsid w:val="00A568E2"/>
    <w:rsid w:val="00A569C6"/>
    <w:rsid w:val="00A56C31"/>
    <w:rsid w:val="00A56D99"/>
    <w:rsid w:val="00A570E2"/>
    <w:rsid w:val="00A570E9"/>
    <w:rsid w:val="00A57367"/>
    <w:rsid w:val="00A5769E"/>
    <w:rsid w:val="00A57728"/>
    <w:rsid w:val="00A578C3"/>
    <w:rsid w:val="00A578C6"/>
    <w:rsid w:val="00A57B25"/>
    <w:rsid w:val="00A57CAC"/>
    <w:rsid w:val="00A57DEB"/>
    <w:rsid w:val="00A57DF8"/>
    <w:rsid w:val="00A57E47"/>
    <w:rsid w:val="00A57EC1"/>
    <w:rsid w:val="00A57FEB"/>
    <w:rsid w:val="00A6002D"/>
    <w:rsid w:val="00A6022B"/>
    <w:rsid w:val="00A60481"/>
    <w:rsid w:val="00A60538"/>
    <w:rsid w:val="00A60683"/>
    <w:rsid w:val="00A60813"/>
    <w:rsid w:val="00A608BD"/>
    <w:rsid w:val="00A60AF5"/>
    <w:rsid w:val="00A60BE6"/>
    <w:rsid w:val="00A60BF6"/>
    <w:rsid w:val="00A60C3F"/>
    <w:rsid w:val="00A60CFF"/>
    <w:rsid w:val="00A60DB8"/>
    <w:rsid w:val="00A61112"/>
    <w:rsid w:val="00A6134F"/>
    <w:rsid w:val="00A6138E"/>
    <w:rsid w:val="00A615E7"/>
    <w:rsid w:val="00A61688"/>
    <w:rsid w:val="00A61783"/>
    <w:rsid w:val="00A61811"/>
    <w:rsid w:val="00A61A4D"/>
    <w:rsid w:val="00A61C2D"/>
    <w:rsid w:val="00A61F9B"/>
    <w:rsid w:val="00A61FCA"/>
    <w:rsid w:val="00A61FE1"/>
    <w:rsid w:val="00A62123"/>
    <w:rsid w:val="00A6214A"/>
    <w:rsid w:val="00A62169"/>
    <w:rsid w:val="00A622B8"/>
    <w:rsid w:val="00A62331"/>
    <w:rsid w:val="00A624D4"/>
    <w:rsid w:val="00A6256D"/>
    <w:rsid w:val="00A627FA"/>
    <w:rsid w:val="00A629BE"/>
    <w:rsid w:val="00A62A7C"/>
    <w:rsid w:val="00A62AE1"/>
    <w:rsid w:val="00A62EED"/>
    <w:rsid w:val="00A62F51"/>
    <w:rsid w:val="00A636C2"/>
    <w:rsid w:val="00A6373D"/>
    <w:rsid w:val="00A638CC"/>
    <w:rsid w:val="00A63941"/>
    <w:rsid w:val="00A63C07"/>
    <w:rsid w:val="00A63E66"/>
    <w:rsid w:val="00A63E86"/>
    <w:rsid w:val="00A63F2F"/>
    <w:rsid w:val="00A6409E"/>
    <w:rsid w:val="00A64562"/>
    <w:rsid w:val="00A6465A"/>
    <w:rsid w:val="00A649D8"/>
    <w:rsid w:val="00A64A33"/>
    <w:rsid w:val="00A64B23"/>
    <w:rsid w:val="00A64D72"/>
    <w:rsid w:val="00A64E12"/>
    <w:rsid w:val="00A6513D"/>
    <w:rsid w:val="00A6514B"/>
    <w:rsid w:val="00A65363"/>
    <w:rsid w:val="00A65381"/>
    <w:rsid w:val="00A655BC"/>
    <w:rsid w:val="00A658DB"/>
    <w:rsid w:val="00A65A8F"/>
    <w:rsid w:val="00A65AE6"/>
    <w:rsid w:val="00A65D40"/>
    <w:rsid w:val="00A65E60"/>
    <w:rsid w:val="00A65ECD"/>
    <w:rsid w:val="00A6636E"/>
    <w:rsid w:val="00A664D1"/>
    <w:rsid w:val="00A6675E"/>
    <w:rsid w:val="00A667BF"/>
    <w:rsid w:val="00A66902"/>
    <w:rsid w:val="00A6690D"/>
    <w:rsid w:val="00A6693B"/>
    <w:rsid w:val="00A66BC0"/>
    <w:rsid w:val="00A66CEC"/>
    <w:rsid w:val="00A66DBB"/>
    <w:rsid w:val="00A66EB8"/>
    <w:rsid w:val="00A67242"/>
    <w:rsid w:val="00A67364"/>
    <w:rsid w:val="00A6741F"/>
    <w:rsid w:val="00A67652"/>
    <w:rsid w:val="00A676C0"/>
    <w:rsid w:val="00A676F2"/>
    <w:rsid w:val="00A67878"/>
    <w:rsid w:val="00A67937"/>
    <w:rsid w:val="00A67A49"/>
    <w:rsid w:val="00A67A6F"/>
    <w:rsid w:val="00A67BBB"/>
    <w:rsid w:val="00A67BF1"/>
    <w:rsid w:val="00A67C38"/>
    <w:rsid w:val="00A67CF5"/>
    <w:rsid w:val="00A7012B"/>
    <w:rsid w:val="00A701C0"/>
    <w:rsid w:val="00A703D1"/>
    <w:rsid w:val="00A70564"/>
    <w:rsid w:val="00A70716"/>
    <w:rsid w:val="00A70BF5"/>
    <w:rsid w:val="00A70CC0"/>
    <w:rsid w:val="00A70F6F"/>
    <w:rsid w:val="00A710A0"/>
    <w:rsid w:val="00A71366"/>
    <w:rsid w:val="00A7141F"/>
    <w:rsid w:val="00A714FB"/>
    <w:rsid w:val="00A7184A"/>
    <w:rsid w:val="00A71996"/>
    <w:rsid w:val="00A71A14"/>
    <w:rsid w:val="00A71A52"/>
    <w:rsid w:val="00A71FE1"/>
    <w:rsid w:val="00A72352"/>
    <w:rsid w:val="00A7243E"/>
    <w:rsid w:val="00A72529"/>
    <w:rsid w:val="00A72571"/>
    <w:rsid w:val="00A72765"/>
    <w:rsid w:val="00A72DD0"/>
    <w:rsid w:val="00A730C6"/>
    <w:rsid w:val="00A73393"/>
    <w:rsid w:val="00A733D5"/>
    <w:rsid w:val="00A73801"/>
    <w:rsid w:val="00A7382F"/>
    <w:rsid w:val="00A738E3"/>
    <w:rsid w:val="00A73E77"/>
    <w:rsid w:val="00A73E90"/>
    <w:rsid w:val="00A74105"/>
    <w:rsid w:val="00A742EC"/>
    <w:rsid w:val="00A743B9"/>
    <w:rsid w:val="00A744BC"/>
    <w:rsid w:val="00A745A1"/>
    <w:rsid w:val="00A7464B"/>
    <w:rsid w:val="00A747F1"/>
    <w:rsid w:val="00A74AE1"/>
    <w:rsid w:val="00A74B47"/>
    <w:rsid w:val="00A74D27"/>
    <w:rsid w:val="00A74E25"/>
    <w:rsid w:val="00A75012"/>
    <w:rsid w:val="00A7530C"/>
    <w:rsid w:val="00A7557A"/>
    <w:rsid w:val="00A757FD"/>
    <w:rsid w:val="00A75A1E"/>
    <w:rsid w:val="00A75C4B"/>
    <w:rsid w:val="00A76447"/>
    <w:rsid w:val="00A764CE"/>
    <w:rsid w:val="00A765FB"/>
    <w:rsid w:val="00A76630"/>
    <w:rsid w:val="00A76850"/>
    <w:rsid w:val="00A768CC"/>
    <w:rsid w:val="00A76BF3"/>
    <w:rsid w:val="00A76C37"/>
    <w:rsid w:val="00A7701C"/>
    <w:rsid w:val="00A77155"/>
    <w:rsid w:val="00A77160"/>
    <w:rsid w:val="00A771AC"/>
    <w:rsid w:val="00A77266"/>
    <w:rsid w:val="00A772C9"/>
    <w:rsid w:val="00A776D0"/>
    <w:rsid w:val="00A77914"/>
    <w:rsid w:val="00A7794A"/>
    <w:rsid w:val="00A77A9C"/>
    <w:rsid w:val="00A77C05"/>
    <w:rsid w:val="00A800C0"/>
    <w:rsid w:val="00A800CD"/>
    <w:rsid w:val="00A803D5"/>
    <w:rsid w:val="00A80694"/>
    <w:rsid w:val="00A807FD"/>
    <w:rsid w:val="00A8092D"/>
    <w:rsid w:val="00A8093C"/>
    <w:rsid w:val="00A811F7"/>
    <w:rsid w:val="00A81235"/>
    <w:rsid w:val="00A8127D"/>
    <w:rsid w:val="00A818AE"/>
    <w:rsid w:val="00A8190B"/>
    <w:rsid w:val="00A81960"/>
    <w:rsid w:val="00A81CF0"/>
    <w:rsid w:val="00A81E1B"/>
    <w:rsid w:val="00A81E45"/>
    <w:rsid w:val="00A81F89"/>
    <w:rsid w:val="00A82314"/>
    <w:rsid w:val="00A823F8"/>
    <w:rsid w:val="00A8258C"/>
    <w:rsid w:val="00A82593"/>
    <w:rsid w:val="00A82670"/>
    <w:rsid w:val="00A827B5"/>
    <w:rsid w:val="00A827D9"/>
    <w:rsid w:val="00A827EB"/>
    <w:rsid w:val="00A82C98"/>
    <w:rsid w:val="00A82DCF"/>
    <w:rsid w:val="00A82F13"/>
    <w:rsid w:val="00A8326C"/>
    <w:rsid w:val="00A83365"/>
    <w:rsid w:val="00A833A2"/>
    <w:rsid w:val="00A834E4"/>
    <w:rsid w:val="00A83580"/>
    <w:rsid w:val="00A836AE"/>
    <w:rsid w:val="00A83CA1"/>
    <w:rsid w:val="00A83CE8"/>
    <w:rsid w:val="00A84041"/>
    <w:rsid w:val="00A84451"/>
    <w:rsid w:val="00A8447A"/>
    <w:rsid w:val="00A84530"/>
    <w:rsid w:val="00A84883"/>
    <w:rsid w:val="00A8497F"/>
    <w:rsid w:val="00A849EA"/>
    <w:rsid w:val="00A84D1B"/>
    <w:rsid w:val="00A84F6D"/>
    <w:rsid w:val="00A850EC"/>
    <w:rsid w:val="00A852FA"/>
    <w:rsid w:val="00A85555"/>
    <w:rsid w:val="00A856CC"/>
    <w:rsid w:val="00A85A25"/>
    <w:rsid w:val="00A85A88"/>
    <w:rsid w:val="00A85AC1"/>
    <w:rsid w:val="00A85BD7"/>
    <w:rsid w:val="00A85C82"/>
    <w:rsid w:val="00A85DFB"/>
    <w:rsid w:val="00A85E5E"/>
    <w:rsid w:val="00A861A8"/>
    <w:rsid w:val="00A86287"/>
    <w:rsid w:val="00A86504"/>
    <w:rsid w:val="00A865DE"/>
    <w:rsid w:val="00A86751"/>
    <w:rsid w:val="00A86995"/>
    <w:rsid w:val="00A86B8B"/>
    <w:rsid w:val="00A86C21"/>
    <w:rsid w:val="00A86C84"/>
    <w:rsid w:val="00A8740F"/>
    <w:rsid w:val="00A87430"/>
    <w:rsid w:val="00A877CB"/>
    <w:rsid w:val="00A877DA"/>
    <w:rsid w:val="00A87B3D"/>
    <w:rsid w:val="00A87CC0"/>
    <w:rsid w:val="00A903B7"/>
    <w:rsid w:val="00A90529"/>
    <w:rsid w:val="00A9054D"/>
    <w:rsid w:val="00A9057B"/>
    <w:rsid w:val="00A90A27"/>
    <w:rsid w:val="00A90FA6"/>
    <w:rsid w:val="00A912DB"/>
    <w:rsid w:val="00A917A1"/>
    <w:rsid w:val="00A917D9"/>
    <w:rsid w:val="00A919DD"/>
    <w:rsid w:val="00A91B28"/>
    <w:rsid w:val="00A91CEB"/>
    <w:rsid w:val="00A91DF7"/>
    <w:rsid w:val="00A92220"/>
    <w:rsid w:val="00A92326"/>
    <w:rsid w:val="00A924C1"/>
    <w:rsid w:val="00A9286E"/>
    <w:rsid w:val="00A92913"/>
    <w:rsid w:val="00A92AA0"/>
    <w:rsid w:val="00A92C76"/>
    <w:rsid w:val="00A92DAA"/>
    <w:rsid w:val="00A92E23"/>
    <w:rsid w:val="00A92EE5"/>
    <w:rsid w:val="00A93084"/>
    <w:rsid w:val="00A934DE"/>
    <w:rsid w:val="00A93544"/>
    <w:rsid w:val="00A9374A"/>
    <w:rsid w:val="00A93B7B"/>
    <w:rsid w:val="00A93B9C"/>
    <w:rsid w:val="00A93C2E"/>
    <w:rsid w:val="00A93E68"/>
    <w:rsid w:val="00A93F24"/>
    <w:rsid w:val="00A93F2E"/>
    <w:rsid w:val="00A93F7D"/>
    <w:rsid w:val="00A93F97"/>
    <w:rsid w:val="00A9406C"/>
    <w:rsid w:val="00A94ADE"/>
    <w:rsid w:val="00A94D6E"/>
    <w:rsid w:val="00A94EFF"/>
    <w:rsid w:val="00A94F01"/>
    <w:rsid w:val="00A9519E"/>
    <w:rsid w:val="00A95582"/>
    <w:rsid w:val="00A958E3"/>
    <w:rsid w:val="00A95C44"/>
    <w:rsid w:val="00A95D73"/>
    <w:rsid w:val="00A95F7A"/>
    <w:rsid w:val="00A962AF"/>
    <w:rsid w:val="00A962EF"/>
    <w:rsid w:val="00A96361"/>
    <w:rsid w:val="00A96427"/>
    <w:rsid w:val="00A9647C"/>
    <w:rsid w:val="00A96932"/>
    <w:rsid w:val="00A9698B"/>
    <w:rsid w:val="00A96BAA"/>
    <w:rsid w:val="00A96D07"/>
    <w:rsid w:val="00A9707B"/>
    <w:rsid w:val="00A97295"/>
    <w:rsid w:val="00A9754B"/>
    <w:rsid w:val="00A976D6"/>
    <w:rsid w:val="00A978D2"/>
    <w:rsid w:val="00A97A75"/>
    <w:rsid w:val="00A97C1C"/>
    <w:rsid w:val="00A97C8B"/>
    <w:rsid w:val="00A97C9E"/>
    <w:rsid w:val="00A97D0F"/>
    <w:rsid w:val="00AA000A"/>
    <w:rsid w:val="00AA0069"/>
    <w:rsid w:val="00AA018D"/>
    <w:rsid w:val="00AA01AA"/>
    <w:rsid w:val="00AA0226"/>
    <w:rsid w:val="00AA05AD"/>
    <w:rsid w:val="00AA07D5"/>
    <w:rsid w:val="00AA084F"/>
    <w:rsid w:val="00AA0881"/>
    <w:rsid w:val="00AA0907"/>
    <w:rsid w:val="00AA0931"/>
    <w:rsid w:val="00AA0BBF"/>
    <w:rsid w:val="00AA0DF3"/>
    <w:rsid w:val="00AA10E4"/>
    <w:rsid w:val="00AA1198"/>
    <w:rsid w:val="00AA1848"/>
    <w:rsid w:val="00AA1AE0"/>
    <w:rsid w:val="00AA20AE"/>
    <w:rsid w:val="00AA250B"/>
    <w:rsid w:val="00AA2A49"/>
    <w:rsid w:val="00AA2A71"/>
    <w:rsid w:val="00AA2ADD"/>
    <w:rsid w:val="00AA2BA6"/>
    <w:rsid w:val="00AA2C9B"/>
    <w:rsid w:val="00AA3005"/>
    <w:rsid w:val="00AA34B0"/>
    <w:rsid w:val="00AA3534"/>
    <w:rsid w:val="00AA36FA"/>
    <w:rsid w:val="00AA3738"/>
    <w:rsid w:val="00AA3A3A"/>
    <w:rsid w:val="00AA3A82"/>
    <w:rsid w:val="00AA3AFA"/>
    <w:rsid w:val="00AA4255"/>
    <w:rsid w:val="00AA4578"/>
    <w:rsid w:val="00AA46DB"/>
    <w:rsid w:val="00AA4879"/>
    <w:rsid w:val="00AA4EA7"/>
    <w:rsid w:val="00AA4F36"/>
    <w:rsid w:val="00AA50A2"/>
    <w:rsid w:val="00AA5169"/>
    <w:rsid w:val="00AA5286"/>
    <w:rsid w:val="00AA54B2"/>
    <w:rsid w:val="00AA54CF"/>
    <w:rsid w:val="00AA55AB"/>
    <w:rsid w:val="00AA5A04"/>
    <w:rsid w:val="00AA5B59"/>
    <w:rsid w:val="00AA5E43"/>
    <w:rsid w:val="00AA5F45"/>
    <w:rsid w:val="00AA5F9B"/>
    <w:rsid w:val="00AA6569"/>
    <w:rsid w:val="00AA6678"/>
    <w:rsid w:val="00AA678A"/>
    <w:rsid w:val="00AA686D"/>
    <w:rsid w:val="00AA68BC"/>
    <w:rsid w:val="00AA694A"/>
    <w:rsid w:val="00AA6AB2"/>
    <w:rsid w:val="00AA6CBC"/>
    <w:rsid w:val="00AA7478"/>
    <w:rsid w:val="00AA7904"/>
    <w:rsid w:val="00AA7B87"/>
    <w:rsid w:val="00AA7C07"/>
    <w:rsid w:val="00AA7FD5"/>
    <w:rsid w:val="00AB008E"/>
    <w:rsid w:val="00AB0497"/>
    <w:rsid w:val="00AB067B"/>
    <w:rsid w:val="00AB06AD"/>
    <w:rsid w:val="00AB0A94"/>
    <w:rsid w:val="00AB0B08"/>
    <w:rsid w:val="00AB0B19"/>
    <w:rsid w:val="00AB0CF0"/>
    <w:rsid w:val="00AB1053"/>
    <w:rsid w:val="00AB126D"/>
    <w:rsid w:val="00AB18E8"/>
    <w:rsid w:val="00AB1BBE"/>
    <w:rsid w:val="00AB1D89"/>
    <w:rsid w:val="00AB1F18"/>
    <w:rsid w:val="00AB1F68"/>
    <w:rsid w:val="00AB1FE5"/>
    <w:rsid w:val="00AB204E"/>
    <w:rsid w:val="00AB2124"/>
    <w:rsid w:val="00AB227E"/>
    <w:rsid w:val="00AB2586"/>
    <w:rsid w:val="00AB2A17"/>
    <w:rsid w:val="00AB2AF0"/>
    <w:rsid w:val="00AB2B2C"/>
    <w:rsid w:val="00AB2CFC"/>
    <w:rsid w:val="00AB2D32"/>
    <w:rsid w:val="00AB3217"/>
    <w:rsid w:val="00AB3268"/>
    <w:rsid w:val="00AB3352"/>
    <w:rsid w:val="00AB34D9"/>
    <w:rsid w:val="00AB3551"/>
    <w:rsid w:val="00AB36E7"/>
    <w:rsid w:val="00AB3A3C"/>
    <w:rsid w:val="00AB3B03"/>
    <w:rsid w:val="00AB3B08"/>
    <w:rsid w:val="00AB3C29"/>
    <w:rsid w:val="00AB3D36"/>
    <w:rsid w:val="00AB3F82"/>
    <w:rsid w:val="00AB407F"/>
    <w:rsid w:val="00AB44F0"/>
    <w:rsid w:val="00AB48B5"/>
    <w:rsid w:val="00AB4C60"/>
    <w:rsid w:val="00AB4D3E"/>
    <w:rsid w:val="00AB4F43"/>
    <w:rsid w:val="00AB4FC2"/>
    <w:rsid w:val="00AB50F6"/>
    <w:rsid w:val="00AB5154"/>
    <w:rsid w:val="00AB55AA"/>
    <w:rsid w:val="00AB55F6"/>
    <w:rsid w:val="00AB5825"/>
    <w:rsid w:val="00AB58A2"/>
    <w:rsid w:val="00AB599A"/>
    <w:rsid w:val="00AB5A7B"/>
    <w:rsid w:val="00AB5D78"/>
    <w:rsid w:val="00AB5DFA"/>
    <w:rsid w:val="00AB5FAC"/>
    <w:rsid w:val="00AB6189"/>
    <w:rsid w:val="00AB6234"/>
    <w:rsid w:val="00AB632F"/>
    <w:rsid w:val="00AB65AB"/>
    <w:rsid w:val="00AB6AA7"/>
    <w:rsid w:val="00AB70E6"/>
    <w:rsid w:val="00AB7629"/>
    <w:rsid w:val="00AB7770"/>
    <w:rsid w:val="00AB7C4F"/>
    <w:rsid w:val="00AB7CEB"/>
    <w:rsid w:val="00AB7E5B"/>
    <w:rsid w:val="00AC013D"/>
    <w:rsid w:val="00AC0219"/>
    <w:rsid w:val="00AC02D5"/>
    <w:rsid w:val="00AC04D1"/>
    <w:rsid w:val="00AC07E7"/>
    <w:rsid w:val="00AC07ED"/>
    <w:rsid w:val="00AC0CF5"/>
    <w:rsid w:val="00AC0D7E"/>
    <w:rsid w:val="00AC1178"/>
    <w:rsid w:val="00AC1309"/>
    <w:rsid w:val="00AC13F1"/>
    <w:rsid w:val="00AC172F"/>
    <w:rsid w:val="00AC192E"/>
    <w:rsid w:val="00AC2007"/>
    <w:rsid w:val="00AC2194"/>
    <w:rsid w:val="00AC240F"/>
    <w:rsid w:val="00AC2AF0"/>
    <w:rsid w:val="00AC2B00"/>
    <w:rsid w:val="00AC2B92"/>
    <w:rsid w:val="00AC2CCB"/>
    <w:rsid w:val="00AC3035"/>
    <w:rsid w:val="00AC3375"/>
    <w:rsid w:val="00AC33EF"/>
    <w:rsid w:val="00AC3515"/>
    <w:rsid w:val="00AC38BF"/>
    <w:rsid w:val="00AC3A09"/>
    <w:rsid w:val="00AC3A31"/>
    <w:rsid w:val="00AC3B26"/>
    <w:rsid w:val="00AC3D3B"/>
    <w:rsid w:val="00AC3E70"/>
    <w:rsid w:val="00AC3FA1"/>
    <w:rsid w:val="00AC4066"/>
    <w:rsid w:val="00AC4451"/>
    <w:rsid w:val="00AC46FB"/>
    <w:rsid w:val="00AC48D8"/>
    <w:rsid w:val="00AC4D1C"/>
    <w:rsid w:val="00AC4FF2"/>
    <w:rsid w:val="00AC50A3"/>
    <w:rsid w:val="00AC573B"/>
    <w:rsid w:val="00AC5948"/>
    <w:rsid w:val="00AC59B3"/>
    <w:rsid w:val="00AC5A30"/>
    <w:rsid w:val="00AC5BDA"/>
    <w:rsid w:val="00AC5CDE"/>
    <w:rsid w:val="00AC5E66"/>
    <w:rsid w:val="00AC5E9F"/>
    <w:rsid w:val="00AC5EBE"/>
    <w:rsid w:val="00AC6398"/>
    <w:rsid w:val="00AC658E"/>
    <w:rsid w:val="00AC670F"/>
    <w:rsid w:val="00AC6746"/>
    <w:rsid w:val="00AC6A1B"/>
    <w:rsid w:val="00AC6A6F"/>
    <w:rsid w:val="00AC6DBA"/>
    <w:rsid w:val="00AC6F18"/>
    <w:rsid w:val="00AC711E"/>
    <w:rsid w:val="00AC71D5"/>
    <w:rsid w:val="00AC71DE"/>
    <w:rsid w:val="00AC72FC"/>
    <w:rsid w:val="00AC7638"/>
    <w:rsid w:val="00AC7700"/>
    <w:rsid w:val="00AC7AF0"/>
    <w:rsid w:val="00AC7CC0"/>
    <w:rsid w:val="00AC7CD5"/>
    <w:rsid w:val="00AC7CE2"/>
    <w:rsid w:val="00AC7DEE"/>
    <w:rsid w:val="00AC7FA0"/>
    <w:rsid w:val="00AC7FA6"/>
    <w:rsid w:val="00AD00A5"/>
    <w:rsid w:val="00AD019E"/>
    <w:rsid w:val="00AD079D"/>
    <w:rsid w:val="00AD0A28"/>
    <w:rsid w:val="00AD0A2F"/>
    <w:rsid w:val="00AD0A6C"/>
    <w:rsid w:val="00AD0E90"/>
    <w:rsid w:val="00AD11DC"/>
    <w:rsid w:val="00AD1546"/>
    <w:rsid w:val="00AD1683"/>
    <w:rsid w:val="00AD16C6"/>
    <w:rsid w:val="00AD1BA8"/>
    <w:rsid w:val="00AD1CF2"/>
    <w:rsid w:val="00AD1DCE"/>
    <w:rsid w:val="00AD1E7B"/>
    <w:rsid w:val="00AD2324"/>
    <w:rsid w:val="00AD23E4"/>
    <w:rsid w:val="00AD25D2"/>
    <w:rsid w:val="00AD27E3"/>
    <w:rsid w:val="00AD2830"/>
    <w:rsid w:val="00AD2A44"/>
    <w:rsid w:val="00AD2F56"/>
    <w:rsid w:val="00AD313E"/>
    <w:rsid w:val="00AD331C"/>
    <w:rsid w:val="00AD3480"/>
    <w:rsid w:val="00AD3712"/>
    <w:rsid w:val="00AD39F5"/>
    <w:rsid w:val="00AD3A9A"/>
    <w:rsid w:val="00AD3AE7"/>
    <w:rsid w:val="00AD3B60"/>
    <w:rsid w:val="00AD3D68"/>
    <w:rsid w:val="00AD412C"/>
    <w:rsid w:val="00AD41B2"/>
    <w:rsid w:val="00AD45CA"/>
    <w:rsid w:val="00AD460C"/>
    <w:rsid w:val="00AD461F"/>
    <w:rsid w:val="00AD463F"/>
    <w:rsid w:val="00AD4788"/>
    <w:rsid w:val="00AD485C"/>
    <w:rsid w:val="00AD4981"/>
    <w:rsid w:val="00AD4A73"/>
    <w:rsid w:val="00AD4AA6"/>
    <w:rsid w:val="00AD4EB8"/>
    <w:rsid w:val="00AD5072"/>
    <w:rsid w:val="00AD5186"/>
    <w:rsid w:val="00AD52D4"/>
    <w:rsid w:val="00AD564D"/>
    <w:rsid w:val="00AD5AEA"/>
    <w:rsid w:val="00AD5B82"/>
    <w:rsid w:val="00AD5BF0"/>
    <w:rsid w:val="00AD5C8C"/>
    <w:rsid w:val="00AD6092"/>
    <w:rsid w:val="00AD639F"/>
    <w:rsid w:val="00AD644E"/>
    <w:rsid w:val="00AD6638"/>
    <w:rsid w:val="00AD6B51"/>
    <w:rsid w:val="00AD6BCF"/>
    <w:rsid w:val="00AD6E46"/>
    <w:rsid w:val="00AD6F46"/>
    <w:rsid w:val="00AD70DC"/>
    <w:rsid w:val="00AD76A8"/>
    <w:rsid w:val="00AD7A69"/>
    <w:rsid w:val="00AD7A93"/>
    <w:rsid w:val="00AD7BA5"/>
    <w:rsid w:val="00AD7BB7"/>
    <w:rsid w:val="00AD7BED"/>
    <w:rsid w:val="00AE00EB"/>
    <w:rsid w:val="00AE05C4"/>
    <w:rsid w:val="00AE0644"/>
    <w:rsid w:val="00AE08EA"/>
    <w:rsid w:val="00AE08F8"/>
    <w:rsid w:val="00AE0BD5"/>
    <w:rsid w:val="00AE0DCE"/>
    <w:rsid w:val="00AE0E89"/>
    <w:rsid w:val="00AE1174"/>
    <w:rsid w:val="00AE125A"/>
    <w:rsid w:val="00AE148E"/>
    <w:rsid w:val="00AE159C"/>
    <w:rsid w:val="00AE18C3"/>
    <w:rsid w:val="00AE1A5E"/>
    <w:rsid w:val="00AE1A8A"/>
    <w:rsid w:val="00AE1B80"/>
    <w:rsid w:val="00AE1D73"/>
    <w:rsid w:val="00AE1E29"/>
    <w:rsid w:val="00AE2052"/>
    <w:rsid w:val="00AE2398"/>
    <w:rsid w:val="00AE24BB"/>
    <w:rsid w:val="00AE25DB"/>
    <w:rsid w:val="00AE260B"/>
    <w:rsid w:val="00AE2624"/>
    <w:rsid w:val="00AE262D"/>
    <w:rsid w:val="00AE2AEA"/>
    <w:rsid w:val="00AE2CD0"/>
    <w:rsid w:val="00AE3312"/>
    <w:rsid w:val="00AE3367"/>
    <w:rsid w:val="00AE3434"/>
    <w:rsid w:val="00AE3B56"/>
    <w:rsid w:val="00AE3CE7"/>
    <w:rsid w:val="00AE40A7"/>
    <w:rsid w:val="00AE43A6"/>
    <w:rsid w:val="00AE4496"/>
    <w:rsid w:val="00AE45D7"/>
    <w:rsid w:val="00AE460A"/>
    <w:rsid w:val="00AE4683"/>
    <w:rsid w:val="00AE4D4F"/>
    <w:rsid w:val="00AE4ECF"/>
    <w:rsid w:val="00AE50E4"/>
    <w:rsid w:val="00AE5262"/>
    <w:rsid w:val="00AE56CE"/>
    <w:rsid w:val="00AE5789"/>
    <w:rsid w:val="00AE5A58"/>
    <w:rsid w:val="00AE5B31"/>
    <w:rsid w:val="00AE5B7C"/>
    <w:rsid w:val="00AE5CB5"/>
    <w:rsid w:val="00AE627C"/>
    <w:rsid w:val="00AE62AE"/>
    <w:rsid w:val="00AE6675"/>
    <w:rsid w:val="00AE669A"/>
    <w:rsid w:val="00AE6B7E"/>
    <w:rsid w:val="00AE6BB1"/>
    <w:rsid w:val="00AE6DAB"/>
    <w:rsid w:val="00AE6EE5"/>
    <w:rsid w:val="00AE7197"/>
    <w:rsid w:val="00AE75C6"/>
    <w:rsid w:val="00AE77B2"/>
    <w:rsid w:val="00AE7B8B"/>
    <w:rsid w:val="00AE7C51"/>
    <w:rsid w:val="00AEC550"/>
    <w:rsid w:val="00AF00C4"/>
    <w:rsid w:val="00AF014E"/>
    <w:rsid w:val="00AF019A"/>
    <w:rsid w:val="00AF053A"/>
    <w:rsid w:val="00AF069A"/>
    <w:rsid w:val="00AF0906"/>
    <w:rsid w:val="00AF0CD3"/>
    <w:rsid w:val="00AF0CFF"/>
    <w:rsid w:val="00AF0E40"/>
    <w:rsid w:val="00AF0EE4"/>
    <w:rsid w:val="00AF0F92"/>
    <w:rsid w:val="00AF1044"/>
    <w:rsid w:val="00AF10F2"/>
    <w:rsid w:val="00AF14BC"/>
    <w:rsid w:val="00AF162C"/>
    <w:rsid w:val="00AF175C"/>
    <w:rsid w:val="00AF191F"/>
    <w:rsid w:val="00AF1BF9"/>
    <w:rsid w:val="00AF2262"/>
    <w:rsid w:val="00AF249B"/>
    <w:rsid w:val="00AF26AE"/>
    <w:rsid w:val="00AF2C13"/>
    <w:rsid w:val="00AF31E7"/>
    <w:rsid w:val="00AF3228"/>
    <w:rsid w:val="00AF376C"/>
    <w:rsid w:val="00AF37EA"/>
    <w:rsid w:val="00AF37EE"/>
    <w:rsid w:val="00AF3808"/>
    <w:rsid w:val="00AF3870"/>
    <w:rsid w:val="00AF398B"/>
    <w:rsid w:val="00AF3B9E"/>
    <w:rsid w:val="00AF3C18"/>
    <w:rsid w:val="00AF4027"/>
    <w:rsid w:val="00AF41B2"/>
    <w:rsid w:val="00AF42C6"/>
    <w:rsid w:val="00AF4327"/>
    <w:rsid w:val="00AF452C"/>
    <w:rsid w:val="00AF456C"/>
    <w:rsid w:val="00AF464B"/>
    <w:rsid w:val="00AF4708"/>
    <w:rsid w:val="00AF4A0F"/>
    <w:rsid w:val="00AF4AC1"/>
    <w:rsid w:val="00AF4DCF"/>
    <w:rsid w:val="00AF4DF3"/>
    <w:rsid w:val="00AF4E15"/>
    <w:rsid w:val="00AF4F3E"/>
    <w:rsid w:val="00AF522D"/>
    <w:rsid w:val="00AF5415"/>
    <w:rsid w:val="00AF5479"/>
    <w:rsid w:val="00AF550E"/>
    <w:rsid w:val="00AF5A1A"/>
    <w:rsid w:val="00AF5ADD"/>
    <w:rsid w:val="00AF6241"/>
    <w:rsid w:val="00AF67DA"/>
    <w:rsid w:val="00AF6D30"/>
    <w:rsid w:val="00AF6E37"/>
    <w:rsid w:val="00AF73AD"/>
    <w:rsid w:val="00AF7472"/>
    <w:rsid w:val="00AF7548"/>
    <w:rsid w:val="00AF7642"/>
    <w:rsid w:val="00AF783F"/>
    <w:rsid w:val="00AF7EC3"/>
    <w:rsid w:val="00AF7EC9"/>
    <w:rsid w:val="00B0035B"/>
    <w:rsid w:val="00B0064E"/>
    <w:rsid w:val="00B00728"/>
    <w:rsid w:val="00B00811"/>
    <w:rsid w:val="00B008A5"/>
    <w:rsid w:val="00B00E12"/>
    <w:rsid w:val="00B00E85"/>
    <w:rsid w:val="00B00E91"/>
    <w:rsid w:val="00B00F28"/>
    <w:rsid w:val="00B0102D"/>
    <w:rsid w:val="00B0122F"/>
    <w:rsid w:val="00B01407"/>
    <w:rsid w:val="00B01433"/>
    <w:rsid w:val="00B01460"/>
    <w:rsid w:val="00B01560"/>
    <w:rsid w:val="00B0173A"/>
    <w:rsid w:val="00B017D9"/>
    <w:rsid w:val="00B01985"/>
    <w:rsid w:val="00B019CF"/>
    <w:rsid w:val="00B01B14"/>
    <w:rsid w:val="00B01B8A"/>
    <w:rsid w:val="00B01CBB"/>
    <w:rsid w:val="00B01EE0"/>
    <w:rsid w:val="00B0209A"/>
    <w:rsid w:val="00B021CD"/>
    <w:rsid w:val="00B02561"/>
    <w:rsid w:val="00B02604"/>
    <w:rsid w:val="00B026E2"/>
    <w:rsid w:val="00B0272B"/>
    <w:rsid w:val="00B02A92"/>
    <w:rsid w:val="00B02B87"/>
    <w:rsid w:val="00B02C2B"/>
    <w:rsid w:val="00B0308A"/>
    <w:rsid w:val="00B03187"/>
    <w:rsid w:val="00B035BD"/>
    <w:rsid w:val="00B038A7"/>
    <w:rsid w:val="00B03985"/>
    <w:rsid w:val="00B03B65"/>
    <w:rsid w:val="00B041FE"/>
    <w:rsid w:val="00B04209"/>
    <w:rsid w:val="00B043AC"/>
    <w:rsid w:val="00B043FE"/>
    <w:rsid w:val="00B044AF"/>
    <w:rsid w:val="00B04BD3"/>
    <w:rsid w:val="00B04C37"/>
    <w:rsid w:val="00B04F58"/>
    <w:rsid w:val="00B0501B"/>
    <w:rsid w:val="00B051A1"/>
    <w:rsid w:val="00B05450"/>
    <w:rsid w:val="00B056C4"/>
    <w:rsid w:val="00B0574F"/>
    <w:rsid w:val="00B05940"/>
    <w:rsid w:val="00B05A1C"/>
    <w:rsid w:val="00B0610D"/>
    <w:rsid w:val="00B061C3"/>
    <w:rsid w:val="00B06715"/>
    <w:rsid w:val="00B067C8"/>
    <w:rsid w:val="00B06D87"/>
    <w:rsid w:val="00B06E03"/>
    <w:rsid w:val="00B0705C"/>
    <w:rsid w:val="00B0727B"/>
    <w:rsid w:val="00B072B2"/>
    <w:rsid w:val="00B074B3"/>
    <w:rsid w:val="00B076E0"/>
    <w:rsid w:val="00B07866"/>
    <w:rsid w:val="00B078D3"/>
    <w:rsid w:val="00B07A89"/>
    <w:rsid w:val="00B07DBC"/>
    <w:rsid w:val="00B07F37"/>
    <w:rsid w:val="00B100F6"/>
    <w:rsid w:val="00B1022B"/>
    <w:rsid w:val="00B102A7"/>
    <w:rsid w:val="00B103DB"/>
    <w:rsid w:val="00B10B72"/>
    <w:rsid w:val="00B10D3D"/>
    <w:rsid w:val="00B11131"/>
    <w:rsid w:val="00B111AC"/>
    <w:rsid w:val="00B11480"/>
    <w:rsid w:val="00B11799"/>
    <w:rsid w:val="00B117EA"/>
    <w:rsid w:val="00B11993"/>
    <w:rsid w:val="00B119E8"/>
    <w:rsid w:val="00B124AE"/>
    <w:rsid w:val="00B124E5"/>
    <w:rsid w:val="00B1278C"/>
    <w:rsid w:val="00B12A27"/>
    <w:rsid w:val="00B12A76"/>
    <w:rsid w:val="00B12C35"/>
    <w:rsid w:val="00B13025"/>
    <w:rsid w:val="00B131F2"/>
    <w:rsid w:val="00B131FF"/>
    <w:rsid w:val="00B133B4"/>
    <w:rsid w:val="00B135AB"/>
    <w:rsid w:val="00B13769"/>
    <w:rsid w:val="00B142CD"/>
    <w:rsid w:val="00B14551"/>
    <w:rsid w:val="00B14562"/>
    <w:rsid w:val="00B146A7"/>
    <w:rsid w:val="00B14806"/>
    <w:rsid w:val="00B14994"/>
    <w:rsid w:val="00B14AD2"/>
    <w:rsid w:val="00B14FB6"/>
    <w:rsid w:val="00B1505A"/>
    <w:rsid w:val="00B15206"/>
    <w:rsid w:val="00B15284"/>
    <w:rsid w:val="00B15816"/>
    <w:rsid w:val="00B15AB1"/>
    <w:rsid w:val="00B15DA2"/>
    <w:rsid w:val="00B15DD4"/>
    <w:rsid w:val="00B15E83"/>
    <w:rsid w:val="00B15F6F"/>
    <w:rsid w:val="00B16066"/>
    <w:rsid w:val="00B16109"/>
    <w:rsid w:val="00B16151"/>
    <w:rsid w:val="00B16375"/>
    <w:rsid w:val="00B164FC"/>
    <w:rsid w:val="00B1676B"/>
    <w:rsid w:val="00B16A74"/>
    <w:rsid w:val="00B16C86"/>
    <w:rsid w:val="00B16D56"/>
    <w:rsid w:val="00B1715D"/>
    <w:rsid w:val="00B175FD"/>
    <w:rsid w:val="00B176DD"/>
    <w:rsid w:val="00B178C2"/>
    <w:rsid w:val="00B17927"/>
    <w:rsid w:val="00B17A31"/>
    <w:rsid w:val="00B17BC0"/>
    <w:rsid w:val="00B200D3"/>
    <w:rsid w:val="00B201FC"/>
    <w:rsid w:val="00B20819"/>
    <w:rsid w:val="00B2085B"/>
    <w:rsid w:val="00B20A8A"/>
    <w:rsid w:val="00B20D5E"/>
    <w:rsid w:val="00B20EBE"/>
    <w:rsid w:val="00B2112D"/>
    <w:rsid w:val="00B21293"/>
    <w:rsid w:val="00B21442"/>
    <w:rsid w:val="00B216E5"/>
    <w:rsid w:val="00B216F0"/>
    <w:rsid w:val="00B217A2"/>
    <w:rsid w:val="00B21C7F"/>
    <w:rsid w:val="00B21CCE"/>
    <w:rsid w:val="00B21D5D"/>
    <w:rsid w:val="00B2279A"/>
    <w:rsid w:val="00B22840"/>
    <w:rsid w:val="00B229DE"/>
    <w:rsid w:val="00B22AAA"/>
    <w:rsid w:val="00B23065"/>
    <w:rsid w:val="00B23094"/>
    <w:rsid w:val="00B230F0"/>
    <w:rsid w:val="00B2310B"/>
    <w:rsid w:val="00B23676"/>
    <w:rsid w:val="00B23710"/>
    <w:rsid w:val="00B2378B"/>
    <w:rsid w:val="00B237C1"/>
    <w:rsid w:val="00B237D4"/>
    <w:rsid w:val="00B23833"/>
    <w:rsid w:val="00B2385A"/>
    <w:rsid w:val="00B23C88"/>
    <w:rsid w:val="00B24041"/>
    <w:rsid w:val="00B240E6"/>
    <w:rsid w:val="00B24149"/>
    <w:rsid w:val="00B2444F"/>
    <w:rsid w:val="00B24806"/>
    <w:rsid w:val="00B24A58"/>
    <w:rsid w:val="00B24C87"/>
    <w:rsid w:val="00B24F42"/>
    <w:rsid w:val="00B2513D"/>
    <w:rsid w:val="00B252DA"/>
    <w:rsid w:val="00B25377"/>
    <w:rsid w:val="00B25602"/>
    <w:rsid w:val="00B256AD"/>
    <w:rsid w:val="00B26076"/>
    <w:rsid w:val="00B261B1"/>
    <w:rsid w:val="00B26575"/>
    <w:rsid w:val="00B265CF"/>
    <w:rsid w:val="00B2676D"/>
    <w:rsid w:val="00B268C7"/>
    <w:rsid w:val="00B2691B"/>
    <w:rsid w:val="00B26A2F"/>
    <w:rsid w:val="00B26E03"/>
    <w:rsid w:val="00B26F35"/>
    <w:rsid w:val="00B26F3C"/>
    <w:rsid w:val="00B27026"/>
    <w:rsid w:val="00B27560"/>
    <w:rsid w:val="00B2760A"/>
    <w:rsid w:val="00B277EC"/>
    <w:rsid w:val="00B27AAA"/>
    <w:rsid w:val="00B27AF4"/>
    <w:rsid w:val="00B3008B"/>
    <w:rsid w:val="00B30133"/>
    <w:rsid w:val="00B301C9"/>
    <w:rsid w:val="00B30431"/>
    <w:rsid w:val="00B304FE"/>
    <w:rsid w:val="00B3084A"/>
    <w:rsid w:val="00B30ACB"/>
    <w:rsid w:val="00B30B12"/>
    <w:rsid w:val="00B30BA7"/>
    <w:rsid w:val="00B30DF0"/>
    <w:rsid w:val="00B30E7E"/>
    <w:rsid w:val="00B31350"/>
    <w:rsid w:val="00B318DD"/>
    <w:rsid w:val="00B3197B"/>
    <w:rsid w:val="00B31BEC"/>
    <w:rsid w:val="00B31D71"/>
    <w:rsid w:val="00B31F04"/>
    <w:rsid w:val="00B32147"/>
    <w:rsid w:val="00B32710"/>
    <w:rsid w:val="00B327F7"/>
    <w:rsid w:val="00B328A5"/>
    <w:rsid w:val="00B32FFB"/>
    <w:rsid w:val="00B3352B"/>
    <w:rsid w:val="00B335BF"/>
    <w:rsid w:val="00B335C9"/>
    <w:rsid w:val="00B33A26"/>
    <w:rsid w:val="00B33B26"/>
    <w:rsid w:val="00B33E80"/>
    <w:rsid w:val="00B3413D"/>
    <w:rsid w:val="00B341CC"/>
    <w:rsid w:val="00B341D3"/>
    <w:rsid w:val="00B3428B"/>
    <w:rsid w:val="00B34724"/>
    <w:rsid w:val="00B34ACA"/>
    <w:rsid w:val="00B34C68"/>
    <w:rsid w:val="00B34FFA"/>
    <w:rsid w:val="00B35190"/>
    <w:rsid w:val="00B351FA"/>
    <w:rsid w:val="00B35683"/>
    <w:rsid w:val="00B3570C"/>
    <w:rsid w:val="00B3578C"/>
    <w:rsid w:val="00B3594D"/>
    <w:rsid w:val="00B35CF8"/>
    <w:rsid w:val="00B35F67"/>
    <w:rsid w:val="00B36130"/>
    <w:rsid w:val="00B36209"/>
    <w:rsid w:val="00B367EE"/>
    <w:rsid w:val="00B3684D"/>
    <w:rsid w:val="00B369AC"/>
    <w:rsid w:val="00B36FEC"/>
    <w:rsid w:val="00B37016"/>
    <w:rsid w:val="00B37055"/>
    <w:rsid w:val="00B37190"/>
    <w:rsid w:val="00B371D0"/>
    <w:rsid w:val="00B3728F"/>
    <w:rsid w:val="00B37384"/>
    <w:rsid w:val="00B37860"/>
    <w:rsid w:val="00B37930"/>
    <w:rsid w:val="00B37BD7"/>
    <w:rsid w:val="00B37EB3"/>
    <w:rsid w:val="00B37ED6"/>
    <w:rsid w:val="00B37FAB"/>
    <w:rsid w:val="00B37FB5"/>
    <w:rsid w:val="00B37FDD"/>
    <w:rsid w:val="00B40015"/>
    <w:rsid w:val="00B40144"/>
    <w:rsid w:val="00B402AC"/>
    <w:rsid w:val="00B40455"/>
    <w:rsid w:val="00B4048F"/>
    <w:rsid w:val="00B4075F"/>
    <w:rsid w:val="00B40795"/>
    <w:rsid w:val="00B40840"/>
    <w:rsid w:val="00B4093E"/>
    <w:rsid w:val="00B40992"/>
    <w:rsid w:val="00B40993"/>
    <w:rsid w:val="00B40B29"/>
    <w:rsid w:val="00B40CE8"/>
    <w:rsid w:val="00B40E13"/>
    <w:rsid w:val="00B40E8F"/>
    <w:rsid w:val="00B4107A"/>
    <w:rsid w:val="00B410B4"/>
    <w:rsid w:val="00B414AC"/>
    <w:rsid w:val="00B414C3"/>
    <w:rsid w:val="00B416BB"/>
    <w:rsid w:val="00B41A63"/>
    <w:rsid w:val="00B41A84"/>
    <w:rsid w:val="00B41D6F"/>
    <w:rsid w:val="00B42019"/>
    <w:rsid w:val="00B42088"/>
    <w:rsid w:val="00B422B6"/>
    <w:rsid w:val="00B428CC"/>
    <w:rsid w:val="00B42A26"/>
    <w:rsid w:val="00B42A36"/>
    <w:rsid w:val="00B42AAA"/>
    <w:rsid w:val="00B42B51"/>
    <w:rsid w:val="00B42B6F"/>
    <w:rsid w:val="00B42BAD"/>
    <w:rsid w:val="00B42CDC"/>
    <w:rsid w:val="00B431D8"/>
    <w:rsid w:val="00B43378"/>
    <w:rsid w:val="00B43499"/>
    <w:rsid w:val="00B434AA"/>
    <w:rsid w:val="00B43944"/>
    <w:rsid w:val="00B43B45"/>
    <w:rsid w:val="00B43B91"/>
    <w:rsid w:val="00B43CE1"/>
    <w:rsid w:val="00B43E71"/>
    <w:rsid w:val="00B43EDA"/>
    <w:rsid w:val="00B43F69"/>
    <w:rsid w:val="00B44048"/>
    <w:rsid w:val="00B441FB"/>
    <w:rsid w:val="00B446A5"/>
    <w:rsid w:val="00B446D6"/>
    <w:rsid w:val="00B447A0"/>
    <w:rsid w:val="00B44923"/>
    <w:rsid w:val="00B44978"/>
    <w:rsid w:val="00B44B42"/>
    <w:rsid w:val="00B44DC5"/>
    <w:rsid w:val="00B45437"/>
    <w:rsid w:val="00B4590E"/>
    <w:rsid w:val="00B45A2B"/>
    <w:rsid w:val="00B45C44"/>
    <w:rsid w:val="00B45C76"/>
    <w:rsid w:val="00B45C96"/>
    <w:rsid w:val="00B45EC7"/>
    <w:rsid w:val="00B4609E"/>
    <w:rsid w:val="00B461BF"/>
    <w:rsid w:val="00B461E3"/>
    <w:rsid w:val="00B46717"/>
    <w:rsid w:val="00B47458"/>
    <w:rsid w:val="00B474CC"/>
    <w:rsid w:val="00B4760C"/>
    <w:rsid w:val="00B47826"/>
    <w:rsid w:val="00B500B8"/>
    <w:rsid w:val="00B500D2"/>
    <w:rsid w:val="00B500D5"/>
    <w:rsid w:val="00B50462"/>
    <w:rsid w:val="00B5047D"/>
    <w:rsid w:val="00B5058D"/>
    <w:rsid w:val="00B506B1"/>
    <w:rsid w:val="00B50C0C"/>
    <w:rsid w:val="00B50D32"/>
    <w:rsid w:val="00B512BF"/>
    <w:rsid w:val="00B51602"/>
    <w:rsid w:val="00B516CC"/>
    <w:rsid w:val="00B51769"/>
    <w:rsid w:val="00B517F5"/>
    <w:rsid w:val="00B517FA"/>
    <w:rsid w:val="00B519C1"/>
    <w:rsid w:val="00B51A9F"/>
    <w:rsid w:val="00B51AFF"/>
    <w:rsid w:val="00B51C89"/>
    <w:rsid w:val="00B51E40"/>
    <w:rsid w:val="00B51FBD"/>
    <w:rsid w:val="00B52029"/>
    <w:rsid w:val="00B52046"/>
    <w:rsid w:val="00B529CE"/>
    <w:rsid w:val="00B52AAC"/>
    <w:rsid w:val="00B52B3E"/>
    <w:rsid w:val="00B52CA2"/>
    <w:rsid w:val="00B52DA8"/>
    <w:rsid w:val="00B52E20"/>
    <w:rsid w:val="00B52E48"/>
    <w:rsid w:val="00B53029"/>
    <w:rsid w:val="00B532FE"/>
    <w:rsid w:val="00B5352F"/>
    <w:rsid w:val="00B53CE9"/>
    <w:rsid w:val="00B53E7E"/>
    <w:rsid w:val="00B53EFE"/>
    <w:rsid w:val="00B53F08"/>
    <w:rsid w:val="00B53F51"/>
    <w:rsid w:val="00B53FE0"/>
    <w:rsid w:val="00B54059"/>
    <w:rsid w:val="00B540DE"/>
    <w:rsid w:val="00B543CF"/>
    <w:rsid w:val="00B5475E"/>
    <w:rsid w:val="00B54841"/>
    <w:rsid w:val="00B548BA"/>
    <w:rsid w:val="00B5495A"/>
    <w:rsid w:val="00B54C8D"/>
    <w:rsid w:val="00B54C93"/>
    <w:rsid w:val="00B54EBA"/>
    <w:rsid w:val="00B550A8"/>
    <w:rsid w:val="00B5525E"/>
    <w:rsid w:val="00B55267"/>
    <w:rsid w:val="00B552B8"/>
    <w:rsid w:val="00B55350"/>
    <w:rsid w:val="00B55621"/>
    <w:rsid w:val="00B557EB"/>
    <w:rsid w:val="00B55941"/>
    <w:rsid w:val="00B559DF"/>
    <w:rsid w:val="00B55A95"/>
    <w:rsid w:val="00B55AA9"/>
    <w:rsid w:val="00B55ADF"/>
    <w:rsid w:val="00B55B46"/>
    <w:rsid w:val="00B5602B"/>
    <w:rsid w:val="00B560F6"/>
    <w:rsid w:val="00B5611C"/>
    <w:rsid w:val="00B56170"/>
    <w:rsid w:val="00B56383"/>
    <w:rsid w:val="00B564B0"/>
    <w:rsid w:val="00B56513"/>
    <w:rsid w:val="00B56573"/>
    <w:rsid w:val="00B56882"/>
    <w:rsid w:val="00B56B5B"/>
    <w:rsid w:val="00B56BE8"/>
    <w:rsid w:val="00B56C95"/>
    <w:rsid w:val="00B56DAD"/>
    <w:rsid w:val="00B5702B"/>
    <w:rsid w:val="00B572FB"/>
    <w:rsid w:val="00B57313"/>
    <w:rsid w:val="00B57595"/>
    <w:rsid w:val="00B578B2"/>
    <w:rsid w:val="00B57904"/>
    <w:rsid w:val="00B579EB"/>
    <w:rsid w:val="00B57AAC"/>
    <w:rsid w:val="00B57AB6"/>
    <w:rsid w:val="00B57B42"/>
    <w:rsid w:val="00B57D7A"/>
    <w:rsid w:val="00B57E94"/>
    <w:rsid w:val="00B57EDC"/>
    <w:rsid w:val="00B57F18"/>
    <w:rsid w:val="00B60110"/>
    <w:rsid w:val="00B6019D"/>
    <w:rsid w:val="00B60331"/>
    <w:rsid w:val="00B60552"/>
    <w:rsid w:val="00B60BFD"/>
    <w:rsid w:val="00B60C54"/>
    <w:rsid w:val="00B60D47"/>
    <w:rsid w:val="00B60E7E"/>
    <w:rsid w:val="00B60FEE"/>
    <w:rsid w:val="00B61061"/>
    <w:rsid w:val="00B61166"/>
    <w:rsid w:val="00B617D4"/>
    <w:rsid w:val="00B6191D"/>
    <w:rsid w:val="00B619E3"/>
    <w:rsid w:val="00B61AC2"/>
    <w:rsid w:val="00B61C2A"/>
    <w:rsid w:val="00B61E78"/>
    <w:rsid w:val="00B61F17"/>
    <w:rsid w:val="00B62096"/>
    <w:rsid w:val="00B62522"/>
    <w:rsid w:val="00B62532"/>
    <w:rsid w:val="00B627B2"/>
    <w:rsid w:val="00B62818"/>
    <w:rsid w:val="00B6332F"/>
    <w:rsid w:val="00B6334C"/>
    <w:rsid w:val="00B63C62"/>
    <w:rsid w:val="00B63CDD"/>
    <w:rsid w:val="00B63EB7"/>
    <w:rsid w:val="00B63FEE"/>
    <w:rsid w:val="00B640C1"/>
    <w:rsid w:val="00B64211"/>
    <w:rsid w:val="00B645B8"/>
    <w:rsid w:val="00B646A0"/>
    <w:rsid w:val="00B64AD6"/>
    <w:rsid w:val="00B64B5A"/>
    <w:rsid w:val="00B6555D"/>
    <w:rsid w:val="00B6576A"/>
    <w:rsid w:val="00B658BD"/>
    <w:rsid w:val="00B659BC"/>
    <w:rsid w:val="00B65D64"/>
    <w:rsid w:val="00B6645F"/>
    <w:rsid w:val="00B666DA"/>
    <w:rsid w:val="00B666ED"/>
    <w:rsid w:val="00B66909"/>
    <w:rsid w:val="00B6694C"/>
    <w:rsid w:val="00B66E0B"/>
    <w:rsid w:val="00B66E21"/>
    <w:rsid w:val="00B66EAA"/>
    <w:rsid w:val="00B66EB5"/>
    <w:rsid w:val="00B6714C"/>
    <w:rsid w:val="00B671D9"/>
    <w:rsid w:val="00B672EB"/>
    <w:rsid w:val="00B67439"/>
    <w:rsid w:val="00B67491"/>
    <w:rsid w:val="00B67569"/>
    <w:rsid w:val="00B67716"/>
    <w:rsid w:val="00B678DC"/>
    <w:rsid w:val="00B67B2D"/>
    <w:rsid w:val="00B67BC9"/>
    <w:rsid w:val="00B67BE5"/>
    <w:rsid w:val="00B67D35"/>
    <w:rsid w:val="00B67DD7"/>
    <w:rsid w:val="00B67E25"/>
    <w:rsid w:val="00B701AD"/>
    <w:rsid w:val="00B702C9"/>
    <w:rsid w:val="00B7037C"/>
    <w:rsid w:val="00B70714"/>
    <w:rsid w:val="00B70AB6"/>
    <w:rsid w:val="00B70BD2"/>
    <w:rsid w:val="00B70CD8"/>
    <w:rsid w:val="00B70F02"/>
    <w:rsid w:val="00B70F9E"/>
    <w:rsid w:val="00B71457"/>
    <w:rsid w:val="00B715B1"/>
    <w:rsid w:val="00B71607"/>
    <w:rsid w:val="00B717DB"/>
    <w:rsid w:val="00B717F0"/>
    <w:rsid w:val="00B7216F"/>
    <w:rsid w:val="00B721F3"/>
    <w:rsid w:val="00B72421"/>
    <w:rsid w:val="00B725A2"/>
    <w:rsid w:val="00B72784"/>
    <w:rsid w:val="00B727F1"/>
    <w:rsid w:val="00B72886"/>
    <w:rsid w:val="00B72953"/>
    <w:rsid w:val="00B72BD4"/>
    <w:rsid w:val="00B72CC8"/>
    <w:rsid w:val="00B72E54"/>
    <w:rsid w:val="00B72EEA"/>
    <w:rsid w:val="00B72F2F"/>
    <w:rsid w:val="00B72F5E"/>
    <w:rsid w:val="00B72F8E"/>
    <w:rsid w:val="00B7319A"/>
    <w:rsid w:val="00B73346"/>
    <w:rsid w:val="00B73541"/>
    <w:rsid w:val="00B735ED"/>
    <w:rsid w:val="00B737C4"/>
    <w:rsid w:val="00B739F2"/>
    <w:rsid w:val="00B73A09"/>
    <w:rsid w:val="00B73A17"/>
    <w:rsid w:val="00B73AE6"/>
    <w:rsid w:val="00B73F09"/>
    <w:rsid w:val="00B73FEE"/>
    <w:rsid w:val="00B7404C"/>
    <w:rsid w:val="00B742EE"/>
    <w:rsid w:val="00B74907"/>
    <w:rsid w:val="00B74D80"/>
    <w:rsid w:val="00B74E84"/>
    <w:rsid w:val="00B74F6A"/>
    <w:rsid w:val="00B75289"/>
    <w:rsid w:val="00B7530B"/>
    <w:rsid w:val="00B7535A"/>
    <w:rsid w:val="00B75454"/>
    <w:rsid w:val="00B75590"/>
    <w:rsid w:val="00B75B84"/>
    <w:rsid w:val="00B75D16"/>
    <w:rsid w:val="00B75D57"/>
    <w:rsid w:val="00B75DB7"/>
    <w:rsid w:val="00B76072"/>
    <w:rsid w:val="00B7625B"/>
    <w:rsid w:val="00B76388"/>
    <w:rsid w:val="00B7647C"/>
    <w:rsid w:val="00B765F7"/>
    <w:rsid w:val="00B767A5"/>
    <w:rsid w:val="00B76824"/>
    <w:rsid w:val="00B768D2"/>
    <w:rsid w:val="00B7695F"/>
    <w:rsid w:val="00B76AD1"/>
    <w:rsid w:val="00B76D39"/>
    <w:rsid w:val="00B76DEC"/>
    <w:rsid w:val="00B76EE6"/>
    <w:rsid w:val="00B76FA3"/>
    <w:rsid w:val="00B771CD"/>
    <w:rsid w:val="00B77307"/>
    <w:rsid w:val="00B77358"/>
    <w:rsid w:val="00B773BC"/>
    <w:rsid w:val="00B77471"/>
    <w:rsid w:val="00B7749B"/>
    <w:rsid w:val="00B77562"/>
    <w:rsid w:val="00B77694"/>
    <w:rsid w:val="00B77BFD"/>
    <w:rsid w:val="00B77CE8"/>
    <w:rsid w:val="00B77FFC"/>
    <w:rsid w:val="00B8052E"/>
    <w:rsid w:val="00B80808"/>
    <w:rsid w:val="00B80895"/>
    <w:rsid w:val="00B80899"/>
    <w:rsid w:val="00B80D5D"/>
    <w:rsid w:val="00B81147"/>
    <w:rsid w:val="00B81241"/>
    <w:rsid w:val="00B81878"/>
    <w:rsid w:val="00B818C3"/>
    <w:rsid w:val="00B8191A"/>
    <w:rsid w:val="00B81DA5"/>
    <w:rsid w:val="00B81E7C"/>
    <w:rsid w:val="00B81E8F"/>
    <w:rsid w:val="00B8217D"/>
    <w:rsid w:val="00B82322"/>
    <w:rsid w:val="00B824E9"/>
    <w:rsid w:val="00B82A0F"/>
    <w:rsid w:val="00B8346C"/>
    <w:rsid w:val="00B834A8"/>
    <w:rsid w:val="00B834F9"/>
    <w:rsid w:val="00B8377D"/>
    <w:rsid w:val="00B8388C"/>
    <w:rsid w:val="00B83B75"/>
    <w:rsid w:val="00B83DC3"/>
    <w:rsid w:val="00B83DDD"/>
    <w:rsid w:val="00B83EE7"/>
    <w:rsid w:val="00B83F05"/>
    <w:rsid w:val="00B83F5C"/>
    <w:rsid w:val="00B83F95"/>
    <w:rsid w:val="00B8401F"/>
    <w:rsid w:val="00B840F7"/>
    <w:rsid w:val="00B84284"/>
    <w:rsid w:val="00B84550"/>
    <w:rsid w:val="00B84681"/>
    <w:rsid w:val="00B846B8"/>
    <w:rsid w:val="00B84A50"/>
    <w:rsid w:val="00B84B3D"/>
    <w:rsid w:val="00B84C25"/>
    <w:rsid w:val="00B850A4"/>
    <w:rsid w:val="00B85377"/>
    <w:rsid w:val="00B8558E"/>
    <w:rsid w:val="00B855D0"/>
    <w:rsid w:val="00B85FB8"/>
    <w:rsid w:val="00B86130"/>
    <w:rsid w:val="00B86355"/>
    <w:rsid w:val="00B86448"/>
    <w:rsid w:val="00B8644C"/>
    <w:rsid w:val="00B8652D"/>
    <w:rsid w:val="00B87158"/>
    <w:rsid w:val="00B87283"/>
    <w:rsid w:val="00B874DE"/>
    <w:rsid w:val="00B874E8"/>
    <w:rsid w:val="00B874FC"/>
    <w:rsid w:val="00B877B9"/>
    <w:rsid w:val="00B87A30"/>
    <w:rsid w:val="00B87A52"/>
    <w:rsid w:val="00B87AB5"/>
    <w:rsid w:val="00B87B40"/>
    <w:rsid w:val="00B87D4A"/>
    <w:rsid w:val="00B87DB3"/>
    <w:rsid w:val="00B87F6F"/>
    <w:rsid w:val="00B900A9"/>
    <w:rsid w:val="00B90197"/>
    <w:rsid w:val="00B90263"/>
    <w:rsid w:val="00B9029E"/>
    <w:rsid w:val="00B905F8"/>
    <w:rsid w:val="00B90652"/>
    <w:rsid w:val="00B906CD"/>
    <w:rsid w:val="00B909F8"/>
    <w:rsid w:val="00B90D31"/>
    <w:rsid w:val="00B90DCE"/>
    <w:rsid w:val="00B9129D"/>
    <w:rsid w:val="00B912E6"/>
    <w:rsid w:val="00B9145D"/>
    <w:rsid w:val="00B91496"/>
    <w:rsid w:val="00B91562"/>
    <w:rsid w:val="00B91769"/>
    <w:rsid w:val="00B91828"/>
    <w:rsid w:val="00B91A35"/>
    <w:rsid w:val="00B91C17"/>
    <w:rsid w:val="00B91CB1"/>
    <w:rsid w:val="00B91E68"/>
    <w:rsid w:val="00B91F5B"/>
    <w:rsid w:val="00B91F8F"/>
    <w:rsid w:val="00B9209E"/>
    <w:rsid w:val="00B92112"/>
    <w:rsid w:val="00B92361"/>
    <w:rsid w:val="00B9236B"/>
    <w:rsid w:val="00B92743"/>
    <w:rsid w:val="00B92C0D"/>
    <w:rsid w:val="00B92D83"/>
    <w:rsid w:val="00B92EBB"/>
    <w:rsid w:val="00B93094"/>
    <w:rsid w:val="00B930E1"/>
    <w:rsid w:val="00B93898"/>
    <w:rsid w:val="00B93A75"/>
    <w:rsid w:val="00B93CC0"/>
    <w:rsid w:val="00B93F1C"/>
    <w:rsid w:val="00B943F4"/>
    <w:rsid w:val="00B946C2"/>
    <w:rsid w:val="00B94973"/>
    <w:rsid w:val="00B949F8"/>
    <w:rsid w:val="00B94A3F"/>
    <w:rsid w:val="00B94CD7"/>
    <w:rsid w:val="00B9517F"/>
    <w:rsid w:val="00B9520B"/>
    <w:rsid w:val="00B95283"/>
    <w:rsid w:val="00B953D8"/>
    <w:rsid w:val="00B9540B"/>
    <w:rsid w:val="00B95527"/>
    <w:rsid w:val="00B9583C"/>
    <w:rsid w:val="00B95907"/>
    <w:rsid w:val="00B95916"/>
    <w:rsid w:val="00B959D9"/>
    <w:rsid w:val="00B95A1B"/>
    <w:rsid w:val="00B95D66"/>
    <w:rsid w:val="00B95ECB"/>
    <w:rsid w:val="00B960D4"/>
    <w:rsid w:val="00B961A0"/>
    <w:rsid w:val="00B9653A"/>
    <w:rsid w:val="00B9655B"/>
    <w:rsid w:val="00B96747"/>
    <w:rsid w:val="00B96C4E"/>
    <w:rsid w:val="00B96DD5"/>
    <w:rsid w:val="00B97142"/>
    <w:rsid w:val="00B971D9"/>
    <w:rsid w:val="00B97278"/>
    <w:rsid w:val="00B97676"/>
    <w:rsid w:val="00B978D0"/>
    <w:rsid w:val="00B97C17"/>
    <w:rsid w:val="00BA0682"/>
    <w:rsid w:val="00BA0C99"/>
    <w:rsid w:val="00BA108E"/>
    <w:rsid w:val="00BA10F0"/>
    <w:rsid w:val="00BA1238"/>
    <w:rsid w:val="00BA1277"/>
    <w:rsid w:val="00BA1290"/>
    <w:rsid w:val="00BA1786"/>
    <w:rsid w:val="00BA1866"/>
    <w:rsid w:val="00BA1AA1"/>
    <w:rsid w:val="00BA1AD0"/>
    <w:rsid w:val="00BA1C43"/>
    <w:rsid w:val="00BA2177"/>
    <w:rsid w:val="00BA2263"/>
    <w:rsid w:val="00BA23B0"/>
    <w:rsid w:val="00BA23FA"/>
    <w:rsid w:val="00BA2637"/>
    <w:rsid w:val="00BA263C"/>
    <w:rsid w:val="00BA2647"/>
    <w:rsid w:val="00BA27E0"/>
    <w:rsid w:val="00BA291E"/>
    <w:rsid w:val="00BA2E14"/>
    <w:rsid w:val="00BA31D8"/>
    <w:rsid w:val="00BA322B"/>
    <w:rsid w:val="00BA345D"/>
    <w:rsid w:val="00BA350E"/>
    <w:rsid w:val="00BA3520"/>
    <w:rsid w:val="00BA367A"/>
    <w:rsid w:val="00BA37E0"/>
    <w:rsid w:val="00BA3831"/>
    <w:rsid w:val="00BA389E"/>
    <w:rsid w:val="00BA3AF1"/>
    <w:rsid w:val="00BA3B73"/>
    <w:rsid w:val="00BA3BD1"/>
    <w:rsid w:val="00BA3F08"/>
    <w:rsid w:val="00BA4169"/>
    <w:rsid w:val="00BA43D1"/>
    <w:rsid w:val="00BA44AE"/>
    <w:rsid w:val="00BA480F"/>
    <w:rsid w:val="00BA48C5"/>
    <w:rsid w:val="00BA4BB9"/>
    <w:rsid w:val="00BA4DF0"/>
    <w:rsid w:val="00BA4FDC"/>
    <w:rsid w:val="00BA4FFD"/>
    <w:rsid w:val="00BA5026"/>
    <w:rsid w:val="00BA55CE"/>
    <w:rsid w:val="00BA568F"/>
    <w:rsid w:val="00BA56BB"/>
    <w:rsid w:val="00BA5C0E"/>
    <w:rsid w:val="00BA5D2B"/>
    <w:rsid w:val="00BA62A6"/>
    <w:rsid w:val="00BA6441"/>
    <w:rsid w:val="00BA654F"/>
    <w:rsid w:val="00BA673E"/>
    <w:rsid w:val="00BA6AFA"/>
    <w:rsid w:val="00BA6B98"/>
    <w:rsid w:val="00BA6D30"/>
    <w:rsid w:val="00BA7064"/>
    <w:rsid w:val="00BA721F"/>
    <w:rsid w:val="00BA7303"/>
    <w:rsid w:val="00BA7500"/>
    <w:rsid w:val="00BA7744"/>
    <w:rsid w:val="00BA77F7"/>
    <w:rsid w:val="00BA7855"/>
    <w:rsid w:val="00BA7B68"/>
    <w:rsid w:val="00BA7E01"/>
    <w:rsid w:val="00BA7ECE"/>
    <w:rsid w:val="00BB0009"/>
    <w:rsid w:val="00BB014D"/>
    <w:rsid w:val="00BB0481"/>
    <w:rsid w:val="00BB062C"/>
    <w:rsid w:val="00BB0E05"/>
    <w:rsid w:val="00BB1122"/>
    <w:rsid w:val="00BB16B3"/>
    <w:rsid w:val="00BB16D3"/>
    <w:rsid w:val="00BB19AE"/>
    <w:rsid w:val="00BB1AEC"/>
    <w:rsid w:val="00BB216A"/>
    <w:rsid w:val="00BB2208"/>
    <w:rsid w:val="00BB2439"/>
    <w:rsid w:val="00BB245A"/>
    <w:rsid w:val="00BB24B6"/>
    <w:rsid w:val="00BB2574"/>
    <w:rsid w:val="00BB2737"/>
    <w:rsid w:val="00BB27E3"/>
    <w:rsid w:val="00BB2868"/>
    <w:rsid w:val="00BB2908"/>
    <w:rsid w:val="00BB2968"/>
    <w:rsid w:val="00BB2F92"/>
    <w:rsid w:val="00BB3057"/>
    <w:rsid w:val="00BB313A"/>
    <w:rsid w:val="00BB3304"/>
    <w:rsid w:val="00BB34EE"/>
    <w:rsid w:val="00BB364E"/>
    <w:rsid w:val="00BB37C8"/>
    <w:rsid w:val="00BB388A"/>
    <w:rsid w:val="00BB3970"/>
    <w:rsid w:val="00BB3A37"/>
    <w:rsid w:val="00BB3A9D"/>
    <w:rsid w:val="00BB3AD7"/>
    <w:rsid w:val="00BB3AE1"/>
    <w:rsid w:val="00BB3C38"/>
    <w:rsid w:val="00BB3D03"/>
    <w:rsid w:val="00BB3D5B"/>
    <w:rsid w:val="00BB3E52"/>
    <w:rsid w:val="00BB3FBA"/>
    <w:rsid w:val="00BB4021"/>
    <w:rsid w:val="00BB42C0"/>
    <w:rsid w:val="00BB465F"/>
    <w:rsid w:val="00BB4B14"/>
    <w:rsid w:val="00BB4CF1"/>
    <w:rsid w:val="00BB50C3"/>
    <w:rsid w:val="00BB50EF"/>
    <w:rsid w:val="00BB5442"/>
    <w:rsid w:val="00BB5600"/>
    <w:rsid w:val="00BB598E"/>
    <w:rsid w:val="00BB5AB2"/>
    <w:rsid w:val="00BB5CFA"/>
    <w:rsid w:val="00BB5F71"/>
    <w:rsid w:val="00BB605D"/>
    <w:rsid w:val="00BB614E"/>
    <w:rsid w:val="00BB61A7"/>
    <w:rsid w:val="00BB61D2"/>
    <w:rsid w:val="00BB6249"/>
    <w:rsid w:val="00BB62A1"/>
    <w:rsid w:val="00BB63F4"/>
    <w:rsid w:val="00BB6469"/>
    <w:rsid w:val="00BB67DE"/>
    <w:rsid w:val="00BB686D"/>
    <w:rsid w:val="00BB6959"/>
    <w:rsid w:val="00BB6AC0"/>
    <w:rsid w:val="00BB6E34"/>
    <w:rsid w:val="00BB6FFA"/>
    <w:rsid w:val="00BB71E0"/>
    <w:rsid w:val="00BB7222"/>
    <w:rsid w:val="00BB72B5"/>
    <w:rsid w:val="00BB764E"/>
    <w:rsid w:val="00BB76C0"/>
    <w:rsid w:val="00BB77BB"/>
    <w:rsid w:val="00BB7900"/>
    <w:rsid w:val="00BB79B7"/>
    <w:rsid w:val="00BB79C9"/>
    <w:rsid w:val="00BB7B53"/>
    <w:rsid w:val="00BB7C53"/>
    <w:rsid w:val="00BB7EC5"/>
    <w:rsid w:val="00BB7F6D"/>
    <w:rsid w:val="00BC0069"/>
    <w:rsid w:val="00BC05F9"/>
    <w:rsid w:val="00BC0645"/>
    <w:rsid w:val="00BC0833"/>
    <w:rsid w:val="00BC0A28"/>
    <w:rsid w:val="00BC0AA5"/>
    <w:rsid w:val="00BC0ECB"/>
    <w:rsid w:val="00BC0F0B"/>
    <w:rsid w:val="00BC1145"/>
    <w:rsid w:val="00BC134B"/>
    <w:rsid w:val="00BC1388"/>
    <w:rsid w:val="00BC13A4"/>
    <w:rsid w:val="00BC13AB"/>
    <w:rsid w:val="00BC1860"/>
    <w:rsid w:val="00BC1AF6"/>
    <w:rsid w:val="00BC1C1F"/>
    <w:rsid w:val="00BC1CEF"/>
    <w:rsid w:val="00BC21E7"/>
    <w:rsid w:val="00BC24D8"/>
    <w:rsid w:val="00BC255A"/>
    <w:rsid w:val="00BC275D"/>
    <w:rsid w:val="00BC2887"/>
    <w:rsid w:val="00BC2AF7"/>
    <w:rsid w:val="00BC2BE3"/>
    <w:rsid w:val="00BC2CE4"/>
    <w:rsid w:val="00BC2D42"/>
    <w:rsid w:val="00BC2D44"/>
    <w:rsid w:val="00BC3315"/>
    <w:rsid w:val="00BC3464"/>
    <w:rsid w:val="00BC35F0"/>
    <w:rsid w:val="00BC373B"/>
    <w:rsid w:val="00BC3C41"/>
    <w:rsid w:val="00BC3DD5"/>
    <w:rsid w:val="00BC3F03"/>
    <w:rsid w:val="00BC3F70"/>
    <w:rsid w:val="00BC3F96"/>
    <w:rsid w:val="00BC4145"/>
    <w:rsid w:val="00BC42D8"/>
    <w:rsid w:val="00BC43AF"/>
    <w:rsid w:val="00BC4405"/>
    <w:rsid w:val="00BC44A9"/>
    <w:rsid w:val="00BC482E"/>
    <w:rsid w:val="00BC4943"/>
    <w:rsid w:val="00BC4ADF"/>
    <w:rsid w:val="00BC4C8F"/>
    <w:rsid w:val="00BC5105"/>
    <w:rsid w:val="00BC51BE"/>
    <w:rsid w:val="00BC52E3"/>
    <w:rsid w:val="00BC5414"/>
    <w:rsid w:val="00BC558F"/>
    <w:rsid w:val="00BC5A1B"/>
    <w:rsid w:val="00BC5BD7"/>
    <w:rsid w:val="00BC5CA2"/>
    <w:rsid w:val="00BC5D5A"/>
    <w:rsid w:val="00BC5E47"/>
    <w:rsid w:val="00BC6166"/>
    <w:rsid w:val="00BC6274"/>
    <w:rsid w:val="00BC64FB"/>
    <w:rsid w:val="00BC65FB"/>
    <w:rsid w:val="00BC6B00"/>
    <w:rsid w:val="00BC6B6B"/>
    <w:rsid w:val="00BC6C4F"/>
    <w:rsid w:val="00BC6C72"/>
    <w:rsid w:val="00BC6F57"/>
    <w:rsid w:val="00BC7475"/>
    <w:rsid w:val="00BC7893"/>
    <w:rsid w:val="00BC7938"/>
    <w:rsid w:val="00BC7B58"/>
    <w:rsid w:val="00BC7D6E"/>
    <w:rsid w:val="00BC7DA5"/>
    <w:rsid w:val="00BC7E20"/>
    <w:rsid w:val="00BC7F45"/>
    <w:rsid w:val="00BC7F6A"/>
    <w:rsid w:val="00BD0020"/>
    <w:rsid w:val="00BD0723"/>
    <w:rsid w:val="00BD0793"/>
    <w:rsid w:val="00BD07A2"/>
    <w:rsid w:val="00BD08AB"/>
    <w:rsid w:val="00BD091C"/>
    <w:rsid w:val="00BD0AFF"/>
    <w:rsid w:val="00BD0F9C"/>
    <w:rsid w:val="00BD11F3"/>
    <w:rsid w:val="00BD1232"/>
    <w:rsid w:val="00BD15B4"/>
    <w:rsid w:val="00BD15C4"/>
    <w:rsid w:val="00BD1601"/>
    <w:rsid w:val="00BD163A"/>
    <w:rsid w:val="00BD16CE"/>
    <w:rsid w:val="00BD19AE"/>
    <w:rsid w:val="00BD1A3B"/>
    <w:rsid w:val="00BD1A65"/>
    <w:rsid w:val="00BD1A94"/>
    <w:rsid w:val="00BD1E75"/>
    <w:rsid w:val="00BD1FE9"/>
    <w:rsid w:val="00BD2367"/>
    <w:rsid w:val="00BD23C7"/>
    <w:rsid w:val="00BD27BF"/>
    <w:rsid w:val="00BD2A0A"/>
    <w:rsid w:val="00BD2A3E"/>
    <w:rsid w:val="00BD2EFE"/>
    <w:rsid w:val="00BD2F5B"/>
    <w:rsid w:val="00BD3091"/>
    <w:rsid w:val="00BD31B4"/>
    <w:rsid w:val="00BD3255"/>
    <w:rsid w:val="00BD32EC"/>
    <w:rsid w:val="00BD34FA"/>
    <w:rsid w:val="00BD37DA"/>
    <w:rsid w:val="00BD38A1"/>
    <w:rsid w:val="00BD38D2"/>
    <w:rsid w:val="00BD39AD"/>
    <w:rsid w:val="00BD3A0D"/>
    <w:rsid w:val="00BD3C0F"/>
    <w:rsid w:val="00BD3D5F"/>
    <w:rsid w:val="00BD40BF"/>
    <w:rsid w:val="00BD40ED"/>
    <w:rsid w:val="00BD40FF"/>
    <w:rsid w:val="00BD45E6"/>
    <w:rsid w:val="00BD4CC9"/>
    <w:rsid w:val="00BD4E4E"/>
    <w:rsid w:val="00BD4FE8"/>
    <w:rsid w:val="00BD4FEB"/>
    <w:rsid w:val="00BD5376"/>
    <w:rsid w:val="00BD55B6"/>
    <w:rsid w:val="00BD5729"/>
    <w:rsid w:val="00BD59DB"/>
    <w:rsid w:val="00BD5A9E"/>
    <w:rsid w:val="00BD5D83"/>
    <w:rsid w:val="00BD6117"/>
    <w:rsid w:val="00BD6196"/>
    <w:rsid w:val="00BD61D2"/>
    <w:rsid w:val="00BD65EE"/>
    <w:rsid w:val="00BD679F"/>
    <w:rsid w:val="00BD6817"/>
    <w:rsid w:val="00BD6A1C"/>
    <w:rsid w:val="00BD6A2E"/>
    <w:rsid w:val="00BD6CAA"/>
    <w:rsid w:val="00BD7450"/>
    <w:rsid w:val="00BD751D"/>
    <w:rsid w:val="00BD751E"/>
    <w:rsid w:val="00BD75D9"/>
    <w:rsid w:val="00BD783F"/>
    <w:rsid w:val="00BD7B57"/>
    <w:rsid w:val="00BD7C66"/>
    <w:rsid w:val="00BD7D43"/>
    <w:rsid w:val="00BE006C"/>
    <w:rsid w:val="00BE025D"/>
    <w:rsid w:val="00BE05F7"/>
    <w:rsid w:val="00BE0701"/>
    <w:rsid w:val="00BE080F"/>
    <w:rsid w:val="00BE0971"/>
    <w:rsid w:val="00BE0A68"/>
    <w:rsid w:val="00BE0B27"/>
    <w:rsid w:val="00BE0F1E"/>
    <w:rsid w:val="00BE0F74"/>
    <w:rsid w:val="00BE11FF"/>
    <w:rsid w:val="00BE15BB"/>
    <w:rsid w:val="00BE16DC"/>
    <w:rsid w:val="00BE16E9"/>
    <w:rsid w:val="00BE18D3"/>
    <w:rsid w:val="00BE1B94"/>
    <w:rsid w:val="00BE1E33"/>
    <w:rsid w:val="00BE219B"/>
    <w:rsid w:val="00BE225F"/>
    <w:rsid w:val="00BE295F"/>
    <w:rsid w:val="00BE2C9B"/>
    <w:rsid w:val="00BE2FA8"/>
    <w:rsid w:val="00BE2FD0"/>
    <w:rsid w:val="00BE3196"/>
    <w:rsid w:val="00BE327D"/>
    <w:rsid w:val="00BE33EB"/>
    <w:rsid w:val="00BE36D3"/>
    <w:rsid w:val="00BE390D"/>
    <w:rsid w:val="00BE3A93"/>
    <w:rsid w:val="00BE3B5B"/>
    <w:rsid w:val="00BE3BE3"/>
    <w:rsid w:val="00BE3C11"/>
    <w:rsid w:val="00BE3C1F"/>
    <w:rsid w:val="00BE3E72"/>
    <w:rsid w:val="00BE4336"/>
    <w:rsid w:val="00BE4455"/>
    <w:rsid w:val="00BE4488"/>
    <w:rsid w:val="00BE4547"/>
    <w:rsid w:val="00BE4AAE"/>
    <w:rsid w:val="00BE4AD1"/>
    <w:rsid w:val="00BE4BF4"/>
    <w:rsid w:val="00BE4C15"/>
    <w:rsid w:val="00BE4D25"/>
    <w:rsid w:val="00BE4DEE"/>
    <w:rsid w:val="00BE510B"/>
    <w:rsid w:val="00BE5153"/>
    <w:rsid w:val="00BE5617"/>
    <w:rsid w:val="00BE577C"/>
    <w:rsid w:val="00BE598E"/>
    <w:rsid w:val="00BE5A79"/>
    <w:rsid w:val="00BE5EF8"/>
    <w:rsid w:val="00BE625B"/>
    <w:rsid w:val="00BE6721"/>
    <w:rsid w:val="00BE67E2"/>
    <w:rsid w:val="00BE6BC3"/>
    <w:rsid w:val="00BE6CAD"/>
    <w:rsid w:val="00BE6CE4"/>
    <w:rsid w:val="00BE718F"/>
    <w:rsid w:val="00BE75F2"/>
    <w:rsid w:val="00BE782F"/>
    <w:rsid w:val="00BE7875"/>
    <w:rsid w:val="00BE7BED"/>
    <w:rsid w:val="00BE7CD9"/>
    <w:rsid w:val="00BF00B1"/>
    <w:rsid w:val="00BF00DC"/>
    <w:rsid w:val="00BF054F"/>
    <w:rsid w:val="00BF0C33"/>
    <w:rsid w:val="00BF0C60"/>
    <w:rsid w:val="00BF0DF6"/>
    <w:rsid w:val="00BF10E2"/>
    <w:rsid w:val="00BF1287"/>
    <w:rsid w:val="00BF152B"/>
    <w:rsid w:val="00BF1569"/>
    <w:rsid w:val="00BF170D"/>
    <w:rsid w:val="00BF1CB0"/>
    <w:rsid w:val="00BF1CDD"/>
    <w:rsid w:val="00BF1EB4"/>
    <w:rsid w:val="00BF1F60"/>
    <w:rsid w:val="00BF2014"/>
    <w:rsid w:val="00BF201C"/>
    <w:rsid w:val="00BF20E7"/>
    <w:rsid w:val="00BF2106"/>
    <w:rsid w:val="00BF2380"/>
    <w:rsid w:val="00BF2456"/>
    <w:rsid w:val="00BF268E"/>
    <w:rsid w:val="00BF2914"/>
    <w:rsid w:val="00BF2A9F"/>
    <w:rsid w:val="00BF2DA9"/>
    <w:rsid w:val="00BF2DCB"/>
    <w:rsid w:val="00BF2F8E"/>
    <w:rsid w:val="00BF303C"/>
    <w:rsid w:val="00BF30DC"/>
    <w:rsid w:val="00BF319C"/>
    <w:rsid w:val="00BF3224"/>
    <w:rsid w:val="00BF32EB"/>
    <w:rsid w:val="00BF3498"/>
    <w:rsid w:val="00BF3691"/>
    <w:rsid w:val="00BF378E"/>
    <w:rsid w:val="00BF3A38"/>
    <w:rsid w:val="00BF3BF7"/>
    <w:rsid w:val="00BF3C10"/>
    <w:rsid w:val="00BF45B7"/>
    <w:rsid w:val="00BF47FC"/>
    <w:rsid w:val="00BF4DF9"/>
    <w:rsid w:val="00BF4EFE"/>
    <w:rsid w:val="00BF4F31"/>
    <w:rsid w:val="00BF4FE4"/>
    <w:rsid w:val="00BF5282"/>
    <w:rsid w:val="00BF550B"/>
    <w:rsid w:val="00BF5518"/>
    <w:rsid w:val="00BF5927"/>
    <w:rsid w:val="00BF5BE5"/>
    <w:rsid w:val="00BF5D03"/>
    <w:rsid w:val="00BF5DB9"/>
    <w:rsid w:val="00BF5DE8"/>
    <w:rsid w:val="00BF5F2A"/>
    <w:rsid w:val="00BF6433"/>
    <w:rsid w:val="00BF650E"/>
    <w:rsid w:val="00BF66BB"/>
    <w:rsid w:val="00BF69A6"/>
    <w:rsid w:val="00BF69C0"/>
    <w:rsid w:val="00BF6A24"/>
    <w:rsid w:val="00BF6BAB"/>
    <w:rsid w:val="00BF6FEA"/>
    <w:rsid w:val="00BF706D"/>
    <w:rsid w:val="00BF7199"/>
    <w:rsid w:val="00BF74F6"/>
    <w:rsid w:val="00BF752D"/>
    <w:rsid w:val="00BF798F"/>
    <w:rsid w:val="00BF7A69"/>
    <w:rsid w:val="00BF7B6D"/>
    <w:rsid w:val="00BF7B8C"/>
    <w:rsid w:val="00BF7CE2"/>
    <w:rsid w:val="00BF7FD1"/>
    <w:rsid w:val="00C00110"/>
    <w:rsid w:val="00C003ED"/>
    <w:rsid w:val="00C006F8"/>
    <w:rsid w:val="00C00B0C"/>
    <w:rsid w:val="00C00B22"/>
    <w:rsid w:val="00C00B7E"/>
    <w:rsid w:val="00C00F2E"/>
    <w:rsid w:val="00C01132"/>
    <w:rsid w:val="00C01591"/>
    <w:rsid w:val="00C0160E"/>
    <w:rsid w:val="00C018E5"/>
    <w:rsid w:val="00C01A64"/>
    <w:rsid w:val="00C01BB9"/>
    <w:rsid w:val="00C01CF5"/>
    <w:rsid w:val="00C01D98"/>
    <w:rsid w:val="00C01E11"/>
    <w:rsid w:val="00C02078"/>
    <w:rsid w:val="00C022B6"/>
    <w:rsid w:val="00C023F6"/>
    <w:rsid w:val="00C026AD"/>
    <w:rsid w:val="00C02D91"/>
    <w:rsid w:val="00C03207"/>
    <w:rsid w:val="00C0320F"/>
    <w:rsid w:val="00C03266"/>
    <w:rsid w:val="00C034CF"/>
    <w:rsid w:val="00C0359B"/>
    <w:rsid w:val="00C03666"/>
    <w:rsid w:val="00C036F3"/>
    <w:rsid w:val="00C03799"/>
    <w:rsid w:val="00C03D56"/>
    <w:rsid w:val="00C03E3B"/>
    <w:rsid w:val="00C042F2"/>
    <w:rsid w:val="00C046EB"/>
    <w:rsid w:val="00C04D6A"/>
    <w:rsid w:val="00C04DCF"/>
    <w:rsid w:val="00C04FA7"/>
    <w:rsid w:val="00C052AC"/>
    <w:rsid w:val="00C052B5"/>
    <w:rsid w:val="00C053E1"/>
    <w:rsid w:val="00C0579C"/>
    <w:rsid w:val="00C058DD"/>
    <w:rsid w:val="00C0595C"/>
    <w:rsid w:val="00C05B69"/>
    <w:rsid w:val="00C05BE0"/>
    <w:rsid w:val="00C060E0"/>
    <w:rsid w:val="00C0638F"/>
    <w:rsid w:val="00C06628"/>
    <w:rsid w:val="00C067E2"/>
    <w:rsid w:val="00C0688B"/>
    <w:rsid w:val="00C06C5E"/>
    <w:rsid w:val="00C06C7D"/>
    <w:rsid w:val="00C06ECC"/>
    <w:rsid w:val="00C070B4"/>
    <w:rsid w:val="00C0719F"/>
    <w:rsid w:val="00C07262"/>
    <w:rsid w:val="00C072FC"/>
    <w:rsid w:val="00C073B3"/>
    <w:rsid w:val="00C07415"/>
    <w:rsid w:val="00C07635"/>
    <w:rsid w:val="00C0766E"/>
    <w:rsid w:val="00C0781D"/>
    <w:rsid w:val="00C078CB"/>
    <w:rsid w:val="00C07A36"/>
    <w:rsid w:val="00C07A75"/>
    <w:rsid w:val="00C07B16"/>
    <w:rsid w:val="00C07C78"/>
    <w:rsid w:val="00C07CEC"/>
    <w:rsid w:val="00C07D72"/>
    <w:rsid w:val="00C07DD9"/>
    <w:rsid w:val="00C07EF7"/>
    <w:rsid w:val="00C07FF4"/>
    <w:rsid w:val="00C1002B"/>
    <w:rsid w:val="00C10563"/>
    <w:rsid w:val="00C1067B"/>
    <w:rsid w:val="00C107FF"/>
    <w:rsid w:val="00C1081E"/>
    <w:rsid w:val="00C10A70"/>
    <w:rsid w:val="00C10A7E"/>
    <w:rsid w:val="00C10E6B"/>
    <w:rsid w:val="00C10F29"/>
    <w:rsid w:val="00C11103"/>
    <w:rsid w:val="00C1133E"/>
    <w:rsid w:val="00C113B0"/>
    <w:rsid w:val="00C11470"/>
    <w:rsid w:val="00C114A5"/>
    <w:rsid w:val="00C116CF"/>
    <w:rsid w:val="00C1184F"/>
    <w:rsid w:val="00C1187D"/>
    <w:rsid w:val="00C11B75"/>
    <w:rsid w:val="00C11C77"/>
    <w:rsid w:val="00C11DA7"/>
    <w:rsid w:val="00C11DCB"/>
    <w:rsid w:val="00C1214E"/>
    <w:rsid w:val="00C12736"/>
    <w:rsid w:val="00C12A4C"/>
    <w:rsid w:val="00C12A81"/>
    <w:rsid w:val="00C12AED"/>
    <w:rsid w:val="00C12C69"/>
    <w:rsid w:val="00C12D44"/>
    <w:rsid w:val="00C12E61"/>
    <w:rsid w:val="00C1313F"/>
    <w:rsid w:val="00C1320F"/>
    <w:rsid w:val="00C1323D"/>
    <w:rsid w:val="00C13251"/>
    <w:rsid w:val="00C1340C"/>
    <w:rsid w:val="00C13457"/>
    <w:rsid w:val="00C13668"/>
    <w:rsid w:val="00C139E8"/>
    <w:rsid w:val="00C13AB2"/>
    <w:rsid w:val="00C13B74"/>
    <w:rsid w:val="00C13BAC"/>
    <w:rsid w:val="00C1408F"/>
    <w:rsid w:val="00C14098"/>
    <w:rsid w:val="00C140AC"/>
    <w:rsid w:val="00C14230"/>
    <w:rsid w:val="00C14239"/>
    <w:rsid w:val="00C144B1"/>
    <w:rsid w:val="00C14720"/>
    <w:rsid w:val="00C149BD"/>
    <w:rsid w:val="00C14A8F"/>
    <w:rsid w:val="00C14BB6"/>
    <w:rsid w:val="00C14E19"/>
    <w:rsid w:val="00C150A0"/>
    <w:rsid w:val="00C150B2"/>
    <w:rsid w:val="00C15122"/>
    <w:rsid w:val="00C151E9"/>
    <w:rsid w:val="00C15680"/>
    <w:rsid w:val="00C15743"/>
    <w:rsid w:val="00C15771"/>
    <w:rsid w:val="00C1593D"/>
    <w:rsid w:val="00C15A65"/>
    <w:rsid w:val="00C15EF0"/>
    <w:rsid w:val="00C1602F"/>
    <w:rsid w:val="00C1603B"/>
    <w:rsid w:val="00C162A5"/>
    <w:rsid w:val="00C16518"/>
    <w:rsid w:val="00C165DE"/>
    <w:rsid w:val="00C1663E"/>
    <w:rsid w:val="00C1677C"/>
    <w:rsid w:val="00C168BD"/>
    <w:rsid w:val="00C16CE8"/>
    <w:rsid w:val="00C16D6E"/>
    <w:rsid w:val="00C16E04"/>
    <w:rsid w:val="00C16FE4"/>
    <w:rsid w:val="00C1705D"/>
    <w:rsid w:val="00C1714F"/>
    <w:rsid w:val="00C171BD"/>
    <w:rsid w:val="00C1761B"/>
    <w:rsid w:val="00C1776E"/>
    <w:rsid w:val="00C1781E"/>
    <w:rsid w:val="00C17A4A"/>
    <w:rsid w:val="00C17BAF"/>
    <w:rsid w:val="00C17E96"/>
    <w:rsid w:val="00C17F0D"/>
    <w:rsid w:val="00C17FC8"/>
    <w:rsid w:val="00C20292"/>
    <w:rsid w:val="00C20480"/>
    <w:rsid w:val="00C20583"/>
    <w:rsid w:val="00C2082E"/>
    <w:rsid w:val="00C2094D"/>
    <w:rsid w:val="00C21120"/>
    <w:rsid w:val="00C213C0"/>
    <w:rsid w:val="00C21473"/>
    <w:rsid w:val="00C21485"/>
    <w:rsid w:val="00C2148F"/>
    <w:rsid w:val="00C21528"/>
    <w:rsid w:val="00C2157E"/>
    <w:rsid w:val="00C215C8"/>
    <w:rsid w:val="00C21875"/>
    <w:rsid w:val="00C21A84"/>
    <w:rsid w:val="00C21B52"/>
    <w:rsid w:val="00C21B89"/>
    <w:rsid w:val="00C21E82"/>
    <w:rsid w:val="00C22001"/>
    <w:rsid w:val="00C2232B"/>
    <w:rsid w:val="00C2240C"/>
    <w:rsid w:val="00C228FA"/>
    <w:rsid w:val="00C229CF"/>
    <w:rsid w:val="00C22A55"/>
    <w:rsid w:val="00C22B3E"/>
    <w:rsid w:val="00C22E91"/>
    <w:rsid w:val="00C22EB2"/>
    <w:rsid w:val="00C22F0E"/>
    <w:rsid w:val="00C22F9C"/>
    <w:rsid w:val="00C22FDA"/>
    <w:rsid w:val="00C23259"/>
    <w:rsid w:val="00C23372"/>
    <w:rsid w:val="00C23472"/>
    <w:rsid w:val="00C2351D"/>
    <w:rsid w:val="00C23864"/>
    <w:rsid w:val="00C238C2"/>
    <w:rsid w:val="00C238DC"/>
    <w:rsid w:val="00C239D7"/>
    <w:rsid w:val="00C23ABC"/>
    <w:rsid w:val="00C23B74"/>
    <w:rsid w:val="00C23C30"/>
    <w:rsid w:val="00C23D9C"/>
    <w:rsid w:val="00C24095"/>
    <w:rsid w:val="00C24476"/>
    <w:rsid w:val="00C244A5"/>
    <w:rsid w:val="00C248C7"/>
    <w:rsid w:val="00C24C0C"/>
    <w:rsid w:val="00C24E0F"/>
    <w:rsid w:val="00C24FC4"/>
    <w:rsid w:val="00C24FFB"/>
    <w:rsid w:val="00C25274"/>
    <w:rsid w:val="00C254D0"/>
    <w:rsid w:val="00C25620"/>
    <w:rsid w:val="00C256FC"/>
    <w:rsid w:val="00C2581C"/>
    <w:rsid w:val="00C25AC8"/>
    <w:rsid w:val="00C25C12"/>
    <w:rsid w:val="00C2603F"/>
    <w:rsid w:val="00C267D5"/>
    <w:rsid w:val="00C26A93"/>
    <w:rsid w:val="00C271F5"/>
    <w:rsid w:val="00C274AF"/>
    <w:rsid w:val="00C27796"/>
    <w:rsid w:val="00C30431"/>
    <w:rsid w:val="00C30648"/>
    <w:rsid w:val="00C30AE9"/>
    <w:rsid w:val="00C30D07"/>
    <w:rsid w:val="00C30EDA"/>
    <w:rsid w:val="00C30F01"/>
    <w:rsid w:val="00C3115A"/>
    <w:rsid w:val="00C316E0"/>
    <w:rsid w:val="00C317A9"/>
    <w:rsid w:val="00C31981"/>
    <w:rsid w:val="00C319DF"/>
    <w:rsid w:val="00C31A91"/>
    <w:rsid w:val="00C31B79"/>
    <w:rsid w:val="00C31C4F"/>
    <w:rsid w:val="00C31C6D"/>
    <w:rsid w:val="00C31C84"/>
    <w:rsid w:val="00C31D5A"/>
    <w:rsid w:val="00C321C4"/>
    <w:rsid w:val="00C3223A"/>
    <w:rsid w:val="00C322DA"/>
    <w:rsid w:val="00C3238C"/>
    <w:rsid w:val="00C328E8"/>
    <w:rsid w:val="00C32A8A"/>
    <w:rsid w:val="00C32C5F"/>
    <w:rsid w:val="00C32D75"/>
    <w:rsid w:val="00C32DA2"/>
    <w:rsid w:val="00C32DAA"/>
    <w:rsid w:val="00C32E22"/>
    <w:rsid w:val="00C32E5C"/>
    <w:rsid w:val="00C32F26"/>
    <w:rsid w:val="00C32F62"/>
    <w:rsid w:val="00C3310B"/>
    <w:rsid w:val="00C334DA"/>
    <w:rsid w:val="00C3356F"/>
    <w:rsid w:val="00C3362A"/>
    <w:rsid w:val="00C3362D"/>
    <w:rsid w:val="00C33831"/>
    <w:rsid w:val="00C33AAC"/>
    <w:rsid w:val="00C33BFB"/>
    <w:rsid w:val="00C34030"/>
    <w:rsid w:val="00C342BE"/>
    <w:rsid w:val="00C34331"/>
    <w:rsid w:val="00C3442F"/>
    <w:rsid w:val="00C34472"/>
    <w:rsid w:val="00C34497"/>
    <w:rsid w:val="00C344AB"/>
    <w:rsid w:val="00C344CF"/>
    <w:rsid w:val="00C3488D"/>
    <w:rsid w:val="00C348C5"/>
    <w:rsid w:val="00C34933"/>
    <w:rsid w:val="00C349CB"/>
    <w:rsid w:val="00C34A06"/>
    <w:rsid w:val="00C34A81"/>
    <w:rsid w:val="00C34A98"/>
    <w:rsid w:val="00C34AB1"/>
    <w:rsid w:val="00C34CDD"/>
    <w:rsid w:val="00C34F96"/>
    <w:rsid w:val="00C3513B"/>
    <w:rsid w:val="00C357BC"/>
    <w:rsid w:val="00C35891"/>
    <w:rsid w:val="00C35A10"/>
    <w:rsid w:val="00C35A54"/>
    <w:rsid w:val="00C35A7D"/>
    <w:rsid w:val="00C35CB5"/>
    <w:rsid w:val="00C36026"/>
    <w:rsid w:val="00C3607D"/>
    <w:rsid w:val="00C36252"/>
    <w:rsid w:val="00C3666A"/>
    <w:rsid w:val="00C368AA"/>
    <w:rsid w:val="00C36ABD"/>
    <w:rsid w:val="00C36B1D"/>
    <w:rsid w:val="00C37057"/>
    <w:rsid w:val="00C3705E"/>
    <w:rsid w:val="00C370FA"/>
    <w:rsid w:val="00C3724A"/>
    <w:rsid w:val="00C378DF"/>
    <w:rsid w:val="00C378F1"/>
    <w:rsid w:val="00C37FAF"/>
    <w:rsid w:val="00C400AD"/>
    <w:rsid w:val="00C402F2"/>
    <w:rsid w:val="00C4032A"/>
    <w:rsid w:val="00C403F2"/>
    <w:rsid w:val="00C40470"/>
    <w:rsid w:val="00C40653"/>
    <w:rsid w:val="00C4089F"/>
    <w:rsid w:val="00C40E8D"/>
    <w:rsid w:val="00C4103A"/>
    <w:rsid w:val="00C41163"/>
    <w:rsid w:val="00C4136C"/>
    <w:rsid w:val="00C41455"/>
    <w:rsid w:val="00C417BE"/>
    <w:rsid w:val="00C41AD8"/>
    <w:rsid w:val="00C41B4E"/>
    <w:rsid w:val="00C41FE5"/>
    <w:rsid w:val="00C42045"/>
    <w:rsid w:val="00C42088"/>
    <w:rsid w:val="00C420E2"/>
    <w:rsid w:val="00C425E3"/>
    <w:rsid w:val="00C42777"/>
    <w:rsid w:val="00C42839"/>
    <w:rsid w:val="00C428A5"/>
    <w:rsid w:val="00C429EC"/>
    <w:rsid w:val="00C42DA6"/>
    <w:rsid w:val="00C433CA"/>
    <w:rsid w:val="00C436A4"/>
    <w:rsid w:val="00C4392B"/>
    <w:rsid w:val="00C43EEB"/>
    <w:rsid w:val="00C4431B"/>
    <w:rsid w:val="00C44349"/>
    <w:rsid w:val="00C44560"/>
    <w:rsid w:val="00C445EB"/>
    <w:rsid w:val="00C448A7"/>
    <w:rsid w:val="00C44D1A"/>
    <w:rsid w:val="00C44F84"/>
    <w:rsid w:val="00C4500A"/>
    <w:rsid w:val="00C450FC"/>
    <w:rsid w:val="00C4516F"/>
    <w:rsid w:val="00C45285"/>
    <w:rsid w:val="00C45367"/>
    <w:rsid w:val="00C45454"/>
    <w:rsid w:val="00C4595B"/>
    <w:rsid w:val="00C45C05"/>
    <w:rsid w:val="00C45C9C"/>
    <w:rsid w:val="00C46080"/>
    <w:rsid w:val="00C4675C"/>
    <w:rsid w:val="00C4676D"/>
    <w:rsid w:val="00C467FB"/>
    <w:rsid w:val="00C46A2F"/>
    <w:rsid w:val="00C46CBE"/>
    <w:rsid w:val="00C46D0E"/>
    <w:rsid w:val="00C46E7F"/>
    <w:rsid w:val="00C46ED2"/>
    <w:rsid w:val="00C46FC9"/>
    <w:rsid w:val="00C470AC"/>
    <w:rsid w:val="00C47113"/>
    <w:rsid w:val="00C47280"/>
    <w:rsid w:val="00C47305"/>
    <w:rsid w:val="00C47315"/>
    <w:rsid w:val="00C474A7"/>
    <w:rsid w:val="00C479B5"/>
    <w:rsid w:val="00C47A27"/>
    <w:rsid w:val="00C47C70"/>
    <w:rsid w:val="00C47C9E"/>
    <w:rsid w:val="00C47FCD"/>
    <w:rsid w:val="00C50258"/>
    <w:rsid w:val="00C50330"/>
    <w:rsid w:val="00C50437"/>
    <w:rsid w:val="00C50675"/>
    <w:rsid w:val="00C50980"/>
    <w:rsid w:val="00C50B6E"/>
    <w:rsid w:val="00C50B7D"/>
    <w:rsid w:val="00C50C78"/>
    <w:rsid w:val="00C50E97"/>
    <w:rsid w:val="00C51006"/>
    <w:rsid w:val="00C51059"/>
    <w:rsid w:val="00C510BB"/>
    <w:rsid w:val="00C517C4"/>
    <w:rsid w:val="00C5182D"/>
    <w:rsid w:val="00C5198F"/>
    <w:rsid w:val="00C51C42"/>
    <w:rsid w:val="00C51D38"/>
    <w:rsid w:val="00C51DEC"/>
    <w:rsid w:val="00C52174"/>
    <w:rsid w:val="00C522C8"/>
    <w:rsid w:val="00C52423"/>
    <w:rsid w:val="00C5278C"/>
    <w:rsid w:val="00C529E6"/>
    <w:rsid w:val="00C52A56"/>
    <w:rsid w:val="00C52C25"/>
    <w:rsid w:val="00C52E92"/>
    <w:rsid w:val="00C535CF"/>
    <w:rsid w:val="00C536E7"/>
    <w:rsid w:val="00C539B1"/>
    <w:rsid w:val="00C53B5D"/>
    <w:rsid w:val="00C53B98"/>
    <w:rsid w:val="00C53E9C"/>
    <w:rsid w:val="00C547C3"/>
    <w:rsid w:val="00C54864"/>
    <w:rsid w:val="00C54B31"/>
    <w:rsid w:val="00C54B88"/>
    <w:rsid w:val="00C54CBC"/>
    <w:rsid w:val="00C54DA5"/>
    <w:rsid w:val="00C54E3B"/>
    <w:rsid w:val="00C54E56"/>
    <w:rsid w:val="00C55130"/>
    <w:rsid w:val="00C5565D"/>
    <w:rsid w:val="00C556DA"/>
    <w:rsid w:val="00C5593F"/>
    <w:rsid w:val="00C55B46"/>
    <w:rsid w:val="00C55E58"/>
    <w:rsid w:val="00C55EBD"/>
    <w:rsid w:val="00C5612C"/>
    <w:rsid w:val="00C564B4"/>
    <w:rsid w:val="00C5656B"/>
    <w:rsid w:val="00C56829"/>
    <w:rsid w:val="00C56832"/>
    <w:rsid w:val="00C56D61"/>
    <w:rsid w:val="00C56F5B"/>
    <w:rsid w:val="00C57365"/>
    <w:rsid w:val="00C5767A"/>
    <w:rsid w:val="00C57702"/>
    <w:rsid w:val="00C57870"/>
    <w:rsid w:val="00C57894"/>
    <w:rsid w:val="00C578A1"/>
    <w:rsid w:val="00C57931"/>
    <w:rsid w:val="00C57A1C"/>
    <w:rsid w:val="00C57C7B"/>
    <w:rsid w:val="00C57E3C"/>
    <w:rsid w:val="00C600F4"/>
    <w:rsid w:val="00C60193"/>
    <w:rsid w:val="00C60240"/>
    <w:rsid w:val="00C6026C"/>
    <w:rsid w:val="00C60333"/>
    <w:rsid w:val="00C607B8"/>
    <w:rsid w:val="00C60816"/>
    <w:rsid w:val="00C609A7"/>
    <w:rsid w:val="00C60BC0"/>
    <w:rsid w:val="00C60DA8"/>
    <w:rsid w:val="00C60E08"/>
    <w:rsid w:val="00C60E77"/>
    <w:rsid w:val="00C611B2"/>
    <w:rsid w:val="00C6131D"/>
    <w:rsid w:val="00C616E0"/>
    <w:rsid w:val="00C618EB"/>
    <w:rsid w:val="00C619E4"/>
    <w:rsid w:val="00C61A21"/>
    <w:rsid w:val="00C61BCF"/>
    <w:rsid w:val="00C61BDE"/>
    <w:rsid w:val="00C61E6B"/>
    <w:rsid w:val="00C61F46"/>
    <w:rsid w:val="00C61FD9"/>
    <w:rsid w:val="00C6200E"/>
    <w:rsid w:val="00C624A2"/>
    <w:rsid w:val="00C626FB"/>
    <w:rsid w:val="00C62712"/>
    <w:rsid w:val="00C62851"/>
    <w:rsid w:val="00C628BB"/>
    <w:rsid w:val="00C62B9B"/>
    <w:rsid w:val="00C62E03"/>
    <w:rsid w:val="00C62FA4"/>
    <w:rsid w:val="00C6302A"/>
    <w:rsid w:val="00C63291"/>
    <w:rsid w:val="00C63322"/>
    <w:rsid w:val="00C63348"/>
    <w:rsid w:val="00C635FB"/>
    <w:rsid w:val="00C63881"/>
    <w:rsid w:val="00C63890"/>
    <w:rsid w:val="00C63999"/>
    <w:rsid w:val="00C63C37"/>
    <w:rsid w:val="00C63DFB"/>
    <w:rsid w:val="00C6400C"/>
    <w:rsid w:val="00C64172"/>
    <w:rsid w:val="00C641CF"/>
    <w:rsid w:val="00C645D7"/>
    <w:rsid w:val="00C647CB"/>
    <w:rsid w:val="00C64874"/>
    <w:rsid w:val="00C648DE"/>
    <w:rsid w:val="00C64A77"/>
    <w:rsid w:val="00C64B02"/>
    <w:rsid w:val="00C64B25"/>
    <w:rsid w:val="00C64F3A"/>
    <w:rsid w:val="00C65163"/>
    <w:rsid w:val="00C65326"/>
    <w:rsid w:val="00C6538B"/>
    <w:rsid w:val="00C653B1"/>
    <w:rsid w:val="00C6555F"/>
    <w:rsid w:val="00C65649"/>
    <w:rsid w:val="00C656A0"/>
    <w:rsid w:val="00C656C3"/>
    <w:rsid w:val="00C65721"/>
    <w:rsid w:val="00C6572B"/>
    <w:rsid w:val="00C65918"/>
    <w:rsid w:val="00C65B6C"/>
    <w:rsid w:val="00C65BA8"/>
    <w:rsid w:val="00C65E61"/>
    <w:rsid w:val="00C65EE6"/>
    <w:rsid w:val="00C65F77"/>
    <w:rsid w:val="00C66079"/>
    <w:rsid w:val="00C660FB"/>
    <w:rsid w:val="00C6613A"/>
    <w:rsid w:val="00C6630E"/>
    <w:rsid w:val="00C664F7"/>
    <w:rsid w:val="00C66617"/>
    <w:rsid w:val="00C66755"/>
    <w:rsid w:val="00C6679D"/>
    <w:rsid w:val="00C667E9"/>
    <w:rsid w:val="00C66E98"/>
    <w:rsid w:val="00C670B8"/>
    <w:rsid w:val="00C67161"/>
    <w:rsid w:val="00C6756D"/>
    <w:rsid w:val="00C675FA"/>
    <w:rsid w:val="00C676AC"/>
    <w:rsid w:val="00C67A14"/>
    <w:rsid w:val="00C67A47"/>
    <w:rsid w:val="00C67A96"/>
    <w:rsid w:val="00C67B8D"/>
    <w:rsid w:val="00C67DE5"/>
    <w:rsid w:val="00C67F45"/>
    <w:rsid w:val="00C67FED"/>
    <w:rsid w:val="00C7015C"/>
    <w:rsid w:val="00C7021A"/>
    <w:rsid w:val="00C70688"/>
    <w:rsid w:val="00C7068B"/>
    <w:rsid w:val="00C70768"/>
    <w:rsid w:val="00C708E5"/>
    <w:rsid w:val="00C7097A"/>
    <w:rsid w:val="00C709F8"/>
    <w:rsid w:val="00C70B80"/>
    <w:rsid w:val="00C70CFD"/>
    <w:rsid w:val="00C7140B"/>
    <w:rsid w:val="00C71425"/>
    <w:rsid w:val="00C715DB"/>
    <w:rsid w:val="00C7168C"/>
    <w:rsid w:val="00C71698"/>
    <w:rsid w:val="00C716B0"/>
    <w:rsid w:val="00C7184B"/>
    <w:rsid w:val="00C71FBF"/>
    <w:rsid w:val="00C72044"/>
    <w:rsid w:val="00C7220A"/>
    <w:rsid w:val="00C722DB"/>
    <w:rsid w:val="00C7237E"/>
    <w:rsid w:val="00C72754"/>
    <w:rsid w:val="00C72A34"/>
    <w:rsid w:val="00C72BAC"/>
    <w:rsid w:val="00C72CC3"/>
    <w:rsid w:val="00C72D31"/>
    <w:rsid w:val="00C72D40"/>
    <w:rsid w:val="00C72DDA"/>
    <w:rsid w:val="00C730A8"/>
    <w:rsid w:val="00C730DE"/>
    <w:rsid w:val="00C731DF"/>
    <w:rsid w:val="00C73256"/>
    <w:rsid w:val="00C733DF"/>
    <w:rsid w:val="00C73417"/>
    <w:rsid w:val="00C7357B"/>
    <w:rsid w:val="00C7384F"/>
    <w:rsid w:val="00C73B02"/>
    <w:rsid w:val="00C73B4C"/>
    <w:rsid w:val="00C73E35"/>
    <w:rsid w:val="00C73E39"/>
    <w:rsid w:val="00C73E72"/>
    <w:rsid w:val="00C73E75"/>
    <w:rsid w:val="00C74010"/>
    <w:rsid w:val="00C7425D"/>
    <w:rsid w:val="00C742AB"/>
    <w:rsid w:val="00C742F4"/>
    <w:rsid w:val="00C743E5"/>
    <w:rsid w:val="00C7446E"/>
    <w:rsid w:val="00C74491"/>
    <w:rsid w:val="00C7457D"/>
    <w:rsid w:val="00C745C0"/>
    <w:rsid w:val="00C74706"/>
    <w:rsid w:val="00C749A4"/>
    <w:rsid w:val="00C74A08"/>
    <w:rsid w:val="00C74ADE"/>
    <w:rsid w:val="00C74B05"/>
    <w:rsid w:val="00C74D2E"/>
    <w:rsid w:val="00C74DF1"/>
    <w:rsid w:val="00C74E5B"/>
    <w:rsid w:val="00C74EBA"/>
    <w:rsid w:val="00C74FA0"/>
    <w:rsid w:val="00C74FAA"/>
    <w:rsid w:val="00C74FC1"/>
    <w:rsid w:val="00C75443"/>
    <w:rsid w:val="00C75526"/>
    <w:rsid w:val="00C755A7"/>
    <w:rsid w:val="00C75611"/>
    <w:rsid w:val="00C75614"/>
    <w:rsid w:val="00C756D3"/>
    <w:rsid w:val="00C758AF"/>
    <w:rsid w:val="00C75AF5"/>
    <w:rsid w:val="00C75E90"/>
    <w:rsid w:val="00C75F9A"/>
    <w:rsid w:val="00C761FA"/>
    <w:rsid w:val="00C763D8"/>
    <w:rsid w:val="00C76532"/>
    <w:rsid w:val="00C76644"/>
    <w:rsid w:val="00C76667"/>
    <w:rsid w:val="00C7687F"/>
    <w:rsid w:val="00C768FB"/>
    <w:rsid w:val="00C76BE8"/>
    <w:rsid w:val="00C76D72"/>
    <w:rsid w:val="00C76E68"/>
    <w:rsid w:val="00C76E7D"/>
    <w:rsid w:val="00C7708C"/>
    <w:rsid w:val="00C77277"/>
    <w:rsid w:val="00C772D4"/>
    <w:rsid w:val="00C777F2"/>
    <w:rsid w:val="00C779DA"/>
    <w:rsid w:val="00C77A44"/>
    <w:rsid w:val="00C77D4B"/>
    <w:rsid w:val="00C77E72"/>
    <w:rsid w:val="00C8018E"/>
    <w:rsid w:val="00C80331"/>
    <w:rsid w:val="00C8041B"/>
    <w:rsid w:val="00C80574"/>
    <w:rsid w:val="00C807DC"/>
    <w:rsid w:val="00C8092A"/>
    <w:rsid w:val="00C80997"/>
    <w:rsid w:val="00C809AB"/>
    <w:rsid w:val="00C809DC"/>
    <w:rsid w:val="00C80B63"/>
    <w:rsid w:val="00C80BDD"/>
    <w:rsid w:val="00C80EFD"/>
    <w:rsid w:val="00C80FF6"/>
    <w:rsid w:val="00C812C3"/>
    <w:rsid w:val="00C81493"/>
    <w:rsid w:val="00C81533"/>
    <w:rsid w:val="00C816B2"/>
    <w:rsid w:val="00C81711"/>
    <w:rsid w:val="00C81C5C"/>
    <w:rsid w:val="00C8200D"/>
    <w:rsid w:val="00C8201A"/>
    <w:rsid w:val="00C8208C"/>
    <w:rsid w:val="00C821D4"/>
    <w:rsid w:val="00C8224A"/>
    <w:rsid w:val="00C8242B"/>
    <w:rsid w:val="00C82434"/>
    <w:rsid w:val="00C8248E"/>
    <w:rsid w:val="00C826EC"/>
    <w:rsid w:val="00C82706"/>
    <w:rsid w:val="00C82B00"/>
    <w:rsid w:val="00C82B22"/>
    <w:rsid w:val="00C82F23"/>
    <w:rsid w:val="00C83095"/>
    <w:rsid w:val="00C83265"/>
    <w:rsid w:val="00C8346B"/>
    <w:rsid w:val="00C83967"/>
    <w:rsid w:val="00C8397D"/>
    <w:rsid w:val="00C83A9D"/>
    <w:rsid w:val="00C83B67"/>
    <w:rsid w:val="00C83BFF"/>
    <w:rsid w:val="00C83C74"/>
    <w:rsid w:val="00C83D65"/>
    <w:rsid w:val="00C842CE"/>
    <w:rsid w:val="00C8472A"/>
    <w:rsid w:val="00C84B75"/>
    <w:rsid w:val="00C84BAC"/>
    <w:rsid w:val="00C84E98"/>
    <w:rsid w:val="00C851DF"/>
    <w:rsid w:val="00C8522D"/>
    <w:rsid w:val="00C85871"/>
    <w:rsid w:val="00C8600E"/>
    <w:rsid w:val="00C86076"/>
    <w:rsid w:val="00C861EF"/>
    <w:rsid w:val="00C8638B"/>
    <w:rsid w:val="00C86536"/>
    <w:rsid w:val="00C867ED"/>
    <w:rsid w:val="00C8692A"/>
    <w:rsid w:val="00C869EE"/>
    <w:rsid w:val="00C86AB6"/>
    <w:rsid w:val="00C86B1B"/>
    <w:rsid w:val="00C86CC7"/>
    <w:rsid w:val="00C86CFB"/>
    <w:rsid w:val="00C871A2"/>
    <w:rsid w:val="00C87283"/>
    <w:rsid w:val="00C87437"/>
    <w:rsid w:val="00C87438"/>
    <w:rsid w:val="00C8743D"/>
    <w:rsid w:val="00C87542"/>
    <w:rsid w:val="00C875A3"/>
    <w:rsid w:val="00C87814"/>
    <w:rsid w:val="00C87C47"/>
    <w:rsid w:val="00C9045E"/>
    <w:rsid w:val="00C907B6"/>
    <w:rsid w:val="00C90857"/>
    <w:rsid w:val="00C909D0"/>
    <w:rsid w:val="00C90C66"/>
    <w:rsid w:val="00C90D37"/>
    <w:rsid w:val="00C90ED3"/>
    <w:rsid w:val="00C90F35"/>
    <w:rsid w:val="00C9121D"/>
    <w:rsid w:val="00C9143C"/>
    <w:rsid w:val="00C91B58"/>
    <w:rsid w:val="00C91CCC"/>
    <w:rsid w:val="00C91D6A"/>
    <w:rsid w:val="00C91F88"/>
    <w:rsid w:val="00C9227D"/>
    <w:rsid w:val="00C9231F"/>
    <w:rsid w:val="00C923E4"/>
    <w:rsid w:val="00C9268E"/>
    <w:rsid w:val="00C926B4"/>
    <w:rsid w:val="00C927E8"/>
    <w:rsid w:val="00C92988"/>
    <w:rsid w:val="00C92A44"/>
    <w:rsid w:val="00C92A82"/>
    <w:rsid w:val="00C92AF0"/>
    <w:rsid w:val="00C92F8F"/>
    <w:rsid w:val="00C92FB3"/>
    <w:rsid w:val="00C932A3"/>
    <w:rsid w:val="00C933C5"/>
    <w:rsid w:val="00C939BA"/>
    <w:rsid w:val="00C93A4F"/>
    <w:rsid w:val="00C93B19"/>
    <w:rsid w:val="00C93B84"/>
    <w:rsid w:val="00C93BF0"/>
    <w:rsid w:val="00C93E1E"/>
    <w:rsid w:val="00C94082"/>
    <w:rsid w:val="00C942BE"/>
    <w:rsid w:val="00C94347"/>
    <w:rsid w:val="00C9483E"/>
    <w:rsid w:val="00C94887"/>
    <w:rsid w:val="00C94A30"/>
    <w:rsid w:val="00C94A5B"/>
    <w:rsid w:val="00C9508B"/>
    <w:rsid w:val="00C95286"/>
    <w:rsid w:val="00C95318"/>
    <w:rsid w:val="00C953C0"/>
    <w:rsid w:val="00C955B7"/>
    <w:rsid w:val="00C95645"/>
    <w:rsid w:val="00C958C8"/>
    <w:rsid w:val="00C95A3D"/>
    <w:rsid w:val="00C95AD4"/>
    <w:rsid w:val="00C95B49"/>
    <w:rsid w:val="00C95D75"/>
    <w:rsid w:val="00C9694D"/>
    <w:rsid w:val="00C96D2F"/>
    <w:rsid w:val="00C96F04"/>
    <w:rsid w:val="00C970C7"/>
    <w:rsid w:val="00C973DC"/>
    <w:rsid w:val="00C97415"/>
    <w:rsid w:val="00C976A9"/>
    <w:rsid w:val="00C977CF"/>
    <w:rsid w:val="00C978AF"/>
    <w:rsid w:val="00C9796F"/>
    <w:rsid w:val="00C979EF"/>
    <w:rsid w:val="00C97B4D"/>
    <w:rsid w:val="00C97DD1"/>
    <w:rsid w:val="00C97F51"/>
    <w:rsid w:val="00C97FE4"/>
    <w:rsid w:val="00CA0084"/>
    <w:rsid w:val="00CA02E9"/>
    <w:rsid w:val="00CA033D"/>
    <w:rsid w:val="00CA0761"/>
    <w:rsid w:val="00CA0813"/>
    <w:rsid w:val="00CA089D"/>
    <w:rsid w:val="00CA090C"/>
    <w:rsid w:val="00CA0DA0"/>
    <w:rsid w:val="00CA0F0F"/>
    <w:rsid w:val="00CA0F48"/>
    <w:rsid w:val="00CA0FE3"/>
    <w:rsid w:val="00CA140C"/>
    <w:rsid w:val="00CA17A5"/>
    <w:rsid w:val="00CA1910"/>
    <w:rsid w:val="00CA1985"/>
    <w:rsid w:val="00CA1B3A"/>
    <w:rsid w:val="00CA1B93"/>
    <w:rsid w:val="00CA1BD7"/>
    <w:rsid w:val="00CA1CE8"/>
    <w:rsid w:val="00CA23B3"/>
    <w:rsid w:val="00CA2635"/>
    <w:rsid w:val="00CA28FA"/>
    <w:rsid w:val="00CA2AD6"/>
    <w:rsid w:val="00CA2ADC"/>
    <w:rsid w:val="00CA2C63"/>
    <w:rsid w:val="00CA2E23"/>
    <w:rsid w:val="00CA2E79"/>
    <w:rsid w:val="00CA3045"/>
    <w:rsid w:val="00CA3492"/>
    <w:rsid w:val="00CA35CF"/>
    <w:rsid w:val="00CA36B7"/>
    <w:rsid w:val="00CA39CB"/>
    <w:rsid w:val="00CA39DF"/>
    <w:rsid w:val="00CA3D5B"/>
    <w:rsid w:val="00CA3E5B"/>
    <w:rsid w:val="00CA3F9B"/>
    <w:rsid w:val="00CA40AC"/>
    <w:rsid w:val="00CA40FA"/>
    <w:rsid w:val="00CA41A1"/>
    <w:rsid w:val="00CA43DD"/>
    <w:rsid w:val="00CA44FD"/>
    <w:rsid w:val="00CA46F0"/>
    <w:rsid w:val="00CA4A7F"/>
    <w:rsid w:val="00CA4B7D"/>
    <w:rsid w:val="00CA4B90"/>
    <w:rsid w:val="00CA4BD4"/>
    <w:rsid w:val="00CA4CCB"/>
    <w:rsid w:val="00CA4D64"/>
    <w:rsid w:val="00CA4D87"/>
    <w:rsid w:val="00CA4DE5"/>
    <w:rsid w:val="00CA4F88"/>
    <w:rsid w:val="00CA4F98"/>
    <w:rsid w:val="00CA5328"/>
    <w:rsid w:val="00CA5401"/>
    <w:rsid w:val="00CA5501"/>
    <w:rsid w:val="00CA564C"/>
    <w:rsid w:val="00CA5739"/>
    <w:rsid w:val="00CA5747"/>
    <w:rsid w:val="00CA581C"/>
    <w:rsid w:val="00CA5881"/>
    <w:rsid w:val="00CA5BCB"/>
    <w:rsid w:val="00CA6440"/>
    <w:rsid w:val="00CA6515"/>
    <w:rsid w:val="00CA6673"/>
    <w:rsid w:val="00CA6AF2"/>
    <w:rsid w:val="00CA6D52"/>
    <w:rsid w:val="00CA6D72"/>
    <w:rsid w:val="00CA6F4D"/>
    <w:rsid w:val="00CA6FEC"/>
    <w:rsid w:val="00CA7188"/>
    <w:rsid w:val="00CA7335"/>
    <w:rsid w:val="00CA7991"/>
    <w:rsid w:val="00CA7B18"/>
    <w:rsid w:val="00CA7D12"/>
    <w:rsid w:val="00CA7D74"/>
    <w:rsid w:val="00CA7E29"/>
    <w:rsid w:val="00CA7E60"/>
    <w:rsid w:val="00CB0037"/>
    <w:rsid w:val="00CB00A0"/>
    <w:rsid w:val="00CB02F2"/>
    <w:rsid w:val="00CB0326"/>
    <w:rsid w:val="00CB039A"/>
    <w:rsid w:val="00CB047F"/>
    <w:rsid w:val="00CB052C"/>
    <w:rsid w:val="00CB06B7"/>
    <w:rsid w:val="00CB075B"/>
    <w:rsid w:val="00CB0A94"/>
    <w:rsid w:val="00CB0C35"/>
    <w:rsid w:val="00CB0CD9"/>
    <w:rsid w:val="00CB0EA0"/>
    <w:rsid w:val="00CB0EC6"/>
    <w:rsid w:val="00CB1112"/>
    <w:rsid w:val="00CB1249"/>
    <w:rsid w:val="00CB147E"/>
    <w:rsid w:val="00CB15F6"/>
    <w:rsid w:val="00CB18EA"/>
    <w:rsid w:val="00CB1938"/>
    <w:rsid w:val="00CB1C60"/>
    <w:rsid w:val="00CB1CA3"/>
    <w:rsid w:val="00CB1EB8"/>
    <w:rsid w:val="00CB2196"/>
    <w:rsid w:val="00CB2499"/>
    <w:rsid w:val="00CB2642"/>
    <w:rsid w:val="00CB267D"/>
    <w:rsid w:val="00CB27F1"/>
    <w:rsid w:val="00CB28D8"/>
    <w:rsid w:val="00CB2CFB"/>
    <w:rsid w:val="00CB2D8F"/>
    <w:rsid w:val="00CB2DF4"/>
    <w:rsid w:val="00CB2E10"/>
    <w:rsid w:val="00CB3060"/>
    <w:rsid w:val="00CB30C4"/>
    <w:rsid w:val="00CB3270"/>
    <w:rsid w:val="00CB3320"/>
    <w:rsid w:val="00CB335E"/>
    <w:rsid w:val="00CB33A2"/>
    <w:rsid w:val="00CB34A1"/>
    <w:rsid w:val="00CB35F6"/>
    <w:rsid w:val="00CB3613"/>
    <w:rsid w:val="00CB368C"/>
    <w:rsid w:val="00CB3B18"/>
    <w:rsid w:val="00CB3BD9"/>
    <w:rsid w:val="00CB3C2F"/>
    <w:rsid w:val="00CB3D61"/>
    <w:rsid w:val="00CB3DCF"/>
    <w:rsid w:val="00CB4077"/>
    <w:rsid w:val="00CB4505"/>
    <w:rsid w:val="00CB4848"/>
    <w:rsid w:val="00CB4997"/>
    <w:rsid w:val="00CB4A9C"/>
    <w:rsid w:val="00CB4E37"/>
    <w:rsid w:val="00CB4EE4"/>
    <w:rsid w:val="00CB502E"/>
    <w:rsid w:val="00CB5107"/>
    <w:rsid w:val="00CB513B"/>
    <w:rsid w:val="00CB53F3"/>
    <w:rsid w:val="00CB576D"/>
    <w:rsid w:val="00CB5806"/>
    <w:rsid w:val="00CB5BD4"/>
    <w:rsid w:val="00CB5BE4"/>
    <w:rsid w:val="00CB5C3F"/>
    <w:rsid w:val="00CB5EF3"/>
    <w:rsid w:val="00CB5F20"/>
    <w:rsid w:val="00CB6147"/>
    <w:rsid w:val="00CB6288"/>
    <w:rsid w:val="00CB6396"/>
    <w:rsid w:val="00CB643E"/>
    <w:rsid w:val="00CB64E6"/>
    <w:rsid w:val="00CB65FA"/>
    <w:rsid w:val="00CB69D6"/>
    <w:rsid w:val="00CB6A9A"/>
    <w:rsid w:val="00CB6AD0"/>
    <w:rsid w:val="00CB6B1F"/>
    <w:rsid w:val="00CB6D79"/>
    <w:rsid w:val="00CB6E3F"/>
    <w:rsid w:val="00CB6EB1"/>
    <w:rsid w:val="00CB6FC1"/>
    <w:rsid w:val="00CB734C"/>
    <w:rsid w:val="00CB73CD"/>
    <w:rsid w:val="00CB7452"/>
    <w:rsid w:val="00CB7650"/>
    <w:rsid w:val="00CB776D"/>
    <w:rsid w:val="00CB7936"/>
    <w:rsid w:val="00CB7A56"/>
    <w:rsid w:val="00CB7A8D"/>
    <w:rsid w:val="00CB7B4E"/>
    <w:rsid w:val="00CB7E88"/>
    <w:rsid w:val="00CB7F25"/>
    <w:rsid w:val="00CC00AD"/>
    <w:rsid w:val="00CC00F9"/>
    <w:rsid w:val="00CC0266"/>
    <w:rsid w:val="00CC03E2"/>
    <w:rsid w:val="00CC0420"/>
    <w:rsid w:val="00CC062D"/>
    <w:rsid w:val="00CC0C68"/>
    <w:rsid w:val="00CC0EE2"/>
    <w:rsid w:val="00CC0F38"/>
    <w:rsid w:val="00CC1081"/>
    <w:rsid w:val="00CC10DA"/>
    <w:rsid w:val="00CC13DB"/>
    <w:rsid w:val="00CC15D8"/>
    <w:rsid w:val="00CC1BAC"/>
    <w:rsid w:val="00CC1C6F"/>
    <w:rsid w:val="00CC1CD0"/>
    <w:rsid w:val="00CC1E58"/>
    <w:rsid w:val="00CC1ED6"/>
    <w:rsid w:val="00CC21B1"/>
    <w:rsid w:val="00CC2227"/>
    <w:rsid w:val="00CC23BB"/>
    <w:rsid w:val="00CC2754"/>
    <w:rsid w:val="00CC2887"/>
    <w:rsid w:val="00CC28CB"/>
    <w:rsid w:val="00CC29AF"/>
    <w:rsid w:val="00CC2A7E"/>
    <w:rsid w:val="00CC2A8C"/>
    <w:rsid w:val="00CC2BC5"/>
    <w:rsid w:val="00CC2BDD"/>
    <w:rsid w:val="00CC2C9B"/>
    <w:rsid w:val="00CC2CE0"/>
    <w:rsid w:val="00CC30A1"/>
    <w:rsid w:val="00CC351F"/>
    <w:rsid w:val="00CC3554"/>
    <w:rsid w:val="00CC3982"/>
    <w:rsid w:val="00CC3E52"/>
    <w:rsid w:val="00CC3FCC"/>
    <w:rsid w:val="00CC4262"/>
    <w:rsid w:val="00CC4285"/>
    <w:rsid w:val="00CC4435"/>
    <w:rsid w:val="00CC4453"/>
    <w:rsid w:val="00CC44D6"/>
    <w:rsid w:val="00CC46D3"/>
    <w:rsid w:val="00CC474D"/>
    <w:rsid w:val="00CC47C5"/>
    <w:rsid w:val="00CC49EC"/>
    <w:rsid w:val="00CC4B4F"/>
    <w:rsid w:val="00CC4BEA"/>
    <w:rsid w:val="00CC4C8E"/>
    <w:rsid w:val="00CC4D74"/>
    <w:rsid w:val="00CC4E0D"/>
    <w:rsid w:val="00CC4F4C"/>
    <w:rsid w:val="00CC5312"/>
    <w:rsid w:val="00CC56BA"/>
    <w:rsid w:val="00CC56D8"/>
    <w:rsid w:val="00CC58D9"/>
    <w:rsid w:val="00CC59C7"/>
    <w:rsid w:val="00CC5A2E"/>
    <w:rsid w:val="00CC5C1A"/>
    <w:rsid w:val="00CC5CC7"/>
    <w:rsid w:val="00CC5EED"/>
    <w:rsid w:val="00CC6072"/>
    <w:rsid w:val="00CC61F2"/>
    <w:rsid w:val="00CC62F2"/>
    <w:rsid w:val="00CC67B4"/>
    <w:rsid w:val="00CC6935"/>
    <w:rsid w:val="00CC6994"/>
    <w:rsid w:val="00CC6AB1"/>
    <w:rsid w:val="00CC6F2F"/>
    <w:rsid w:val="00CC6F62"/>
    <w:rsid w:val="00CC703D"/>
    <w:rsid w:val="00CC70B2"/>
    <w:rsid w:val="00CC70D4"/>
    <w:rsid w:val="00CC7297"/>
    <w:rsid w:val="00CC7361"/>
    <w:rsid w:val="00CC762B"/>
    <w:rsid w:val="00CC7684"/>
    <w:rsid w:val="00CC7A44"/>
    <w:rsid w:val="00CC7B0F"/>
    <w:rsid w:val="00CC7C69"/>
    <w:rsid w:val="00CC7D55"/>
    <w:rsid w:val="00CC7E47"/>
    <w:rsid w:val="00CC7EAD"/>
    <w:rsid w:val="00CC7FB7"/>
    <w:rsid w:val="00CD02FF"/>
    <w:rsid w:val="00CD03AA"/>
    <w:rsid w:val="00CD044F"/>
    <w:rsid w:val="00CD05FC"/>
    <w:rsid w:val="00CD0809"/>
    <w:rsid w:val="00CD0838"/>
    <w:rsid w:val="00CD0A61"/>
    <w:rsid w:val="00CD0C71"/>
    <w:rsid w:val="00CD0D3F"/>
    <w:rsid w:val="00CD0DFB"/>
    <w:rsid w:val="00CD0E1C"/>
    <w:rsid w:val="00CD100E"/>
    <w:rsid w:val="00CD1117"/>
    <w:rsid w:val="00CD11FE"/>
    <w:rsid w:val="00CD13D5"/>
    <w:rsid w:val="00CD1415"/>
    <w:rsid w:val="00CD15FF"/>
    <w:rsid w:val="00CD161B"/>
    <w:rsid w:val="00CD1698"/>
    <w:rsid w:val="00CD1799"/>
    <w:rsid w:val="00CD17D9"/>
    <w:rsid w:val="00CD1801"/>
    <w:rsid w:val="00CD186D"/>
    <w:rsid w:val="00CD1936"/>
    <w:rsid w:val="00CD194E"/>
    <w:rsid w:val="00CD1A15"/>
    <w:rsid w:val="00CD1C04"/>
    <w:rsid w:val="00CD1C1F"/>
    <w:rsid w:val="00CD23AB"/>
    <w:rsid w:val="00CD23BF"/>
    <w:rsid w:val="00CD2466"/>
    <w:rsid w:val="00CD2625"/>
    <w:rsid w:val="00CD2705"/>
    <w:rsid w:val="00CD29E6"/>
    <w:rsid w:val="00CD2A7A"/>
    <w:rsid w:val="00CD2AAF"/>
    <w:rsid w:val="00CD2B84"/>
    <w:rsid w:val="00CD2C1E"/>
    <w:rsid w:val="00CD2FAC"/>
    <w:rsid w:val="00CD2FCF"/>
    <w:rsid w:val="00CD310F"/>
    <w:rsid w:val="00CD31A2"/>
    <w:rsid w:val="00CD3530"/>
    <w:rsid w:val="00CD3789"/>
    <w:rsid w:val="00CD37A3"/>
    <w:rsid w:val="00CD3AD9"/>
    <w:rsid w:val="00CD3B03"/>
    <w:rsid w:val="00CD4095"/>
    <w:rsid w:val="00CD418B"/>
    <w:rsid w:val="00CD431E"/>
    <w:rsid w:val="00CD4B53"/>
    <w:rsid w:val="00CD4CD9"/>
    <w:rsid w:val="00CD4CFB"/>
    <w:rsid w:val="00CD4D99"/>
    <w:rsid w:val="00CD4FD7"/>
    <w:rsid w:val="00CD50DD"/>
    <w:rsid w:val="00CD510C"/>
    <w:rsid w:val="00CD510D"/>
    <w:rsid w:val="00CD54AC"/>
    <w:rsid w:val="00CD5A3C"/>
    <w:rsid w:val="00CD5B45"/>
    <w:rsid w:val="00CD5C61"/>
    <w:rsid w:val="00CD5F51"/>
    <w:rsid w:val="00CD5F62"/>
    <w:rsid w:val="00CD6088"/>
    <w:rsid w:val="00CD63B9"/>
    <w:rsid w:val="00CD6645"/>
    <w:rsid w:val="00CD67DA"/>
    <w:rsid w:val="00CD6A47"/>
    <w:rsid w:val="00CD6EF2"/>
    <w:rsid w:val="00CD71EF"/>
    <w:rsid w:val="00CD727C"/>
    <w:rsid w:val="00CD73AF"/>
    <w:rsid w:val="00CD7438"/>
    <w:rsid w:val="00CD758D"/>
    <w:rsid w:val="00CD7795"/>
    <w:rsid w:val="00CD7816"/>
    <w:rsid w:val="00CD7A86"/>
    <w:rsid w:val="00CD7F65"/>
    <w:rsid w:val="00CE0087"/>
    <w:rsid w:val="00CE0136"/>
    <w:rsid w:val="00CE01B4"/>
    <w:rsid w:val="00CE027D"/>
    <w:rsid w:val="00CE02C6"/>
    <w:rsid w:val="00CE08FD"/>
    <w:rsid w:val="00CE0908"/>
    <w:rsid w:val="00CE0D4C"/>
    <w:rsid w:val="00CE0E18"/>
    <w:rsid w:val="00CE1272"/>
    <w:rsid w:val="00CE1472"/>
    <w:rsid w:val="00CE1482"/>
    <w:rsid w:val="00CE1581"/>
    <w:rsid w:val="00CE1614"/>
    <w:rsid w:val="00CE16A3"/>
    <w:rsid w:val="00CE16BC"/>
    <w:rsid w:val="00CE1AAA"/>
    <w:rsid w:val="00CE1DDF"/>
    <w:rsid w:val="00CE1E25"/>
    <w:rsid w:val="00CE20CD"/>
    <w:rsid w:val="00CE212B"/>
    <w:rsid w:val="00CE216D"/>
    <w:rsid w:val="00CE2207"/>
    <w:rsid w:val="00CE2A50"/>
    <w:rsid w:val="00CE2CBF"/>
    <w:rsid w:val="00CE2EDC"/>
    <w:rsid w:val="00CE3026"/>
    <w:rsid w:val="00CE32AA"/>
    <w:rsid w:val="00CE3309"/>
    <w:rsid w:val="00CE33E2"/>
    <w:rsid w:val="00CE33E6"/>
    <w:rsid w:val="00CE34D2"/>
    <w:rsid w:val="00CE36BC"/>
    <w:rsid w:val="00CE36E7"/>
    <w:rsid w:val="00CE3BDF"/>
    <w:rsid w:val="00CE3D25"/>
    <w:rsid w:val="00CE3E2B"/>
    <w:rsid w:val="00CE3E36"/>
    <w:rsid w:val="00CE3FAD"/>
    <w:rsid w:val="00CE4277"/>
    <w:rsid w:val="00CE42F3"/>
    <w:rsid w:val="00CE452E"/>
    <w:rsid w:val="00CE4701"/>
    <w:rsid w:val="00CE473D"/>
    <w:rsid w:val="00CE47F2"/>
    <w:rsid w:val="00CE481B"/>
    <w:rsid w:val="00CE4987"/>
    <w:rsid w:val="00CE49D6"/>
    <w:rsid w:val="00CE4C03"/>
    <w:rsid w:val="00CE4D3F"/>
    <w:rsid w:val="00CE4EA5"/>
    <w:rsid w:val="00CE4FE2"/>
    <w:rsid w:val="00CE50C5"/>
    <w:rsid w:val="00CE50D3"/>
    <w:rsid w:val="00CE5220"/>
    <w:rsid w:val="00CE5251"/>
    <w:rsid w:val="00CE5326"/>
    <w:rsid w:val="00CE55A9"/>
    <w:rsid w:val="00CE55E4"/>
    <w:rsid w:val="00CE56A4"/>
    <w:rsid w:val="00CE5886"/>
    <w:rsid w:val="00CE591C"/>
    <w:rsid w:val="00CE5DB7"/>
    <w:rsid w:val="00CE5F38"/>
    <w:rsid w:val="00CE5FEF"/>
    <w:rsid w:val="00CE63AD"/>
    <w:rsid w:val="00CE6615"/>
    <w:rsid w:val="00CE6683"/>
    <w:rsid w:val="00CE6B75"/>
    <w:rsid w:val="00CE7054"/>
    <w:rsid w:val="00CE751C"/>
    <w:rsid w:val="00CE7674"/>
    <w:rsid w:val="00CE77A2"/>
    <w:rsid w:val="00CE78CC"/>
    <w:rsid w:val="00CE7AE4"/>
    <w:rsid w:val="00CF01F8"/>
    <w:rsid w:val="00CF05D1"/>
    <w:rsid w:val="00CF0792"/>
    <w:rsid w:val="00CF07CA"/>
    <w:rsid w:val="00CF08C6"/>
    <w:rsid w:val="00CF0DC7"/>
    <w:rsid w:val="00CF0F59"/>
    <w:rsid w:val="00CF11D2"/>
    <w:rsid w:val="00CF1650"/>
    <w:rsid w:val="00CF17BF"/>
    <w:rsid w:val="00CF183E"/>
    <w:rsid w:val="00CF1B15"/>
    <w:rsid w:val="00CF1C91"/>
    <w:rsid w:val="00CF21A7"/>
    <w:rsid w:val="00CF237A"/>
    <w:rsid w:val="00CF25D6"/>
    <w:rsid w:val="00CF29F2"/>
    <w:rsid w:val="00CF2AEB"/>
    <w:rsid w:val="00CF304B"/>
    <w:rsid w:val="00CF316A"/>
    <w:rsid w:val="00CF33E9"/>
    <w:rsid w:val="00CF39AF"/>
    <w:rsid w:val="00CF39EF"/>
    <w:rsid w:val="00CF3AF9"/>
    <w:rsid w:val="00CF3D70"/>
    <w:rsid w:val="00CF4361"/>
    <w:rsid w:val="00CF44D4"/>
    <w:rsid w:val="00CF499A"/>
    <w:rsid w:val="00CF49F9"/>
    <w:rsid w:val="00CF4CFB"/>
    <w:rsid w:val="00CF4F29"/>
    <w:rsid w:val="00CF4F99"/>
    <w:rsid w:val="00CF4FEE"/>
    <w:rsid w:val="00CF5176"/>
    <w:rsid w:val="00CF5328"/>
    <w:rsid w:val="00CF54A2"/>
    <w:rsid w:val="00CF54C7"/>
    <w:rsid w:val="00CF5A27"/>
    <w:rsid w:val="00CF612F"/>
    <w:rsid w:val="00CF628C"/>
    <w:rsid w:val="00CF6476"/>
    <w:rsid w:val="00CF652E"/>
    <w:rsid w:val="00CF6A52"/>
    <w:rsid w:val="00CF6C19"/>
    <w:rsid w:val="00CF6C4A"/>
    <w:rsid w:val="00CF6C62"/>
    <w:rsid w:val="00CF7012"/>
    <w:rsid w:val="00CF701E"/>
    <w:rsid w:val="00CF70A9"/>
    <w:rsid w:val="00CF7516"/>
    <w:rsid w:val="00CF7719"/>
    <w:rsid w:val="00CF7896"/>
    <w:rsid w:val="00CF7AA4"/>
    <w:rsid w:val="00CF7E0F"/>
    <w:rsid w:val="00D0003E"/>
    <w:rsid w:val="00D00088"/>
    <w:rsid w:val="00D002F6"/>
    <w:rsid w:val="00D00660"/>
    <w:rsid w:val="00D00BFB"/>
    <w:rsid w:val="00D00CDC"/>
    <w:rsid w:val="00D00D09"/>
    <w:rsid w:val="00D00D7B"/>
    <w:rsid w:val="00D00DF4"/>
    <w:rsid w:val="00D00E09"/>
    <w:rsid w:val="00D01100"/>
    <w:rsid w:val="00D011DB"/>
    <w:rsid w:val="00D0149B"/>
    <w:rsid w:val="00D0169E"/>
    <w:rsid w:val="00D019C4"/>
    <w:rsid w:val="00D01B6B"/>
    <w:rsid w:val="00D01C29"/>
    <w:rsid w:val="00D01E5A"/>
    <w:rsid w:val="00D01F15"/>
    <w:rsid w:val="00D01F37"/>
    <w:rsid w:val="00D025BF"/>
    <w:rsid w:val="00D02645"/>
    <w:rsid w:val="00D02B6C"/>
    <w:rsid w:val="00D02C91"/>
    <w:rsid w:val="00D02EB9"/>
    <w:rsid w:val="00D02F5A"/>
    <w:rsid w:val="00D0317D"/>
    <w:rsid w:val="00D032A6"/>
    <w:rsid w:val="00D03332"/>
    <w:rsid w:val="00D03389"/>
    <w:rsid w:val="00D03595"/>
    <w:rsid w:val="00D03B38"/>
    <w:rsid w:val="00D03CE5"/>
    <w:rsid w:val="00D03E92"/>
    <w:rsid w:val="00D03EF7"/>
    <w:rsid w:val="00D03F3C"/>
    <w:rsid w:val="00D04792"/>
    <w:rsid w:val="00D04856"/>
    <w:rsid w:val="00D04893"/>
    <w:rsid w:val="00D0495F"/>
    <w:rsid w:val="00D0498A"/>
    <w:rsid w:val="00D04BAC"/>
    <w:rsid w:val="00D04DC2"/>
    <w:rsid w:val="00D05072"/>
    <w:rsid w:val="00D0514D"/>
    <w:rsid w:val="00D052B0"/>
    <w:rsid w:val="00D05326"/>
    <w:rsid w:val="00D053F9"/>
    <w:rsid w:val="00D0553C"/>
    <w:rsid w:val="00D05979"/>
    <w:rsid w:val="00D05E07"/>
    <w:rsid w:val="00D0613C"/>
    <w:rsid w:val="00D06147"/>
    <w:rsid w:val="00D061C4"/>
    <w:rsid w:val="00D0631B"/>
    <w:rsid w:val="00D0656E"/>
    <w:rsid w:val="00D0675E"/>
    <w:rsid w:val="00D06A77"/>
    <w:rsid w:val="00D06F2A"/>
    <w:rsid w:val="00D0713C"/>
    <w:rsid w:val="00D07231"/>
    <w:rsid w:val="00D07242"/>
    <w:rsid w:val="00D073A0"/>
    <w:rsid w:val="00D0768E"/>
    <w:rsid w:val="00D07750"/>
    <w:rsid w:val="00D07B43"/>
    <w:rsid w:val="00D1012A"/>
    <w:rsid w:val="00D101DC"/>
    <w:rsid w:val="00D10379"/>
    <w:rsid w:val="00D1071D"/>
    <w:rsid w:val="00D10720"/>
    <w:rsid w:val="00D10959"/>
    <w:rsid w:val="00D10A8D"/>
    <w:rsid w:val="00D10B0F"/>
    <w:rsid w:val="00D10CA2"/>
    <w:rsid w:val="00D10D72"/>
    <w:rsid w:val="00D10DDB"/>
    <w:rsid w:val="00D10FE6"/>
    <w:rsid w:val="00D117DB"/>
    <w:rsid w:val="00D11951"/>
    <w:rsid w:val="00D1199F"/>
    <w:rsid w:val="00D11A7C"/>
    <w:rsid w:val="00D11BF5"/>
    <w:rsid w:val="00D11CD3"/>
    <w:rsid w:val="00D11D8F"/>
    <w:rsid w:val="00D12119"/>
    <w:rsid w:val="00D1220A"/>
    <w:rsid w:val="00D1264D"/>
    <w:rsid w:val="00D12BBD"/>
    <w:rsid w:val="00D12C90"/>
    <w:rsid w:val="00D13175"/>
    <w:rsid w:val="00D131AF"/>
    <w:rsid w:val="00D13499"/>
    <w:rsid w:val="00D134A0"/>
    <w:rsid w:val="00D139E0"/>
    <w:rsid w:val="00D13A5F"/>
    <w:rsid w:val="00D13ABC"/>
    <w:rsid w:val="00D13E5C"/>
    <w:rsid w:val="00D14038"/>
    <w:rsid w:val="00D14089"/>
    <w:rsid w:val="00D141B1"/>
    <w:rsid w:val="00D142BE"/>
    <w:rsid w:val="00D1439E"/>
    <w:rsid w:val="00D14404"/>
    <w:rsid w:val="00D145FA"/>
    <w:rsid w:val="00D14B24"/>
    <w:rsid w:val="00D14FE9"/>
    <w:rsid w:val="00D15426"/>
    <w:rsid w:val="00D15753"/>
    <w:rsid w:val="00D15B06"/>
    <w:rsid w:val="00D15CB2"/>
    <w:rsid w:val="00D15EA6"/>
    <w:rsid w:val="00D15EBC"/>
    <w:rsid w:val="00D16066"/>
    <w:rsid w:val="00D16076"/>
    <w:rsid w:val="00D160E7"/>
    <w:rsid w:val="00D161AB"/>
    <w:rsid w:val="00D16394"/>
    <w:rsid w:val="00D16592"/>
    <w:rsid w:val="00D166F4"/>
    <w:rsid w:val="00D1692A"/>
    <w:rsid w:val="00D16A05"/>
    <w:rsid w:val="00D16B0C"/>
    <w:rsid w:val="00D16C73"/>
    <w:rsid w:val="00D16D31"/>
    <w:rsid w:val="00D1705A"/>
    <w:rsid w:val="00D17152"/>
    <w:rsid w:val="00D1754C"/>
    <w:rsid w:val="00D17657"/>
    <w:rsid w:val="00D17A29"/>
    <w:rsid w:val="00D17AD3"/>
    <w:rsid w:val="00D17D07"/>
    <w:rsid w:val="00D200CA"/>
    <w:rsid w:val="00D20141"/>
    <w:rsid w:val="00D2029E"/>
    <w:rsid w:val="00D2064E"/>
    <w:rsid w:val="00D20708"/>
    <w:rsid w:val="00D207E0"/>
    <w:rsid w:val="00D20A56"/>
    <w:rsid w:val="00D20B1E"/>
    <w:rsid w:val="00D20CC9"/>
    <w:rsid w:val="00D2115E"/>
    <w:rsid w:val="00D2185B"/>
    <w:rsid w:val="00D218DA"/>
    <w:rsid w:val="00D21983"/>
    <w:rsid w:val="00D21A79"/>
    <w:rsid w:val="00D21AE8"/>
    <w:rsid w:val="00D21F45"/>
    <w:rsid w:val="00D221EA"/>
    <w:rsid w:val="00D223EB"/>
    <w:rsid w:val="00D2249F"/>
    <w:rsid w:val="00D2255E"/>
    <w:rsid w:val="00D227B1"/>
    <w:rsid w:val="00D22DE8"/>
    <w:rsid w:val="00D23758"/>
    <w:rsid w:val="00D23770"/>
    <w:rsid w:val="00D239D0"/>
    <w:rsid w:val="00D23D38"/>
    <w:rsid w:val="00D23E78"/>
    <w:rsid w:val="00D23FD5"/>
    <w:rsid w:val="00D2410D"/>
    <w:rsid w:val="00D24218"/>
    <w:rsid w:val="00D243D5"/>
    <w:rsid w:val="00D243FE"/>
    <w:rsid w:val="00D2463D"/>
    <w:rsid w:val="00D247A8"/>
    <w:rsid w:val="00D249A3"/>
    <w:rsid w:val="00D24CCE"/>
    <w:rsid w:val="00D25042"/>
    <w:rsid w:val="00D25056"/>
    <w:rsid w:val="00D25346"/>
    <w:rsid w:val="00D2538D"/>
    <w:rsid w:val="00D254D4"/>
    <w:rsid w:val="00D255BE"/>
    <w:rsid w:val="00D25601"/>
    <w:rsid w:val="00D2567B"/>
    <w:rsid w:val="00D258D1"/>
    <w:rsid w:val="00D2593D"/>
    <w:rsid w:val="00D25A67"/>
    <w:rsid w:val="00D25AC2"/>
    <w:rsid w:val="00D25BAB"/>
    <w:rsid w:val="00D25BD4"/>
    <w:rsid w:val="00D26552"/>
    <w:rsid w:val="00D2665B"/>
    <w:rsid w:val="00D268CB"/>
    <w:rsid w:val="00D269AA"/>
    <w:rsid w:val="00D26A76"/>
    <w:rsid w:val="00D26BCE"/>
    <w:rsid w:val="00D26CB7"/>
    <w:rsid w:val="00D273FE"/>
    <w:rsid w:val="00D2755F"/>
    <w:rsid w:val="00D2761C"/>
    <w:rsid w:val="00D27CF5"/>
    <w:rsid w:val="00D27D60"/>
    <w:rsid w:val="00D27E00"/>
    <w:rsid w:val="00D27E74"/>
    <w:rsid w:val="00D3008E"/>
    <w:rsid w:val="00D302BF"/>
    <w:rsid w:val="00D3055B"/>
    <w:rsid w:val="00D3084C"/>
    <w:rsid w:val="00D309FB"/>
    <w:rsid w:val="00D30F22"/>
    <w:rsid w:val="00D31459"/>
    <w:rsid w:val="00D315A1"/>
    <w:rsid w:val="00D31699"/>
    <w:rsid w:val="00D31710"/>
    <w:rsid w:val="00D3181B"/>
    <w:rsid w:val="00D321ED"/>
    <w:rsid w:val="00D3233A"/>
    <w:rsid w:val="00D324B2"/>
    <w:rsid w:val="00D32784"/>
    <w:rsid w:val="00D3290F"/>
    <w:rsid w:val="00D32A69"/>
    <w:rsid w:val="00D32AD1"/>
    <w:rsid w:val="00D32FB6"/>
    <w:rsid w:val="00D33035"/>
    <w:rsid w:val="00D3311D"/>
    <w:rsid w:val="00D332EA"/>
    <w:rsid w:val="00D3340F"/>
    <w:rsid w:val="00D335DB"/>
    <w:rsid w:val="00D3382F"/>
    <w:rsid w:val="00D33B57"/>
    <w:rsid w:val="00D33C42"/>
    <w:rsid w:val="00D33D28"/>
    <w:rsid w:val="00D33E60"/>
    <w:rsid w:val="00D33FB6"/>
    <w:rsid w:val="00D34736"/>
    <w:rsid w:val="00D3474F"/>
    <w:rsid w:val="00D3485A"/>
    <w:rsid w:val="00D34AD4"/>
    <w:rsid w:val="00D34DB7"/>
    <w:rsid w:val="00D352D7"/>
    <w:rsid w:val="00D35442"/>
    <w:rsid w:val="00D354BA"/>
    <w:rsid w:val="00D354D6"/>
    <w:rsid w:val="00D356B6"/>
    <w:rsid w:val="00D35750"/>
    <w:rsid w:val="00D357CB"/>
    <w:rsid w:val="00D35FDB"/>
    <w:rsid w:val="00D36285"/>
    <w:rsid w:val="00D36589"/>
    <w:rsid w:val="00D365C0"/>
    <w:rsid w:val="00D36740"/>
    <w:rsid w:val="00D36C15"/>
    <w:rsid w:val="00D36C46"/>
    <w:rsid w:val="00D36F1C"/>
    <w:rsid w:val="00D36F21"/>
    <w:rsid w:val="00D36F73"/>
    <w:rsid w:val="00D36FEC"/>
    <w:rsid w:val="00D3724D"/>
    <w:rsid w:val="00D372C3"/>
    <w:rsid w:val="00D37569"/>
    <w:rsid w:val="00D37688"/>
    <w:rsid w:val="00D376C2"/>
    <w:rsid w:val="00D3786A"/>
    <w:rsid w:val="00D378E5"/>
    <w:rsid w:val="00D37AB0"/>
    <w:rsid w:val="00D37D85"/>
    <w:rsid w:val="00D37E73"/>
    <w:rsid w:val="00D37EB4"/>
    <w:rsid w:val="00D40138"/>
    <w:rsid w:val="00D40170"/>
    <w:rsid w:val="00D40446"/>
    <w:rsid w:val="00D405EF"/>
    <w:rsid w:val="00D40606"/>
    <w:rsid w:val="00D40A0D"/>
    <w:rsid w:val="00D40D54"/>
    <w:rsid w:val="00D40DCE"/>
    <w:rsid w:val="00D40E57"/>
    <w:rsid w:val="00D40EBA"/>
    <w:rsid w:val="00D4141C"/>
    <w:rsid w:val="00D4149B"/>
    <w:rsid w:val="00D41724"/>
    <w:rsid w:val="00D41D10"/>
    <w:rsid w:val="00D41D96"/>
    <w:rsid w:val="00D41E56"/>
    <w:rsid w:val="00D41E7B"/>
    <w:rsid w:val="00D421E1"/>
    <w:rsid w:val="00D42617"/>
    <w:rsid w:val="00D42809"/>
    <w:rsid w:val="00D4280D"/>
    <w:rsid w:val="00D428CC"/>
    <w:rsid w:val="00D42BAF"/>
    <w:rsid w:val="00D42FBA"/>
    <w:rsid w:val="00D43345"/>
    <w:rsid w:val="00D434F3"/>
    <w:rsid w:val="00D43527"/>
    <w:rsid w:val="00D4354C"/>
    <w:rsid w:val="00D436E2"/>
    <w:rsid w:val="00D43882"/>
    <w:rsid w:val="00D43891"/>
    <w:rsid w:val="00D43AA7"/>
    <w:rsid w:val="00D43E22"/>
    <w:rsid w:val="00D440B7"/>
    <w:rsid w:val="00D44625"/>
    <w:rsid w:val="00D44887"/>
    <w:rsid w:val="00D44EBD"/>
    <w:rsid w:val="00D45031"/>
    <w:rsid w:val="00D450C2"/>
    <w:rsid w:val="00D45676"/>
    <w:rsid w:val="00D4586A"/>
    <w:rsid w:val="00D458D4"/>
    <w:rsid w:val="00D459AB"/>
    <w:rsid w:val="00D45ABE"/>
    <w:rsid w:val="00D45CA8"/>
    <w:rsid w:val="00D45E65"/>
    <w:rsid w:val="00D463AB"/>
    <w:rsid w:val="00D464BF"/>
    <w:rsid w:val="00D464DA"/>
    <w:rsid w:val="00D46929"/>
    <w:rsid w:val="00D46C45"/>
    <w:rsid w:val="00D4700C"/>
    <w:rsid w:val="00D470B8"/>
    <w:rsid w:val="00D474B1"/>
    <w:rsid w:val="00D47586"/>
    <w:rsid w:val="00D47635"/>
    <w:rsid w:val="00D478C7"/>
    <w:rsid w:val="00D47B51"/>
    <w:rsid w:val="00D47CB9"/>
    <w:rsid w:val="00D47CD4"/>
    <w:rsid w:val="00D47E15"/>
    <w:rsid w:val="00D47FB4"/>
    <w:rsid w:val="00D47FD1"/>
    <w:rsid w:val="00D47FFD"/>
    <w:rsid w:val="00D500F7"/>
    <w:rsid w:val="00D50157"/>
    <w:rsid w:val="00D50628"/>
    <w:rsid w:val="00D50953"/>
    <w:rsid w:val="00D50B45"/>
    <w:rsid w:val="00D50C21"/>
    <w:rsid w:val="00D50CF3"/>
    <w:rsid w:val="00D510DF"/>
    <w:rsid w:val="00D51539"/>
    <w:rsid w:val="00D51B25"/>
    <w:rsid w:val="00D51BAB"/>
    <w:rsid w:val="00D51FAD"/>
    <w:rsid w:val="00D51FF0"/>
    <w:rsid w:val="00D52107"/>
    <w:rsid w:val="00D521F5"/>
    <w:rsid w:val="00D5222E"/>
    <w:rsid w:val="00D522CF"/>
    <w:rsid w:val="00D524C6"/>
    <w:rsid w:val="00D5254B"/>
    <w:rsid w:val="00D5268F"/>
    <w:rsid w:val="00D5269E"/>
    <w:rsid w:val="00D526B8"/>
    <w:rsid w:val="00D52816"/>
    <w:rsid w:val="00D52C6B"/>
    <w:rsid w:val="00D52C8C"/>
    <w:rsid w:val="00D53118"/>
    <w:rsid w:val="00D53142"/>
    <w:rsid w:val="00D53273"/>
    <w:rsid w:val="00D535BE"/>
    <w:rsid w:val="00D537CE"/>
    <w:rsid w:val="00D537D4"/>
    <w:rsid w:val="00D53993"/>
    <w:rsid w:val="00D53A94"/>
    <w:rsid w:val="00D53B44"/>
    <w:rsid w:val="00D53CAC"/>
    <w:rsid w:val="00D53D7C"/>
    <w:rsid w:val="00D542BB"/>
    <w:rsid w:val="00D5430C"/>
    <w:rsid w:val="00D5440D"/>
    <w:rsid w:val="00D5455C"/>
    <w:rsid w:val="00D545A2"/>
    <w:rsid w:val="00D545CF"/>
    <w:rsid w:val="00D546AD"/>
    <w:rsid w:val="00D54790"/>
    <w:rsid w:val="00D54A5B"/>
    <w:rsid w:val="00D54B7F"/>
    <w:rsid w:val="00D54C7C"/>
    <w:rsid w:val="00D54DDC"/>
    <w:rsid w:val="00D550B9"/>
    <w:rsid w:val="00D550C6"/>
    <w:rsid w:val="00D550D1"/>
    <w:rsid w:val="00D55161"/>
    <w:rsid w:val="00D55206"/>
    <w:rsid w:val="00D55922"/>
    <w:rsid w:val="00D5594E"/>
    <w:rsid w:val="00D55BDE"/>
    <w:rsid w:val="00D55C30"/>
    <w:rsid w:val="00D55C76"/>
    <w:rsid w:val="00D55E0A"/>
    <w:rsid w:val="00D55E7F"/>
    <w:rsid w:val="00D56120"/>
    <w:rsid w:val="00D561CA"/>
    <w:rsid w:val="00D56338"/>
    <w:rsid w:val="00D5639C"/>
    <w:rsid w:val="00D565F0"/>
    <w:rsid w:val="00D569BF"/>
    <w:rsid w:val="00D56E55"/>
    <w:rsid w:val="00D56EA3"/>
    <w:rsid w:val="00D56ED1"/>
    <w:rsid w:val="00D56F09"/>
    <w:rsid w:val="00D57398"/>
    <w:rsid w:val="00D5747B"/>
    <w:rsid w:val="00D57B5F"/>
    <w:rsid w:val="00D57C30"/>
    <w:rsid w:val="00D57FFD"/>
    <w:rsid w:val="00D60189"/>
    <w:rsid w:val="00D601AF"/>
    <w:rsid w:val="00D603C8"/>
    <w:rsid w:val="00D604B0"/>
    <w:rsid w:val="00D60990"/>
    <w:rsid w:val="00D609A1"/>
    <w:rsid w:val="00D609F2"/>
    <w:rsid w:val="00D60B5D"/>
    <w:rsid w:val="00D60CCE"/>
    <w:rsid w:val="00D60D6A"/>
    <w:rsid w:val="00D60F0C"/>
    <w:rsid w:val="00D60FFF"/>
    <w:rsid w:val="00D61048"/>
    <w:rsid w:val="00D61089"/>
    <w:rsid w:val="00D610AF"/>
    <w:rsid w:val="00D610BF"/>
    <w:rsid w:val="00D6189E"/>
    <w:rsid w:val="00D61B06"/>
    <w:rsid w:val="00D61FC8"/>
    <w:rsid w:val="00D620F5"/>
    <w:rsid w:val="00D62224"/>
    <w:rsid w:val="00D62369"/>
    <w:rsid w:val="00D626B8"/>
    <w:rsid w:val="00D62D1D"/>
    <w:rsid w:val="00D62E48"/>
    <w:rsid w:val="00D6304F"/>
    <w:rsid w:val="00D63162"/>
    <w:rsid w:val="00D633DD"/>
    <w:rsid w:val="00D636A1"/>
    <w:rsid w:val="00D63806"/>
    <w:rsid w:val="00D63954"/>
    <w:rsid w:val="00D639E2"/>
    <w:rsid w:val="00D63A34"/>
    <w:rsid w:val="00D63F1A"/>
    <w:rsid w:val="00D640A5"/>
    <w:rsid w:val="00D640DF"/>
    <w:rsid w:val="00D64141"/>
    <w:rsid w:val="00D644DF"/>
    <w:rsid w:val="00D64571"/>
    <w:rsid w:val="00D645F4"/>
    <w:rsid w:val="00D648A4"/>
    <w:rsid w:val="00D64A51"/>
    <w:rsid w:val="00D64BDE"/>
    <w:rsid w:val="00D64C70"/>
    <w:rsid w:val="00D64D76"/>
    <w:rsid w:val="00D64EF1"/>
    <w:rsid w:val="00D65066"/>
    <w:rsid w:val="00D651EA"/>
    <w:rsid w:val="00D65209"/>
    <w:rsid w:val="00D652B8"/>
    <w:rsid w:val="00D6545D"/>
    <w:rsid w:val="00D65528"/>
    <w:rsid w:val="00D655D6"/>
    <w:rsid w:val="00D65790"/>
    <w:rsid w:val="00D6591E"/>
    <w:rsid w:val="00D65A72"/>
    <w:rsid w:val="00D65D12"/>
    <w:rsid w:val="00D65F38"/>
    <w:rsid w:val="00D66260"/>
    <w:rsid w:val="00D66628"/>
    <w:rsid w:val="00D66887"/>
    <w:rsid w:val="00D66A3D"/>
    <w:rsid w:val="00D66AE3"/>
    <w:rsid w:val="00D66FF9"/>
    <w:rsid w:val="00D67671"/>
    <w:rsid w:val="00D6779D"/>
    <w:rsid w:val="00D70110"/>
    <w:rsid w:val="00D70325"/>
    <w:rsid w:val="00D70444"/>
    <w:rsid w:val="00D7044C"/>
    <w:rsid w:val="00D7044D"/>
    <w:rsid w:val="00D709BF"/>
    <w:rsid w:val="00D709E2"/>
    <w:rsid w:val="00D70F63"/>
    <w:rsid w:val="00D710D5"/>
    <w:rsid w:val="00D71103"/>
    <w:rsid w:val="00D711A9"/>
    <w:rsid w:val="00D71743"/>
    <w:rsid w:val="00D71747"/>
    <w:rsid w:val="00D718A9"/>
    <w:rsid w:val="00D71A60"/>
    <w:rsid w:val="00D71D1B"/>
    <w:rsid w:val="00D71EB5"/>
    <w:rsid w:val="00D71F80"/>
    <w:rsid w:val="00D7204C"/>
    <w:rsid w:val="00D72174"/>
    <w:rsid w:val="00D72187"/>
    <w:rsid w:val="00D72516"/>
    <w:rsid w:val="00D726FF"/>
    <w:rsid w:val="00D72701"/>
    <w:rsid w:val="00D729D7"/>
    <w:rsid w:val="00D72B0D"/>
    <w:rsid w:val="00D72D7D"/>
    <w:rsid w:val="00D72DF0"/>
    <w:rsid w:val="00D72FBA"/>
    <w:rsid w:val="00D72FD8"/>
    <w:rsid w:val="00D7302A"/>
    <w:rsid w:val="00D73187"/>
    <w:rsid w:val="00D735AA"/>
    <w:rsid w:val="00D736D8"/>
    <w:rsid w:val="00D73C75"/>
    <w:rsid w:val="00D7428C"/>
    <w:rsid w:val="00D74780"/>
    <w:rsid w:val="00D748DF"/>
    <w:rsid w:val="00D749B0"/>
    <w:rsid w:val="00D74B49"/>
    <w:rsid w:val="00D74B67"/>
    <w:rsid w:val="00D74BC6"/>
    <w:rsid w:val="00D74D88"/>
    <w:rsid w:val="00D74E8C"/>
    <w:rsid w:val="00D7532D"/>
    <w:rsid w:val="00D758E9"/>
    <w:rsid w:val="00D75AE1"/>
    <w:rsid w:val="00D75C6E"/>
    <w:rsid w:val="00D75EA1"/>
    <w:rsid w:val="00D7618D"/>
    <w:rsid w:val="00D762E6"/>
    <w:rsid w:val="00D7633F"/>
    <w:rsid w:val="00D764FB"/>
    <w:rsid w:val="00D7686A"/>
    <w:rsid w:val="00D768E4"/>
    <w:rsid w:val="00D769FA"/>
    <w:rsid w:val="00D76DC5"/>
    <w:rsid w:val="00D76E1E"/>
    <w:rsid w:val="00D76E97"/>
    <w:rsid w:val="00D770A3"/>
    <w:rsid w:val="00D7741A"/>
    <w:rsid w:val="00D77504"/>
    <w:rsid w:val="00D775E4"/>
    <w:rsid w:val="00D7779D"/>
    <w:rsid w:val="00D777A1"/>
    <w:rsid w:val="00D77DD5"/>
    <w:rsid w:val="00D77ED5"/>
    <w:rsid w:val="00D80333"/>
    <w:rsid w:val="00D80406"/>
    <w:rsid w:val="00D808D8"/>
    <w:rsid w:val="00D80B37"/>
    <w:rsid w:val="00D80F30"/>
    <w:rsid w:val="00D811D5"/>
    <w:rsid w:val="00D812BA"/>
    <w:rsid w:val="00D8144F"/>
    <w:rsid w:val="00D81711"/>
    <w:rsid w:val="00D81955"/>
    <w:rsid w:val="00D81B2F"/>
    <w:rsid w:val="00D81C9E"/>
    <w:rsid w:val="00D8209B"/>
    <w:rsid w:val="00D82513"/>
    <w:rsid w:val="00D82816"/>
    <w:rsid w:val="00D828B2"/>
    <w:rsid w:val="00D82910"/>
    <w:rsid w:val="00D82C2B"/>
    <w:rsid w:val="00D82C90"/>
    <w:rsid w:val="00D83075"/>
    <w:rsid w:val="00D833F8"/>
    <w:rsid w:val="00D8346C"/>
    <w:rsid w:val="00D8365C"/>
    <w:rsid w:val="00D83898"/>
    <w:rsid w:val="00D839BF"/>
    <w:rsid w:val="00D83AE7"/>
    <w:rsid w:val="00D83B80"/>
    <w:rsid w:val="00D83C61"/>
    <w:rsid w:val="00D83E65"/>
    <w:rsid w:val="00D83ECB"/>
    <w:rsid w:val="00D83F7E"/>
    <w:rsid w:val="00D83F80"/>
    <w:rsid w:val="00D84018"/>
    <w:rsid w:val="00D841B5"/>
    <w:rsid w:val="00D84221"/>
    <w:rsid w:val="00D842B0"/>
    <w:rsid w:val="00D845AA"/>
    <w:rsid w:val="00D84619"/>
    <w:rsid w:val="00D84769"/>
    <w:rsid w:val="00D8493E"/>
    <w:rsid w:val="00D84F6F"/>
    <w:rsid w:val="00D8506D"/>
    <w:rsid w:val="00D8530B"/>
    <w:rsid w:val="00D8555C"/>
    <w:rsid w:val="00D8588C"/>
    <w:rsid w:val="00D85903"/>
    <w:rsid w:val="00D85A28"/>
    <w:rsid w:val="00D85B68"/>
    <w:rsid w:val="00D85BA6"/>
    <w:rsid w:val="00D85BDE"/>
    <w:rsid w:val="00D85BF0"/>
    <w:rsid w:val="00D85CF4"/>
    <w:rsid w:val="00D85F59"/>
    <w:rsid w:val="00D85FB3"/>
    <w:rsid w:val="00D85FE4"/>
    <w:rsid w:val="00D8600D"/>
    <w:rsid w:val="00D860B1"/>
    <w:rsid w:val="00D86130"/>
    <w:rsid w:val="00D861B6"/>
    <w:rsid w:val="00D862F7"/>
    <w:rsid w:val="00D86555"/>
    <w:rsid w:val="00D86694"/>
    <w:rsid w:val="00D8669A"/>
    <w:rsid w:val="00D866E8"/>
    <w:rsid w:val="00D867BC"/>
    <w:rsid w:val="00D86A48"/>
    <w:rsid w:val="00D86B0F"/>
    <w:rsid w:val="00D86DC5"/>
    <w:rsid w:val="00D870E0"/>
    <w:rsid w:val="00D87535"/>
    <w:rsid w:val="00D8775B"/>
    <w:rsid w:val="00D8794F"/>
    <w:rsid w:val="00D879C9"/>
    <w:rsid w:val="00D879CA"/>
    <w:rsid w:val="00D879F2"/>
    <w:rsid w:val="00D87ACF"/>
    <w:rsid w:val="00D87AFF"/>
    <w:rsid w:val="00D87D6B"/>
    <w:rsid w:val="00D87DFC"/>
    <w:rsid w:val="00D87FEB"/>
    <w:rsid w:val="00D901C5"/>
    <w:rsid w:val="00D907B7"/>
    <w:rsid w:val="00D90871"/>
    <w:rsid w:val="00D90A31"/>
    <w:rsid w:val="00D90C36"/>
    <w:rsid w:val="00D90C70"/>
    <w:rsid w:val="00D90D05"/>
    <w:rsid w:val="00D90D1A"/>
    <w:rsid w:val="00D90D53"/>
    <w:rsid w:val="00D90E4E"/>
    <w:rsid w:val="00D90EC2"/>
    <w:rsid w:val="00D91106"/>
    <w:rsid w:val="00D911A9"/>
    <w:rsid w:val="00D91320"/>
    <w:rsid w:val="00D91358"/>
    <w:rsid w:val="00D91382"/>
    <w:rsid w:val="00D91410"/>
    <w:rsid w:val="00D9154E"/>
    <w:rsid w:val="00D916D4"/>
    <w:rsid w:val="00D9197A"/>
    <w:rsid w:val="00D91B08"/>
    <w:rsid w:val="00D9224F"/>
    <w:rsid w:val="00D923E9"/>
    <w:rsid w:val="00D9242D"/>
    <w:rsid w:val="00D924AC"/>
    <w:rsid w:val="00D92531"/>
    <w:rsid w:val="00D92571"/>
    <w:rsid w:val="00D926C8"/>
    <w:rsid w:val="00D929B0"/>
    <w:rsid w:val="00D92A98"/>
    <w:rsid w:val="00D92E12"/>
    <w:rsid w:val="00D93018"/>
    <w:rsid w:val="00D93300"/>
    <w:rsid w:val="00D93357"/>
    <w:rsid w:val="00D93415"/>
    <w:rsid w:val="00D93696"/>
    <w:rsid w:val="00D93AE4"/>
    <w:rsid w:val="00D93B1E"/>
    <w:rsid w:val="00D93B70"/>
    <w:rsid w:val="00D93C20"/>
    <w:rsid w:val="00D93E8A"/>
    <w:rsid w:val="00D93F9E"/>
    <w:rsid w:val="00D94295"/>
    <w:rsid w:val="00D942D2"/>
    <w:rsid w:val="00D9441B"/>
    <w:rsid w:val="00D946C0"/>
    <w:rsid w:val="00D94929"/>
    <w:rsid w:val="00D94A56"/>
    <w:rsid w:val="00D94A73"/>
    <w:rsid w:val="00D94AEE"/>
    <w:rsid w:val="00D94D8D"/>
    <w:rsid w:val="00D94ECE"/>
    <w:rsid w:val="00D94F24"/>
    <w:rsid w:val="00D94FA4"/>
    <w:rsid w:val="00D95016"/>
    <w:rsid w:val="00D9511C"/>
    <w:rsid w:val="00D9517F"/>
    <w:rsid w:val="00D952A7"/>
    <w:rsid w:val="00D952C3"/>
    <w:rsid w:val="00D952FF"/>
    <w:rsid w:val="00D9581B"/>
    <w:rsid w:val="00D9587A"/>
    <w:rsid w:val="00D95A2B"/>
    <w:rsid w:val="00D95B55"/>
    <w:rsid w:val="00D95BBF"/>
    <w:rsid w:val="00D95F31"/>
    <w:rsid w:val="00D95F9A"/>
    <w:rsid w:val="00D96064"/>
    <w:rsid w:val="00D961B1"/>
    <w:rsid w:val="00D96284"/>
    <w:rsid w:val="00D9637B"/>
    <w:rsid w:val="00D963CB"/>
    <w:rsid w:val="00D968BF"/>
    <w:rsid w:val="00D969C0"/>
    <w:rsid w:val="00D96BAF"/>
    <w:rsid w:val="00D96C0C"/>
    <w:rsid w:val="00D96C64"/>
    <w:rsid w:val="00D97061"/>
    <w:rsid w:val="00D97194"/>
    <w:rsid w:val="00D97360"/>
    <w:rsid w:val="00D97666"/>
    <w:rsid w:val="00D978F7"/>
    <w:rsid w:val="00DA000D"/>
    <w:rsid w:val="00DA0050"/>
    <w:rsid w:val="00DA00A9"/>
    <w:rsid w:val="00DA0417"/>
    <w:rsid w:val="00DA062F"/>
    <w:rsid w:val="00DA0679"/>
    <w:rsid w:val="00DA0713"/>
    <w:rsid w:val="00DA0717"/>
    <w:rsid w:val="00DA0763"/>
    <w:rsid w:val="00DA0888"/>
    <w:rsid w:val="00DA0B31"/>
    <w:rsid w:val="00DA0D54"/>
    <w:rsid w:val="00DA0DB5"/>
    <w:rsid w:val="00DA0FFD"/>
    <w:rsid w:val="00DA1023"/>
    <w:rsid w:val="00DA1279"/>
    <w:rsid w:val="00DA1289"/>
    <w:rsid w:val="00DA1740"/>
    <w:rsid w:val="00DA1798"/>
    <w:rsid w:val="00DA18E5"/>
    <w:rsid w:val="00DA1A84"/>
    <w:rsid w:val="00DA1B65"/>
    <w:rsid w:val="00DA1B97"/>
    <w:rsid w:val="00DA1BA4"/>
    <w:rsid w:val="00DA2450"/>
    <w:rsid w:val="00DA25A2"/>
    <w:rsid w:val="00DA25D4"/>
    <w:rsid w:val="00DA27C7"/>
    <w:rsid w:val="00DA27DF"/>
    <w:rsid w:val="00DA2B66"/>
    <w:rsid w:val="00DA2C0E"/>
    <w:rsid w:val="00DA3163"/>
    <w:rsid w:val="00DA32B6"/>
    <w:rsid w:val="00DA37F0"/>
    <w:rsid w:val="00DA385B"/>
    <w:rsid w:val="00DA3A4B"/>
    <w:rsid w:val="00DA3CC0"/>
    <w:rsid w:val="00DA3D8F"/>
    <w:rsid w:val="00DA41A3"/>
    <w:rsid w:val="00DA4237"/>
    <w:rsid w:val="00DA4396"/>
    <w:rsid w:val="00DA48A9"/>
    <w:rsid w:val="00DA4A5C"/>
    <w:rsid w:val="00DA4DAD"/>
    <w:rsid w:val="00DA5094"/>
    <w:rsid w:val="00DA509C"/>
    <w:rsid w:val="00DA5186"/>
    <w:rsid w:val="00DA5400"/>
    <w:rsid w:val="00DA5612"/>
    <w:rsid w:val="00DA5665"/>
    <w:rsid w:val="00DA58C1"/>
    <w:rsid w:val="00DA5995"/>
    <w:rsid w:val="00DA5A3C"/>
    <w:rsid w:val="00DA5CB9"/>
    <w:rsid w:val="00DA5D29"/>
    <w:rsid w:val="00DA5E39"/>
    <w:rsid w:val="00DA5E7F"/>
    <w:rsid w:val="00DA63E1"/>
    <w:rsid w:val="00DA659B"/>
    <w:rsid w:val="00DA6BBF"/>
    <w:rsid w:val="00DA6BCB"/>
    <w:rsid w:val="00DA6F31"/>
    <w:rsid w:val="00DA70A2"/>
    <w:rsid w:val="00DA717B"/>
    <w:rsid w:val="00DA7698"/>
    <w:rsid w:val="00DA77F5"/>
    <w:rsid w:val="00DA784B"/>
    <w:rsid w:val="00DA7B1F"/>
    <w:rsid w:val="00DA7D5A"/>
    <w:rsid w:val="00DA7ED7"/>
    <w:rsid w:val="00DA7F51"/>
    <w:rsid w:val="00DB0129"/>
    <w:rsid w:val="00DB021A"/>
    <w:rsid w:val="00DB02DB"/>
    <w:rsid w:val="00DB0858"/>
    <w:rsid w:val="00DB098B"/>
    <w:rsid w:val="00DB0A3D"/>
    <w:rsid w:val="00DB0D51"/>
    <w:rsid w:val="00DB0D82"/>
    <w:rsid w:val="00DB1002"/>
    <w:rsid w:val="00DB10EA"/>
    <w:rsid w:val="00DB1134"/>
    <w:rsid w:val="00DB12D0"/>
    <w:rsid w:val="00DB1342"/>
    <w:rsid w:val="00DB1576"/>
    <w:rsid w:val="00DB1EC9"/>
    <w:rsid w:val="00DB1FA7"/>
    <w:rsid w:val="00DB1FC6"/>
    <w:rsid w:val="00DB2311"/>
    <w:rsid w:val="00DB236C"/>
    <w:rsid w:val="00DB243F"/>
    <w:rsid w:val="00DB24DD"/>
    <w:rsid w:val="00DB265D"/>
    <w:rsid w:val="00DB266C"/>
    <w:rsid w:val="00DB2705"/>
    <w:rsid w:val="00DB27BF"/>
    <w:rsid w:val="00DB2C84"/>
    <w:rsid w:val="00DB2C9F"/>
    <w:rsid w:val="00DB2F98"/>
    <w:rsid w:val="00DB2FA3"/>
    <w:rsid w:val="00DB3104"/>
    <w:rsid w:val="00DB3134"/>
    <w:rsid w:val="00DB32B5"/>
    <w:rsid w:val="00DB36F0"/>
    <w:rsid w:val="00DB396A"/>
    <w:rsid w:val="00DB3A48"/>
    <w:rsid w:val="00DB3A7C"/>
    <w:rsid w:val="00DB3AD8"/>
    <w:rsid w:val="00DB3B1F"/>
    <w:rsid w:val="00DB3F8E"/>
    <w:rsid w:val="00DB40F5"/>
    <w:rsid w:val="00DB4639"/>
    <w:rsid w:val="00DB469E"/>
    <w:rsid w:val="00DB4A3C"/>
    <w:rsid w:val="00DB4C42"/>
    <w:rsid w:val="00DB4C4C"/>
    <w:rsid w:val="00DB5078"/>
    <w:rsid w:val="00DB50C1"/>
    <w:rsid w:val="00DB5110"/>
    <w:rsid w:val="00DB5150"/>
    <w:rsid w:val="00DB52E6"/>
    <w:rsid w:val="00DB531E"/>
    <w:rsid w:val="00DB55E7"/>
    <w:rsid w:val="00DB57B0"/>
    <w:rsid w:val="00DB5DB7"/>
    <w:rsid w:val="00DB611E"/>
    <w:rsid w:val="00DB62A0"/>
    <w:rsid w:val="00DB6475"/>
    <w:rsid w:val="00DB6481"/>
    <w:rsid w:val="00DB64E3"/>
    <w:rsid w:val="00DB6B3F"/>
    <w:rsid w:val="00DB6C0F"/>
    <w:rsid w:val="00DB6F27"/>
    <w:rsid w:val="00DB6FB9"/>
    <w:rsid w:val="00DB702D"/>
    <w:rsid w:val="00DB74AE"/>
    <w:rsid w:val="00DB7640"/>
    <w:rsid w:val="00DB7853"/>
    <w:rsid w:val="00DB7936"/>
    <w:rsid w:val="00DB798F"/>
    <w:rsid w:val="00DB7A39"/>
    <w:rsid w:val="00DB7C53"/>
    <w:rsid w:val="00DB7E2D"/>
    <w:rsid w:val="00DC0184"/>
    <w:rsid w:val="00DC0293"/>
    <w:rsid w:val="00DC02D2"/>
    <w:rsid w:val="00DC064C"/>
    <w:rsid w:val="00DC0840"/>
    <w:rsid w:val="00DC08FC"/>
    <w:rsid w:val="00DC097E"/>
    <w:rsid w:val="00DC0B96"/>
    <w:rsid w:val="00DC0BF9"/>
    <w:rsid w:val="00DC0C17"/>
    <w:rsid w:val="00DC0CCC"/>
    <w:rsid w:val="00DC0E3C"/>
    <w:rsid w:val="00DC146E"/>
    <w:rsid w:val="00DC16D9"/>
    <w:rsid w:val="00DC16F6"/>
    <w:rsid w:val="00DC183F"/>
    <w:rsid w:val="00DC1C54"/>
    <w:rsid w:val="00DC1C9D"/>
    <w:rsid w:val="00DC1D6C"/>
    <w:rsid w:val="00DC1E09"/>
    <w:rsid w:val="00DC1F0E"/>
    <w:rsid w:val="00DC1FC0"/>
    <w:rsid w:val="00DC22DD"/>
    <w:rsid w:val="00DC23A1"/>
    <w:rsid w:val="00DC284C"/>
    <w:rsid w:val="00DC28C7"/>
    <w:rsid w:val="00DC28E8"/>
    <w:rsid w:val="00DC2D3D"/>
    <w:rsid w:val="00DC2DA3"/>
    <w:rsid w:val="00DC3067"/>
    <w:rsid w:val="00DC3072"/>
    <w:rsid w:val="00DC349B"/>
    <w:rsid w:val="00DC3761"/>
    <w:rsid w:val="00DC3764"/>
    <w:rsid w:val="00DC3848"/>
    <w:rsid w:val="00DC38E0"/>
    <w:rsid w:val="00DC3904"/>
    <w:rsid w:val="00DC3967"/>
    <w:rsid w:val="00DC3A12"/>
    <w:rsid w:val="00DC3CA8"/>
    <w:rsid w:val="00DC3CB9"/>
    <w:rsid w:val="00DC3CC7"/>
    <w:rsid w:val="00DC3DC1"/>
    <w:rsid w:val="00DC3E0B"/>
    <w:rsid w:val="00DC408B"/>
    <w:rsid w:val="00DC40FE"/>
    <w:rsid w:val="00DC4214"/>
    <w:rsid w:val="00DC42EC"/>
    <w:rsid w:val="00DC4648"/>
    <w:rsid w:val="00DC47BB"/>
    <w:rsid w:val="00DC49BD"/>
    <w:rsid w:val="00DC50D4"/>
    <w:rsid w:val="00DC51AD"/>
    <w:rsid w:val="00DC520A"/>
    <w:rsid w:val="00DC5262"/>
    <w:rsid w:val="00DC5A08"/>
    <w:rsid w:val="00DC5A25"/>
    <w:rsid w:val="00DC5F83"/>
    <w:rsid w:val="00DC60D5"/>
    <w:rsid w:val="00DC6254"/>
    <w:rsid w:val="00DC62E9"/>
    <w:rsid w:val="00DC63B4"/>
    <w:rsid w:val="00DC6516"/>
    <w:rsid w:val="00DC6908"/>
    <w:rsid w:val="00DC6978"/>
    <w:rsid w:val="00DC6B07"/>
    <w:rsid w:val="00DC6B6E"/>
    <w:rsid w:val="00DC6BB5"/>
    <w:rsid w:val="00DC6BBC"/>
    <w:rsid w:val="00DC6EB8"/>
    <w:rsid w:val="00DC7231"/>
    <w:rsid w:val="00DC7552"/>
    <w:rsid w:val="00DC799E"/>
    <w:rsid w:val="00DC79B1"/>
    <w:rsid w:val="00DC7B06"/>
    <w:rsid w:val="00DC7B54"/>
    <w:rsid w:val="00DC7CA4"/>
    <w:rsid w:val="00DD0595"/>
    <w:rsid w:val="00DD0992"/>
    <w:rsid w:val="00DD0A10"/>
    <w:rsid w:val="00DD0A47"/>
    <w:rsid w:val="00DD0ACE"/>
    <w:rsid w:val="00DD0B1D"/>
    <w:rsid w:val="00DD0BDA"/>
    <w:rsid w:val="00DD0C6A"/>
    <w:rsid w:val="00DD0CD4"/>
    <w:rsid w:val="00DD0DAD"/>
    <w:rsid w:val="00DD0EA2"/>
    <w:rsid w:val="00DD0F30"/>
    <w:rsid w:val="00DD117F"/>
    <w:rsid w:val="00DD1349"/>
    <w:rsid w:val="00DD141A"/>
    <w:rsid w:val="00DD172A"/>
    <w:rsid w:val="00DD1739"/>
    <w:rsid w:val="00DD173D"/>
    <w:rsid w:val="00DD17AB"/>
    <w:rsid w:val="00DD1B0A"/>
    <w:rsid w:val="00DD1CEB"/>
    <w:rsid w:val="00DD1F14"/>
    <w:rsid w:val="00DD20E4"/>
    <w:rsid w:val="00DD22D0"/>
    <w:rsid w:val="00DD23E8"/>
    <w:rsid w:val="00DD2437"/>
    <w:rsid w:val="00DD292F"/>
    <w:rsid w:val="00DD2A67"/>
    <w:rsid w:val="00DD2C7C"/>
    <w:rsid w:val="00DD2D20"/>
    <w:rsid w:val="00DD31A5"/>
    <w:rsid w:val="00DD33A9"/>
    <w:rsid w:val="00DD3804"/>
    <w:rsid w:val="00DD39C6"/>
    <w:rsid w:val="00DD3B39"/>
    <w:rsid w:val="00DD3E76"/>
    <w:rsid w:val="00DD3F92"/>
    <w:rsid w:val="00DD421E"/>
    <w:rsid w:val="00DD4244"/>
    <w:rsid w:val="00DD42F0"/>
    <w:rsid w:val="00DD46CF"/>
    <w:rsid w:val="00DD4710"/>
    <w:rsid w:val="00DD4916"/>
    <w:rsid w:val="00DD4FCB"/>
    <w:rsid w:val="00DD5078"/>
    <w:rsid w:val="00DD53D2"/>
    <w:rsid w:val="00DD5478"/>
    <w:rsid w:val="00DD54A4"/>
    <w:rsid w:val="00DD54E1"/>
    <w:rsid w:val="00DD5630"/>
    <w:rsid w:val="00DD5C3D"/>
    <w:rsid w:val="00DD5C8E"/>
    <w:rsid w:val="00DD5FDF"/>
    <w:rsid w:val="00DD6033"/>
    <w:rsid w:val="00DD607B"/>
    <w:rsid w:val="00DD616E"/>
    <w:rsid w:val="00DD65E7"/>
    <w:rsid w:val="00DD6B4B"/>
    <w:rsid w:val="00DD6B5B"/>
    <w:rsid w:val="00DD6B92"/>
    <w:rsid w:val="00DD6CA6"/>
    <w:rsid w:val="00DD6CCC"/>
    <w:rsid w:val="00DD713E"/>
    <w:rsid w:val="00DD72CC"/>
    <w:rsid w:val="00DD73AA"/>
    <w:rsid w:val="00DD73C4"/>
    <w:rsid w:val="00DD7464"/>
    <w:rsid w:val="00DD76B7"/>
    <w:rsid w:val="00DD78F3"/>
    <w:rsid w:val="00DD7B91"/>
    <w:rsid w:val="00DD7FEE"/>
    <w:rsid w:val="00DE0146"/>
    <w:rsid w:val="00DE046B"/>
    <w:rsid w:val="00DE06F5"/>
    <w:rsid w:val="00DE07F7"/>
    <w:rsid w:val="00DE0836"/>
    <w:rsid w:val="00DE0AA9"/>
    <w:rsid w:val="00DE0B28"/>
    <w:rsid w:val="00DE0EC1"/>
    <w:rsid w:val="00DE1099"/>
    <w:rsid w:val="00DE111A"/>
    <w:rsid w:val="00DE142D"/>
    <w:rsid w:val="00DE14E5"/>
    <w:rsid w:val="00DE1627"/>
    <w:rsid w:val="00DE180F"/>
    <w:rsid w:val="00DE1930"/>
    <w:rsid w:val="00DE1B19"/>
    <w:rsid w:val="00DE1ED3"/>
    <w:rsid w:val="00DE1F77"/>
    <w:rsid w:val="00DE21AB"/>
    <w:rsid w:val="00DE235A"/>
    <w:rsid w:val="00DE29AF"/>
    <w:rsid w:val="00DE2A55"/>
    <w:rsid w:val="00DE2B1A"/>
    <w:rsid w:val="00DE2C51"/>
    <w:rsid w:val="00DE2D99"/>
    <w:rsid w:val="00DE2F71"/>
    <w:rsid w:val="00DE3250"/>
    <w:rsid w:val="00DE332E"/>
    <w:rsid w:val="00DE333A"/>
    <w:rsid w:val="00DE33CA"/>
    <w:rsid w:val="00DE36F9"/>
    <w:rsid w:val="00DE38E2"/>
    <w:rsid w:val="00DE39A9"/>
    <w:rsid w:val="00DE39BA"/>
    <w:rsid w:val="00DE3BB0"/>
    <w:rsid w:val="00DE3C25"/>
    <w:rsid w:val="00DE3C2B"/>
    <w:rsid w:val="00DE3D01"/>
    <w:rsid w:val="00DE3E4C"/>
    <w:rsid w:val="00DE3E53"/>
    <w:rsid w:val="00DE3EB5"/>
    <w:rsid w:val="00DE40B9"/>
    <w:rsid w:val="00DE4183"/>
    <w:rsid w:val="00DE418D"/>
    <w:rsid w:val="00DE426C"/>
    <w:rsid w:val="00DE48E2"/>
    <w:rsid w:val="00DE48EC"/>
    <w:rsid w:val="00DE4A8B"/>
    <w:rsid w:val="00DE4B76"/>
    <w:rsid w:val="00DE4C0D"/>
    <w:rsid w:val="00DE4C7D"/>
    <w:rsid w:val="00DE4D20"/>
    <w:rsid w:val="00DE4D82"/>
    <w:rsid w:val="00DE5295"/>
    <w:rsid w:val="00DE544A"/>
    <w:rsid w:val="00DE5514"/>
    <w:rsid w:val="00DE55AE"/>
    <w:rsid w:val="00DE56F4"/>
    <w:rsid w:val="00DE580A"/>
    <w:rsid w:val="00DE5CF8"/>
    <w:rsid w:val="00DE5D73"/>
    <w:rsid w:val="00DE5DF7"/>
    <w:rsid w:val="00DE5E7E"/>
    <w:rsid w:val="00DE609C"/>
    <w:rsid w:val="00DE6123"/>
    <w:rsid w:val="00DE6280"/>
    <w:rsid w:val="00DE62F4"/>
    <w:rsid w:val="00DE64D5"/>
    <w:rsid w:val="00DE681E"/>
    <w:rsid w:val="00DE6957"/>
    <w:rsid w:val="00DE6A0D"/>
    <w:rsid w:val="00DE6A5A"/>
    <w:rsid w:val="00DE6EB1"/>
    <w:rsid w:val="00DE6FD4"/>
    <w:rsid w:val="00DE7016"/>
    <w:rsid w:val="00DE71DA"/>
    <w:rsid w:val="00DE724D"/>
    <w:rsid w:val="00DE7276"/>
    <w:rsid w:val="00DE7628"/>
    <w:rsid w:val="00DE793C"/>
    <w:rsid w:val="00DE7EA9"/>
    <w:rsid w:val="00DF03B1"/>
    <w:rsid w:val="00DF03CF"/>
    <w:rsid w:val="00DF0623"/>
    <w:rsid w:val="00DF0790"/>
    <w:rsid w:val="00DF0986"/>
    <w:rsid w:val="00DF0FEA"/>
    <w:rsid w:val="00DF1175"/>
    <w:rsid w:val="00DF13B0"/>
    <w:rsid w:val="00DF142C"/>
    <w:rsid w:val="00DF14BB"/>
    <w:rsid w:val="00DF152A"/>
    <w:rsid w:val="00DF1925"/>
    <w:rsid w:val="00DF19F1"/>
    <w:rsid w:val="00DF1D2E"/>
    <w:rsid w:val="00DF21AA"/>
    <w:rsid w:val="00DF222F"/>
    <w:rsid w:val="00DF223F"/>
    <w:rsid w:val="00DF2442"/>
    <w:rsid w:val="00DF25AB"/>
    <w:rsid w:val="00DF2C41"/>
    <w:rsid w:val="00DF2D04"/>
    <w:rsid w:val="00DF2F38"/>
    <w:rsid w:val="00DF3006"/>
    <w:rsid w:val="00DF3433"/>
    <w:rsid w:val="00DF39E3"/>
    <w:rsid w:val="00DF3AFC"/>
    <w:rsid w:val="00DF3D26"/>
    <w:rsid w:val="00DF3D5D"/>
    <w:rsid w:val="00DF3F48"/>
    <w:rsid w:val="00DF40F6"/>
    <w:rsid w:val="00DF4179"/>
    <w:rsid w:val="00DF42F9"/>
    <w:rsid w:val="00DF472A"/>
    <w:rsid w:val="00DF4827"/>
    <w:rsid w:val="00DF49FC"/>
    <w:rsid w:val="00DF4B5A"/>
    <w:rsid w:val="00DF52AE"/>
    <w:rsid w:val="00DF5485"/>
    <w:rsid w:val="00DF5641"/>
    <w:rsid w:val="00DF5DA8"/>
    <w:rsid w:val="00DF5F86"/>
    <w:rsid w:val="00DF60B1"/>
    <w:rsid w:val="00DF60E0"/>
    <w:rsid w:val="00DF6297"/>
    <w:rsid w:val="00DF6330"/>
    <w:rsid w:val="00DF67EF"/>
    <w:rsid w:val="00DF68E5"/>
    <w:rsid w:val="00DF6AA9"/>
    <w:rsid w:val="00DF70F6"/>
    <w:rsid w:val="00DF7445"/>
    <w:rsid w:val="00DF74D4"/>
    <w:rsid w:val="00DF756C"/>
    <w:rsid w:val="00DF759E"/>
    <w:rsid w:val="00DF75F9"/>
    <w:rsid w:val="00DF7A61"/>
    <w:rsid w:val="00DF7AB9"/>
    <w:rsid w:val="00DF7B49"/>
    <w:rsid w:val="00DF7D72"/>
    <w:rsid w:val="00DF7DA8"/>
    <w:rsid w:val="00DF7FC7"/>
    <w:rsid w:val="00E005AC"/>
    <w:rsid w:val="00E005D9"/>
    <w:rsid w:val="00E006CD"/>
    <w:rsid w:val="00E006E7"/>
    <w:rsid w:val="00E0076C"/>
    <w:rsid w:val="00E00844"/>
    <w:rsid w:val="00E00A27"/>
    <w:rsid w:val="00E00AAE"/>
    <w:rsid w:val="00E00CD4"/>
    <w:rsid w:val="00E00D57"/>
    <w:rsid w:val="00E00EA7"/>
    <w:rsid w:val="00E00F42"/>
    <w:rsid w:val="00E0106C"/>
    <w:rsid w:val="00E01072"/>
    <w:rsid w:val="00E015E8"/>
    <w:rsid w:val="00E01772"/>
    <w:rsid w:val="00E017ED"/>
    <w:rsid w:val="00E01D7C"/>
    <w:rsid w:val="00E01E0B"/>
    <w:rsid w:val="00E0217F"/>
    <w:rsid w:val="00E022FF"/>
    <w:rsid w:val="00E023BD"/>
    <w:rsid w:val="00E027B4"/>
    <w:rsid w:val="00E027EC"/>
    <w:rsid w:val="00E02803"/>
    <w:rsid w:val="00E0289A"/>
    <w:rsid w:val="00E028A0"/>
    <w:rsid w:val="00E03125"/>
    <w:rsid w:val="00E036F1"/>
    <w:rsid w:val="00E037E3"/>
    <w:rsid w:val="00E0387F"/>
    <w:rsid w:val="00E03C4F"/>
    <w:rsid w:val="00E03DBF"/>
    <w:rsid w:val="00E03E9D"/>
    <w:rsid w:val="00E040D4"/>
    <w:rsid w:val="00E04257"/>
    <w:rsid w:val="00E049ED"/>
    <w:rsid w:val="00E04D43"/>
    <w:rsid w:val="00E0506F"/>
    <w:rsid w:val="00E05202"/>
    <w:rsid w:val="00E052D8"/>
    <w:rsid w:val="00E05364"/>
    <w:rsid w:val="00E053B4"/>
    <w:rsid w:val="00E05529"/>
    <w:rsid w:val="00E05745"/>
    <w:rsid w:val="00E05766"/>
    <w:rsid w:val="00E05898"/>
    <w:rsid w:val="00E059C9"/>
    <w:rsid w:val="00E05A4D"/>
    <w:rsid w:val="00E05AD1"/>
    <w:rsid w:val="00E05B8F"/>
    <w:rsid w:val="00E05C98"/>
    <w:rsid w:val="00E05FFC"/>
    <w:rsid w:val="00E06199"/>
    <w:rsid w:val="00E062AC"/>
    <w:rsid w:val="00E06366"/>
    <w:rsid w:val="00E064AD"/>
    <w:rsid w:val="00E064EA"/>
    <w:rsid w:val="00E06795"/>
    <w:rsid w:val="00E067E5"/>
    <w:rsid w:val="00E0691D"/>
    <w:rsid w:val="00E06966"/>
    <w:rsid w:val="00E069AA"/>
    <w:rsid w:val="00E069AE"/>
    <w:rsid w:val="00E06AF5"/>
    <w:rsid w:val="00E070B4"/>
    <w:rsid w:val="00E07227"/>
    <w:rsid w:val="00E0724A"/>
    <w:rsid w:val="00E073B2"/>
    <w:rsid w:val="00E07492"/>
    <w:rsid w:val="00E07747"/>
    <w:rsid w:val="00E07E9F"/>
    <w:rsid w:val="00E104B3"/>
    <w:rsid w:val="00E10AFC"/>
    <w:rsid w:val="00E10F9B"/>
    <w:rsid w:val="00E11184"/>
    <w:rsid w:val="00E1122D"/>
    <w:rsid w:val="00E11381"/>
    <w:rsid w:val="00E1138B"/>
    <w:rsid w:val="00E117D5"/>
    <w:rsid w:val="00E118CD"/>
    <w:rsid w:val="00E118D1"/>
    <w:rsid w:val="00E11A65"/>
    <w:rsid w:val="00E11ACA"/>
    <w:rsid w:val="00E11B14"/>
    <w:rsid w:val="00E12709"/>
    <w:rsid w:val="00E128DF"/>
    <w:rsid w:val="00E12963"/>
    <w:rsid w:val="00E12A9F"/>
    <w:rsid w:val="00E12BD7"/>
    <w:rsid w:val="00E13138"/>
    <w:rsid w:val="00E13809"/>
    <w:rsid w:val="00E138CF"/>
    <w:rsid w:val="00E1399A"/>
    <w:rsid w:val="00E13A05"/>
    <w:rsid w:val="00E13A20"/>
    <w:rsid w:val="00E13A52"/>
    <w:rsid w:val="00E13A64"/>
    <w:rsid w:val="00E13B98"/>
    <w:rsid w:val="00E13EC0"/>
    <w:rsid w:val="00E13F45"/>
    <w:rsid w:val="00E14125"/>
    <w:rsid w:val="00E14222"/>
    <w:rsid w:val="00E14282"/>
    <w:rsid w:val="00E142B2"/>
    <w:rsid w:val="00E14309"/>
    <w:rsid w:val="00E1436A"/>
    <w:rsid w:val="00E145D0"/>
    <w:rsid w:val="00E1467B"/>
    <w:rsid w:val="00E14A3A"/>
    <w:rsid w:val="00E14C81"/>
    <w:rsid w:val="00E14D38"/>
    <w:rsid w:val="00E150F7"/>
    <w:rsid w:val="00E15258"/>
    <w:rsid w:val="00E15322"/>
    <w:rsid w:val="00E1565F"/>
    <w:rsid w:val="00E16024"/>
    <w:rsid w:val="00E1610A"/>
    <w:rsid w:val="00E165B4"/>
    <w:rsid w:val="00E166B8"/>
    <w:rsid w:val="00E16761"/>
    <w:rsid w:val="00E16AB8"/>
    <w:rsid w:val="00E16B4A"/>
    <w:rsid w:val="00E16B99"/>
    <w:rsid w:val="00E16BCB"/>
    <w:rsid w:val="00E16CBD"/>
    <w:rsid w:val="00E16D2D"/>
    <w:rsid w:val="00E16F27"/>
    <w:rsid w:val="00E16FF9"/>
    <w:rsid w:val="00E170D1"/>
    <w:rsid w:val="00E1773E"/>
    <w:rsid w:val="00E17867"/>
    <w:rsid w:val="00E17B98"/>
    <w:rsid w:val="00E17CED"/>
    <w:rsid w:val="00E17DC3"/>
    <w:rsid w:val="00E17F68"/>
    <w:rsid w:val="00E201FE"/>
    <w:rsid w:val="00E20493"/>
    <w:rsid w:val="00E20581"/>
    <w:rsid w:val="00E20AB5"/>
    <w:rsid w:val="00E21051"/>
    <w:rsid w:val="00E2170F"/>
    <w:rsid w:val="00E21722"/>
    <w:rsid w:val="00E2188A"/>
    <w:rsid w:val="00E21B83"/>
    <w:rsid w:val="00E21CB1"/>
    <w:rsid w:val="00E21CD5"/>
    <w:rsid w:val="00E21D9A"/>
    <w:rsid w:val="00E21E14"/>
    <w:rsid w:val="00E21FC0"/>
    <w:rsid w:val="00E22036"/>
    <w:rsid w:val="00E2269B"/>
    <w:rsid w:val="00E22831"/>
    <w:rsid w:val="00E228E0"/>
    <w:rsid w:val="00E22C6A"/>
    <w:rsid w:val="00E22D2A"/>
    <w:rsid w:val="00E22FA8"/>
    <w:rsid w:val="00E23233"/>
    <w:rsid w:val="00E23423"/>
    <w:rsid w:val="00E235CB"/>
    <w:rsid w:val="00E236DD"/>
    <w:rsid w:val="00E237C8"/>
    <w:rsid w:val="00E23B17"/>
    <w:rsid w:val="00E23B74"/>
    <w:rsid w:val="00E23B80"/>
    <w:rsid w:val="00E23E6F"/>
    <w:rsid w:val="00E241D2"/>
    <w:rsid w:val="00E241DC"/>
    <w:rsid w:val="00E242D7"/>
    <w:rsid w:val="00E2450B"/>
    <w:rsid w:val="00E24525"/>
    <w:rsid w:val="00E24609"/>
    <w:rsid w:val="00E24708"/>
    <w:rsid w:val="00E2475A"/>
    <w:rsid w:val="00E248BD"/>
    <w:rsid w:val="00E24C49"/>
    <w:rsid w:val="00E24D9E"/>
    <w:rsid w:val="00E24E15"/>
    <w:rsid w:val="00E256C9"/>
    <w:rsid w:val="00E256DD"/>
    <w:rsid w:val="00E25796"/>
    <w:rsid w:val="00E25A72"/>
    <w:rsid w:val="00E25E4A"/>
    <w:rsid w:val="00E25EBC"/>
    <w:rsid w:val="00E25F7C"/>
    <w:rsid w:val="00E262ED"/>
    <w:rsid w:val="00E2632A"/>
    <w:rsid w:val="00E2699D"/>
    <w:rsid w:val="00E26D25"/>
    <w:rsid w:val="00E26FF1"/>
    <w:rsid w:val="00E271E1"/>
    <w:rsid w:val="00E272DF"/>
    <w:rsid w:val="00E27431"/>
    <w:rsid w:val="00E2747F"/>
    <w:rsid w:val="00E275DA"/>
    <w:rsid w:val="00E27B55"/>
    <w:rsid w:val="00E27E15"/>
    <w:rsid w:val="00E27EA9"/>
    <w:rsid w:val="00E3072A"/>
    <w:rsid w:val="00E307FB"/>
    <w:rsid w:val="00E30ADB"/>
    <w:rsid w:val="00E30C5A"/>
    <w:rsid w:val="00E30E4D"/>
    <w:rsid w:val="00E30FB4"/>
    <w:rsid w:val="00E31005"/>
    <w:rsid w:val="00E31155"/>
    <w:rsid w:val="00E31813"/>
    <w:rsid w:val="00E31891"/>
    <w:rsid w:val="00E31954"/>
    <w:rsid w:val="00E31CF1"/>
    <w:rsid w:val="00E31F2D"/>
    <w:rsid w:val="00E31FCC"/>
    <w:rsid w:val="00E32416"/>
    <w:rsid w:val="00E3276D"/>
    <w:rsid w:val="00E32837"/>
    <w:rsid w:val="00E329EE"/>
    <w:rsid w:val="00E32AC4"/>
    <w:rsid w:val="00E32DC6"/>
    <w:rsid w:val="00E33016"/>
    <w:rsid w:val="00E3320E"/>
    <w:rsid w:val="00E332CD"/>
    <w:rsid w:val="00E3345A"/>
    <w:rsid w:val="00E33A1C"/>
    <w:rsid w:val="00E33B17"/>
    <w:rsid w:val="00E33B8A"/>
    <w:rsid w:val="00E33CA8"/>
    <w:rsid w:val="00E33D50"/>
    <w:rsid w:val="00E34451"/>
    <w:rsid w:val="00E34513"/>
    <w:rsid w:val="00E34590"/>
    <w:rsid w:val="00E346D5"/>
    <w:rsid w:val="00E3476B"/>
    <w:rsid w:val="00E347D4"/>
    <w:rsid w:val="00E34955"/>
    <w:rsid w:val="00E34B89"/>
    <w:rsid w:val="00E34C0F"/>
    <w:rsid w:val="00E3504B"/>
    <w:rsid w:val="00E350E8"/>
    <w:rsid w:val="00E35182"/>
    <w:rsid w:val="00E351E6"/>
    <w:rsid w:val="00E3526C"/>
    <w:rsid w:val="00E35285"/>
    <w:rsid w:val="00E35982"/>
    <w:rsid w:val="00E35984"/>
    <w:rsid w:val="00E35A5D"/>
    <w:rsid w:val="00E35D80"/>
    <w:rsid w:val="00E3613C"/>
    <w:rsid w:val="00E36157"/>
    <w:rsid w:val="00E36289"/>
    <w:rsid w:val="00E363C1"/>
    <w:rsid w:val="00E3655D"/>
    <w:rsid w:val="00E367DE"/>
    <w:rsid w:val="00E368EE"/>
    <w:rsid w:val="00E368FC"/>
    <w:rsid w:val="00E36953"/>
    <w:rsid w:val="00E36BCC"/>
    <w:rsid w:val="00E36BF3"/>
    <w:rsid w:val="00E36DE4"/>
    <w:rsid w:val="00E36EE6"/>
    <w:rsid w:val="00E37172"/>
    <w:rsid w:val="00E371D9"/>
    <w:rsid w:val="00E37223"/>
    <w:rsid w:val="00E373B4"/>
    <w:rsid w:val="00E37501"/>
    <w:rsid w:val="00E37A3B"/>
    <w:rsid w:val="00E37A96"/>
    <w:rsid w:val="00E37C32"/>
    <w:rsid w:val="00E37D54"/>
    <w:rsid w:val="00E37E3B"/>
    <w:rsid w:val="00E37F24"/>
    <w:rsid w:val="00E3F37D"/>
    <w:rsid w:val="00E40267"/>
    <w:rsid w:val="00E40352"/>
    <w:rsid w:val="00E40354"/>
    <w:rsid w:val="00E404BE"/>
    <w:rsid w:val="00E40580"/>
    <w:rsid w:val="00E40594"/>
    <w:rsid w:val="00E4071C"/>
    <w:rsid w:val="00E40BA5"/>
    <w:rsid w:val="00E40EB5"/>
    <w:rsid w:val="00E4103D"/>
    <w:rsid w:val="00E413DD"/>
    <w:rsid w:val="00E415A0"/>
    <w:rsid w:val="00E41699"/>
    <w:rsid w:val="00E416BA"/>
    <w:rsid w:val="00E417B4"/>
    <w:rsid w:val="00E418ED"/>
    <w:rsid w:val="00E41B97"/>
    <w:rsid w:val="00E41BEC"/>
    <w:rsid w:val="00E41D4C"/>
    <w:rsid w:val="00E41DA8"/>
    <w:rsid w:val="00E422CF"/>
    <w:rsid w:val="00E426F9"/>
    <w:rsid w:val="00E4293C"/>
    <w:rsid w:val="00E429F6"/>
    <w:rsid w:val="00E42E09"/>
    <w:rsid w:val="00E42E40"/>
    <w:rsid w:val="00E42E4D"/>
    <w:rsid w:val="00E42E69"/>
    <w:rsid w:val="00E42F48"/>
    <w:rsid w:val="00E42FDD"/>
    <w:rsid w:val="00E431AD"/>
    <w:rsid w:val="00E438B0"/>
    <w:rsid w:val="00E439DD"/>
    <w:rsid w:val="00E439E0"/>
    <w:rsid w:val="00E43AAB"/>
    <w:rsid w:val="00E43B94"/>
    <w:rsid w:val="00E43CBC"/>
    <w:rsid w:val="00E43CF6"/>
    <w:rsid w:val="00E43F0C"/>
    <w:rsid w:val="00E44395"/>
    <w:rsid w:val="00E447DA"/>
    <w:rsid w:val="00E44845"/>
    <w:rsid w:val="00E44AFD"/>
    <w:rsid w:val="00E44C91"/>
    <w:rsid w:val="00E44C92"/>
    <w:rsid w:val="00E44E2E"/>
    <w:rsid w:val="00E4535D"/>
    <w:rsid w:val="00E4538E"/>
    <w:rsid w:val="00E455A6"/>
    <w:rsid w:val="00E45668"/>
    <w:rsid w:val="00E45793"/>
    <w:rsid w:val="00E46199"/>
    <w:rsid w:val="00E46471"/>
    <w:rsid w:val="00E4650A"/>
    <w:rsid w:val="00E46769"/>
    <w:rsid w:val="00E469D4"/>
    <w:rsid w:val="00E470E7"/>
    <w:rsid w:val="00E471EB"/>
    <w:rsid w:val="00E47349"/>
    <w:rsid w:val="00E47705"/>
    <w:rsid w:val="00E477E7"/>
    <w:rsid w:val="00E47BC9"/>
    <w:rsid w:val="00E50346"/>
    <w:rsid w:val="00E50414"/>
    <w:rsid w:val="00E504BA"/>
    <w:rsid w:val="00E504E5"/>
    <w:rsid w:val="00E505DD"/>
    <w:rsid w:val="00E50AC4"/>
    <w:rsid w:val="00E50F7A"/>
    <w:rsid w:val="00E51035"/>
    <w:rsid w:val="00E5150A"/>
    <w:rsid w:val="00E515B0"/>
    <w:rsid w:val="00E516B1"/>
    <w:rsid w:val="00E51AFC"/>
    <w:rsid w:val="00E51AFD"/>
    <w:rsid w:val="00E51B1F"/>
    <w:rsid w:val="00E51F95"/>
    <w:rsid w:val="00E51FF0"/>
    <w:rsid w:val="00E5217B"/>
    <w:rsid w:val="00E5221A"/>
    <w:rsid w:val="00E52485"/>
    <w:rsid w:val="00E524D9"/>
    <w:rsid w:val="00E52671"/>
    <w:rsid w:val="00E529A9"/>
    <w:rsid w:val="00E52E8F"/>
    <w:rsid w:val="00E531A4"/>
    <w:rsid w:val="00E531E9"/>
    <w:rsid w:val="00E53370"/>
    <w:rsid w:val="00E53437"/>
    <w:rsid w:val="00E53887"/>
    <w:rsid w:val="00E541F9"/>
    <w:rsid w:val="00E543D1"/>
    <w:rsid w:val="00E54400"/>
    <w:rsid w:val="00E54717"/>
    <w:rsid w:val="00E54907"/>
    <w:rsid w:val="00E5496F"/>
    <w:rsid w:val="00E549D8"/>
    <w:rsid w:val="00E54CBA"/>
    <w:rsid w:val="00E54E02"/>
    <w:rsid w:val="00E5519D"/>
    <w:rsid w:val="00E55487"/>
    <w:rsid w:val="00E5552C"/>
    <w:rsid w:val="00E5576B"/>
    <w:rsid w:val="00E559B6"/>
    <w:rsid w:val="00E55B3C"/>
    <w:rsid w:val="00E55E1F"/>
    <w:rsid w:val="00E55E9A"/>
    <w:rsid w:val="00E55EA5"/>
    <w:rsid w:val="00E55F21"/>
    <w:rsid w:val="00E56085"/>
    <w:rsid w:val="00E56261"/>
    <w:rsid w:val="00E563F5"/>
    <w:rsid w:val="00E56991"/>
    <w:rsid w:val="00E570A5"/>
    <w:rsid w:val="00E574A7"/>
    <w:rsid w:val="00E5750F"/>
    <w:rsid w:val="00E575CC"/>
    <w:rsid w:val="00E576E9"/>
    <w:rsid w:val="00E5774E"/>
    <w:rsid w:val="00E57AC6"/>
    <w:rsid w:val="00E57D29"/>
    <w:rsid w:val="00E60585"/>
    <w:rsid w:val="00E60698"/>
    <w:rsid w:val="00E6079E"/>
    <w:rsid w:val="00E60843"/>
    <w:rsid w:val="00E60A0E"/>
    <w:rsid w:val="00E60D0F"/>
    <w:rsid w:val="00E60DCF"/>
    <w:rsid w:val="00E60DD1"/>
    <w:rsid w:val="00E611C9"/>
    <w:rsid w:val="00E61600"/>
    <w:rsid w:val="00E616E0"/>
    <w:rsid w:val="00E6172F"/>
    <w:rsid w:val="00E6175C"/>
    <w:rsid w:val="00E61A37"/>
    <w:rsid w:val="00E61AA9"/>
    <w:rsid w:val="00E61AAB"/>
    <w:rsid w:val="00E6200E"/>
    <w:rsid w:val="00E6222C"/>
    <w:rsid w:val="00E622C5"/>
    <w:rsid w:val="00E624AA"/>
    <w:rsid w:val="00E624C6"/>
    <w:rsid w:val="00E626EE"/>
    <w:rsid w:val="00E62896"/>
    <w:rsid w:val="00E628AC"/>
    <w:rsid w:val="00E62B49"/>
    <w:rsid w:val="00E62B8C"/>
    <w:rsid w:val="00E62B9A"/>
    <w:rsid w:val="00E62D2F"/>
    <w:rsid w:val="00E630A8"/>
    <w:rsid w:val="00E63263"/>
    <w:rsid w:val="00E633A6"/>
    <w:rsid w:val="00E63542"/>
    <w:rsid w:val="00E63591"/>
    <w:rsid w:val="00E6380D"/>
    <w:rsid w:val="00E638CA"/>
    <w:rsid w:val="00E638DB"/>
    <w:rsid w:val="00E63960"/>
    <w:rsid w:val="00E63A41"/>
    <w:rsid w:val="00E63D5E"/>
    <w:rsid w:val="00E63F90"/>
    <w:rsid w:val="00E64110"/>
    <w:rsid w:val="00E6424E"/>
    <w:rsid w:val="00E64333"/>
    <w:rsid w:val="00E643CC"/>
    <w:rsid w:val="00E64434"/>
    <w:rsid w:val="00E644A7"/>
    <w:rsid w:val="00E647FE"/>
    <w:rsid w:val="00E648AC"/>
    <w:rsid w:val="00E64A80"/>
    <w:rsid w:val="00E64A9D"/>
    <w:rsid w:val="00E65058"/>
    <w:rsid w:val="00E65230"/>
    <w:rsid w:val="00E652CE"/>
    <w:rsid w:val="00E6536D"/>
    <w:rsid w:val="00E6545B"/>
    <w:rsid w:val="00E658B7"/>
    <w:rsid w:val="00E658E9"/>
    <w:rsid w:val="00E6590E"/>
    <w:rsid w:val="00E65918"/>
    <w:rsid w:val="00E65A10"/>
    <w:rsid w:val="00E65A2A"/>
    <w:rsid w:val="00E65ED5"/>
    <w:rsid w:val="00E6601A"/>
    <w:rsid w:val="00E6614B"/>
    <w:rsid w:val="00E6621D"/>
    <w:rsid w:val="00E66614"/>
    <w:rsid w:val="00E666D0"/>
    <w:rsid w:val="00E66AF5"/>
    <w:rsid w:val="00E66B1A"/>
    <w:rsid w:val="00E66DCC"/>
    <w:rsid w:val="00E67630"/>
    <w:rsid w:val="00E679F4"/>
    <w:rsid w:val="00E7007E"/>
    <w:rsid w:val="00E700B5"/>
    <w:rsid w:val="00E70332"/>
    <w:rsid w:val="00E7076F"/>
    <w:rsid w:val="00E70CB9"/>
    <w:rsid w:val="00E70EE2"/>
    <w:rsid w:val="00E710BD"/>
    <w:rsid w:val="00E713A3"/>
    <w:rsid w:val="00E713F4"/>
    <w:rsid w:val="00E7140F"/>
    <w:rsid w:val="00E71510"/>
    <w:rsid w:val="00E719DE"/>
    <w:rsid w:val="00E71AB9"/>
    <w:rsid w:val="00E71C24"/>
    <w:rsid w:val="00E71CCB"/>
    <w:rsid w:val="00E7204C"/>
    <w:rsid w:val="00E72116"/>
    <w:rsid w:val="00E72686"/>
    <w:rsid w:val="00E726F3"/>
    <w:rsid w:val="00E7290C"/>
    <w:rsid w:val="00E72D21"/>
    <w:rsid w:val="00E72E70"/>
    <w:rsid w:val="00E72E86"/>
    <w:rsid w:val="00E72F16"/>
    <w:rsid w:val="00E732AF"/>
    <w:rsid w:val="00E7337D"/>
    <w:rsid w:val="00E73454"/>
    <w:rsid w:val="00E73B1A"/>
    <w:rsid w:val="00E73F25"/>
    <w:rsid w:val="00E74041"/>
    <w:rsid w:val="00E74073"/>
    <w:rsid w:val="00E740C0"/>
    <w:rsid w:val="00E74470"/>
    <w:rsid w:val="00E74682"/>
    <w:rsid w:val="00E746A5"/>
    <w:rsid w:val="00E74B68"/>
    <w:rsid w:val="00E74BCF"/>
    <w:rsid w:val="00E74C59"/>
    <w:rsid w:val="00E74CA9"/>
    <w:rsid w:val="00E74DAB"/>
    <w:rsid w:val="00E74F0A"/>
    <w:rsid w:val="00E74FDE"/>
    <w:rsid w:val="00E75010"/>
    <w:rsid w:val="00E75248"/>
    <w:rsid w:val="00E7548A"/>
    <w:rsid w:val="00E758BC"/>
    <w:rsid w:val="00E75BC5"/>
    <w:rsid w:val="00E75BFD"/>
    <w:rsid w:val="00E75C94"/>
    <w:rsid w:val="00E75D32"/>
    <w:rsid w:val="00E75E8A"/>
    <w:rsid w:val="00E75F1C"/>
    <w:rsid w:val="00E7613F"/>
    <w:rsid w:val="00E762AD"/>
    <w:rsid w:val="00E76337"/>
    <w:rsid w:val="00E76562"/>
    <w:rsid w:val="00E76820"/>
    <w:rsid w:val="00E76C92"/>
    <w:rsid w:val="00E76FB4"/>
    <w:rsid w:val="00E76FEE"/>
    <w:rsid w:val="00E77328"/>
    <w:rsid w:val="00E774BC"/>
    <w:rsid w:val="00E775D4"/>
    <w:rsid w:val="00E77620"/>
    <w:rsid w:val="00E77834"/>
    <w:rsid w:val="00E7796A"/>
    <w:rsid w:val="00E77BA9"/>
    <w:rsid w:val="00E77F73"/>
    <w:rsid w:val="00E80055"/>
    <w:rsid w:val="00E800BA"/>
    <w:rsid w:val="00E80109"/>
    <w:rsid w:val="00E80574"/>
    <w:rsid w:val="00E80597"/>
    <w:rsid w:val="00E8085A"/>
    <w:rsid w:val="00E80949"/>
    <w:rsid w:val="00E809D9"/>
    <w:rsid w:val="00E80E9A"/>
    <w:rsid w:val="00E80F5E"/>
    <w:rsid w:val="00E81120"/>
    <w:rsid w:val="00E8112E"/>
    <w:rsid w:val="00E811CD"/>
    <w:rsid w:val="00E811EE"/>
    <w:rsid w:val="00E8161E"/>
    <w:rsid w:val="00E816ED"/>
    <w:rsid w:val="00E817D9"/>
    <w:rsid w:val="00E81EE3"/>
    <w:rsid w:val="00E82020"/>
    <w:rsid w:val="00E822E5"/>
    <w:rsid w:val="00E826AA"/>
    <w:rsid w:val="00E826F4"/>
    <w:rsid w:val="00E826FA"/>
    <w:rsid w:val="00E827B1"/>
    <w:rsid w:val="00E82B66"/>
    <w:rsid w:val="00E82C39"/>
    <w:rsid w:val="00E82D3E"/>
    <w:rsid w:val="00E82ED2"/>
    <w:rsid w:val="00E82FD4"/>
    <w:rsid w:val="00E8317C"/>
    <w:rsid w:val="00E832FA"/>
    <w:rsid w:val="00E8357E"/>
    <w:rsid w:val="00E83661"/>
    <w:rsid w:val="00E8391C"/>
    <w:rsid w:val="00E83B46"/>
    <w:rsid w:val="00E83D48"/>
    <w:rsid w:val="00E83E40"/>
    <w:rsid w:val="00E83F4D"/>
    <w:rsid w:val="00E840C0"/>
    <w:rsid w:val="00E844B7"/>
    <w:rsid w:val="00E84584"/>
    <w:rsid w:val="00E84727"/>
    <w:rsid w:val="00E84761"/>
    <w:rsid w:val="00E8496D"/>
    <w:rsid w:val="00E84A78"/>
    <w:rsid w:val="00E84D7E"/>
    <w:rsid w:val="00E84DB2"/>
    <w:rsid w:val="00E84DC5"/>
    <w:rsid w:val="00E84EB2"/>
    <w:rsid w:val="00E850A3"/>
    <w:rsid w:val="00E851F7"/>
    <w:rsid w:val="00E85364"/>
    <w:rsid w:val="00E85536"/>
    <w:rsid w:val="00E85557"/>
    <w:rsid w:val="00E85646"/>
    <w:rsid w:val="00E856CE"/>
    <w:rsid w:val="00E856E7"/>
    <w:rsid w:val="00E85AE6"/>
    <w:rsid w:val="00E85C27"/>
    <w:rsid w:val="00E8613B"/>
    <w:rsid w:val="00E861E5"/>
    <w:rsid w:val="00E86385"/>
    <w:rsid w:val="00E8646D"/>
    <w:rsid w:val="00E864D3"/>
    <w:rsid w:val="00E86865"/>
    <w:rsid w:val="00E8689C"/>
    <w:rsid w:val="00E86A6B"/>
    <w:rsid w:val="00E86B84"/>
    <w:rsid w:val="00E86E9D"/>
    <w:rsid w:val="00E87083"/>
    <w:rsid w:val="00E871A7"/>
    <w:rsid w:val="00E875C7"/>
    <w:rsid w:val="00E877AD"/>
    <w:rsid w:val="00E87A1A"/>
    <w:rsid w:val="00E87A99"/>
    <w:rsid w:val="00E87D1E"/>
    <w:rsid w:val="00E87D72"/>
    <w:rsid w:val="00E9016F"/>
    <w:rsid w:val="00E9031D"/>
    <w:rsid w:val="00E90703"/>
    <w:rsid w:val="00E90764"/>
    <w:rsid w:val="00E90A56"/>
    <w:rsid w:val="00E90A90"/>
    <w:rsid w:val="00E90C8E"/>
    <w:rsid w:val="00E90D2E"/>
    <w:rsid w:val="00E90E73"/>
    <w:rsid w:val="00E90F3B"/>
    <w:rsid w:val="00E9128C"/>
    <w:rsid w:val="00E9144C"/>
    <w:rsid w:val="00E91598"/>
    <w:rsid w:val="00E9167B"/>
    <w:rsid w:val="00E9194A"/>
    <w:rsid w:val="00E9197C"/>
    <w:rsid w:val="00E919CE"/>
    <w:rsid w:val="00E919F8"/>
    <w:rsid w:val="00E91D60"/>
    <w:rsid w:val="00E91E49"/>
    <w:rsid w:val="00E91FAE"/>
    <w:rsid w:val="00E920C1"/>
    <w:rsid w:val="00E92446"/>
    <w:rsid w:val="00E924CA"/>
    <w:rsid w:val="00E925F1"/>
    <w:rsid w:val="00E927C5"/>
    <w:rsid w:val="00E9284E"/>
    <w:rsid w:val="00E92965"/>
    <w:rsid w:val="00E92D58"/>
    <w:rsid w:val="00E9300A"/>
    <w:rsid w:val="00E930DC"/>
    <w:rsid w:val="00E935DB"/>
    <w:rsid w:val="00E93637"/>
    <w:rsid w:val="00E93923"/>
    <w:rsid w:val="00E93AF3"/>
    <w:rsid w:val="00E93B9B"/>
    <w:rsid w:val="00E93EE9"/>
    <w:rsid w:val="00E941F1"/>
    <w:rsid w:val="00E94306"/>
    <w:rsid w:val="00E94399"/>
    <w:rsid w:val="00E9449F"/>
    <w:rsid w:val="00E94652"/>
    <w:rsid w:val="00E9466F"/>
    <w:rsid w:val="00E94943"/>
    <w:rsid w:val="00E94C37"/>
    <w:rsid w:val="00E94CB9"/>
    <w:rsid w:val="00E95083"/>
    <w:rsid w:val="00E950BB"/>
    <w:rsid w:val="00E9555D"/>
    <w:rsid w:val="00E95641"/>
    <w:rsid w:val="00E95736"/>
    <w:rsid w:val="00E957B1"/>
    <w:rsid w:val="00E95988"/>
    <w:rsid w:val="00E95B10"/>
    <w:rsid w:val="00E95BFA"/>
    <w:rsid w:val="00E95D79"/>
    <w:rsid w:val="00E95E26"/>
    <w:rsid w:val="00E95EED"/>
    <w:rsid w:val="00E96046"/>
    <w:rsid w:val="00E9607E"/>
    <w:rsid w:val="00E9613B"/>
    <w:rsid w:val="00E9626F"/>
    <w:rsid w:val="00E96553"/>
    <w:rsid w:val="00E967B1"/>
    <w:rsid w:val="00E96858"/>
    <w:rsid w:val="00E968D1"/>
    <w:rsid w:val="00E96955"/>
    <w:rsid w:val="00E96A11"/>
    <w:rsid w:val="00E96F66"/>
    <w:rsid w:val="00E96FEA"/>
    <w:rsid w:val="00E9721C"/>
    <w:rsid w:val="00E97827"/>
    <w:rsid w:val="00E9787C"/>
    <w:rsid w:val="00E979A3"/>
    <w:rsid w:val="00E97A9A"/>
    <w:rsid w:val="00E97AAA"/>
    <w:rsid w:val="00E97E03"/>
    <w:rsid w:val="00E97F4B"/>
    <w:rsid w:val="00E97F54"/>
    <w:rsid w:val="00EA00A8"/>
    <w:rsid w:val="00EA0118"/>
    <w:rsid w:val="00EA067D"/>
    <w:rsid w:val="00EA0B30"/>
    <w:rsid w:val="00EA0CDC"/>
    <w:rsid w:val="00EA0FAF"/>
    <w:rsid w:val="00EA105B"/>
    <w:rsid w:val="00EA110B"/>
    <w:rsid w:val="00EA137D"/>
    <w:rsid w:val="00EA1458"/>
    <w:rsid w:val="00EA1488"/>
    <w:rsid w:val="00EA1697"/>
    <w:rsid w:val="00EA1854"/>
    <w:rsid w:val="00EA1873"/>
    <w:rsid w:val="00EA1B4F"/>
    <w:rsid w:val="00EA1BD3"/>
    <w:rsid w:val="00EA1C12"/>
    <w:rsid w:val="00EA1F8D"/>
    <w:rsid w:val="00EA2323"/>
    <w:rsid w:val="00EA2345"/>
    <w:rsid w:val="00EA260F"/>
    <w:rsid w:val="00EA2775"/>
    <w:rsid w:val="00EA27CA"/>
    <w:rsid w:val="00EA27DE"/>
    <w:rsid w:val="00EA2B04"/>
    <w:rsid w:val="00EA2B57"/>
    <w:rsid w:val="00EA2DCE"/>
    <w:rsid w:val="00EA2EE7"/>
    <w:rsid w:val="00EA2F7E"/>
    <w:rsid w:val="00EA3095"/>
    <w:rsid w:val="00EA3570"/>
    <w:rsid w:val="00EA3711"/>
    <w:rsid w:val="00EA389C"/>
    <w:rsid w:val="00EA38D1"/>
    <w:rsid w:val="00EA444B"/>
    <w:rsid w:val="00EA44D9"/>
    <w:rsid w:val="00EA48AB"/>
    <w:rsid w:val="00EA48DA"/>
    <w:rsid w:val="00EA492F"/>
    <w:rsid w:val="00EA4D71"/>
    <w:rsid w:val="00EA4E30"/>
    <w:rsid w:val="00EA503E"/>
    <w:rsid w:val="00EA51B2"/>
    <w:rsid w:val="00EA5889"/>
    <w:rsid w:val="00EA5B80"/>
    <w:rsid w:val="00EA5C65"/>
    <w:rsid w:val="00EA5C94"/>
    <w:rsid w:val="00EA5E05"/>
    <w:rsid w:val="00EA5EFA"/>
    <w:rsid w:val="00EA5EFE"/>
    <w:rsid w:val="00EA5FB5"/>
    <w:rsid w:val="00EA6062"/>
    <w:rsid w:val="00EA645A"/>
    <w:rsid w:val="00EA662D"/>
    <w:rsid w:val="00EA67CD"/>
    <w:rsid w:val="00EA67D4"/>
    <w:rsid w:val="00EA68A5"/>
    <w:rsid w:val="00EA69A1"/>
    <w:rsid w:val="00EA6CAC"/>
    <w:rsid w:val="00EA748B"/>
    <w:rsid w:val="00EA7502"/>
    <w:rsid w:val="00EA7534"/>
    <w:rsid w:val="00EA7B28"/>
    <w:rsid w:val="00EA7DE4"/>
    <w:rsid w:val="00EAAB54"/>
    <w:rsid w:val="00EB00C3"/>
    <w:rsid w:val="00EB06DB"/>
    <w:rsid w:val="00EB070B"/>
    <w:rsid w:val="00EB08CF"/>
    <w:rsid w:val="00EB0B7A"/>
    <w:rsid w:val="00EB0C05"/>
    <w:rsid w:val="00EB0F89"/>
    <w:rsid w:val="00EB10EB"/>
    <w:rsid w:val="00EB118A"/>
    <w:rsid w:val="00EB1288"/>
    <w:rsid w:val="00EB12B2"/>
    <w:rsid w:val="00EB1501"/>
    <w:rsid w:val="00EB15F6"/>
    <w:rsid w:val="00EB16E3"/>
    <w:rsid w:val="00EB178E"/>
    <w:rsid w:val="00EB19FA"/>
    <w:rsid w:val="00EB1B8E"/>
    <w:rsid w:val="00EB1E14"/>
    <w:rsid w:val="00EB2004"/>
    <w:rsid w:val="00EB2081"/>
    <w:rsid w:val="00EB2247"/>
    <w:rsid w:val="00EB2344"/>
    <w:rsid w:val="00EB2345"/>
    <w:rsid w:val="00EB26A8"/>
    <w:rsid w:val="00EB270C"/>
    <w:rsid w:val="00EB28F2"/>
    <w:rsid w:val="00EB2997"/>
    <w:rsid w:val="00EB2A0D"/>
    <w:rsid w:val="00EB2A80"/>
    <w:rsid w:val="00EB2A91"/>
    <w:rsid w:val="00EB2B81"/>
    <w:rsid w:val="00EB2CB1"/>
    <w:rsid w:val="00EB2D31"/>
    <w:rsid w:val="00EB2F85"/>
    <w:rsid w:val="00EB30A5"/>
    <w:rsid w:val="00EB30AF"/>
    <w:rsid w:val="00EB3121"/>
    <w:rsid w:val="00EB32BB"/>
    <w:rsid w:val="00EB33D8"/>
    <w:rsid w:val="00EB3467"/>
    <w:rsid w:val="00EB3576"/>
    <w:rsid w:val="00EB37CF"/>
    <w:rsid w:val="00EB3891"/>
    <w:rsid w:val="00EB3A0E"/>
    <w:rsid w:val="00EB3B84"/>
    <w:rsid w:val="00EB3D0A"/>
    <w:rsid w:val="00EB3E75"/>
    <w:rsid w:val="00EB3F81"/>
    <w:rsid w:val="00EB3F94"/>
    <w:rsid w:val="00EB4078"/>
    <w:rsid w:val="00EB41C6"/>
    <w:rsid w:val="00EB41D7"/>
    <w:rsid w:val="00EB441C"/>
    <w:rsid w:val="00EB44AB"/>
    <w:rsid w:val="00EB44D9"/>
    <w:rsid w:val="00EB452C"/>
    <w:rsid w:val="00EB45A2"/>
    <w:rsid w:val="00EB463A"/>
    <w:rsid w:val="00EB4A48"/>
    <w:rsid w:val="00EB4A75"/>
    <w:rsid w:val="00EB4CF7"/>
    <w:rsid w:val="00EB50EE"/>
    <w:rsid w:val="00EB51AD"/>
    <w:rsid w:val="00EB5288"/>
    <w:rsid w:val="00EB5318"/>
    <w:rsid w:val="00EB533E"/>
    <w:rsid w:val="00EB555C"/>
    <w:rsid w:val="00EB593E"/>
    <w:rsid w:val="00EB5CA4"/>
    <w:rsid w:val="00EB5EBD"/>
    <w:rsid w:val="00EB5EEA"/>
    <w:rsid w:val="00EB5FC3"/>
    <w:rsid w:val="00EB60C4"/>
    <w:rsid w:val="00EB63C7"/>
    <w:rsid w:val="00EB6B4D"/>
    <w:rsid w:val="00EB6CBF"/>
    <w:rsid w:val="00EB6E8A"/>
    <w:rsid w:val="00EB6F3A"/>
    <w:rsid w:val="00EB709E"/>
    <w:rsid w:val="00EB70C8"/>
    <w:rsid w:val="00EB7739"/>
    <w:rsid w:val="00EB77C8"/>
    <w:rsid w:val="00EB77D9"/>
    <w:rsid w:val="00EB78B0"/>
    <w:rsid w:val="00EB7995"/>
    <w:rsid w:val="00EB7ABD"/>
    <w:rsid w:val="00EB7D09"/>
    <w:rsid w:val="00EC00C3"/>
    <w:rsid w:val="00EC0224"/>
    <w:rsid w:val="00EC024C"/>
    <w:rsid w:val="00EC0421"/>
    <w:rsid w:val="00EC0831"/>
    <w:rsid w:val="00EC0BB9"/>
    <w:rsid w:val="00EC0C90"/>
    <w:rsid w:val="00EC0E36"/>
    <w:rsid w:val="00EC108D"/>
    <w:rsid w:val="00EC11EE"/>
    <w:rsid w:val="00EC142A"/>
    <w:rsid w:val="00EC146A"/>
    <w:rsid w:val="00EC15CA"/>
    <w:rsid w:val="00EC16BE"/>
    <w:rsid w:val="00EC17D6"/>
    <w:rsid w:val="00EC1994"/>
    <w:rsid w:val="00EC1AC7"/>
    <w:rsid w:val="00EC1E28"/>
    <w:rsid w:val="00EC2130"/>
    <w:rsid w:val="00EC2325"/>
    <w:rsid w:val="00EC23A4"/>
    <w:rsid w:val="00EC23AC"/>
    <w:rsid w:val="00EC23F2"/>
    <w:rsid w:val="00EC2519"/>
    <w:rsid w:val="00EC2988"/>
    <w:rsid w:val="00EC2989"/>
    <w:rsid w:val="00EC2A4E"/>
    <w:rsid w:val="00EC2B14"/>
    <w:rsid w:val="00EC2C6A"/>
    <w:rsid w:val="00EC2DFC"/>
    <w:rsid w:val="00EC2FE0"/>
    <w:rsid w:val="00EC300A"/>
    <w:rsid w:val="00EC3097"/>
    <w:rsid w:val="00EC36D0"/>
    <w:rsid w:val="00EC3752"/>
    <w:rsid w:val="00EC37FE"/>
    <w:rsid w:val="00EC39DF"/>
    <w:rsid w:val="00EC3D92"/>
    <w:rsid w:val="00EC42D6"/>
    <w:rsid w:val="00EC4497"/>
    <w:rsid w:val="00EC45D8"/>
    <w:rsid w:val="00EC468A"/>
    <w:rsid w:val="00EC4978"/>
    <w:rsid w:val="00EC4EBC"/>
    <w:rsid w:val="00EC4FE2"/>
    <w:rsid w:val="00EC505C"/>
    <w:rsid w:val="00EC51B0"/>
    <w:rsid w:val="00EC53BE"/>
    <w:rsid w:val="00EC5AFD"/>
    <w:rsid w:val="00EC5BBE"/>
    <w:rsid w:val="00EC5BE8"/>
    <w:rsid w:val="00EC5C41"/>
    <w:rsid w:val="00EC5F13"/>
    <w:rsid w:val="00EC6139"/>
    <w:rsid w:val="00EC613C"/>
    <w:rsid w:val="00EC6210"/>
    <w:rsid w:val="00EC693D"/>
    <w:rsid w:val="00EC69FD"/>
    <w:rsid w:val="00EC6BE2"/>
    <w:rsid w:val="00EC6E69"/>
    <w:rsid w:val="00EC71CF"/>
    <w:rsid w:val="00EC725A"/>
    <w:rsid w:val="00EC72B4"/>
    <w:rsid w:val="00EC743B"/>
    <w:rsid w:val="00EC7B79"/>
    <w:rsid w:val="00ED0104"/>
    <w:rsid w:val="00ED047A"/>
    <w:rsid w:val="00ED0695"/>
    <w:rsid w:val="00ED088D"/>
    <w:rsid w:val="00ED0A2D"/>
    <w:rsid w:val="00ED0DE1"/>
    <w:rsid w:val="00ED1294"/>
    <w:rsid w:val="00ED1AF1"/>
    <w:rsid w:val="00ED1E09"/>
    <w:rsid w:val="00ED2054"/>
    <w:rsid w:val="00ED20C0"/>
    <w:rsid w:val="00ED22C1"/>
    <w:rsid w:val="00ED24C2"/>
    <w:rsid w:val="00ED25DD"/>
    <w:rsid w:val="00ED26C7"/>
    <w:rsid w:val="00ED2909"/>
    <w:rsid w:val="00ED2972"/>
    <w:rsid w:val="00ED29C2"/>
    <w:rsid w:val="00ED2C77"/>
    <w:rsid w:val="00ED319D"/>
    <w:rsid w:val="00ED3572"/>
    <w:rsid w:val="00ED35DC"/>
    <w:rsid w:val="00ED3607"/>
    <w:rsid w:val="00ED3963"/>
    <w:rsid w:val="00ED3B19"/>
    <w:rsid w:val="00ED3F66"/>
    <w:rsid w:val="00ED3FC3"/>
    <w:rsid w:val="00ED41EA"/>
    <w:rsid w:val="00ED42E7"/>
    <w:rsid w:val="00ED4602"/>
    <w:rsid w:val="00ED4657"/>
    <w:rsid w:val="00ED466D"/>
    <w:rsid w:val="00ED4942"/>
    <w:rsid w:val="00ED4AF2"/>
    <w:rsid w:val="00ED4BBD"/>
    <w:rsid w:val="00ED4BDB"/>
    <w:rsid w:val="00ED4CC9"/>
    <w:rsid w:val="00ED4F74"/>
    <w:rsid w:val="00ED4FA5"/>
    <w:rsid w:val="00ED54F4"/>
    <w:rsid w:val="00ED57CA"/>
    <w:rsid w:val="00ED5B99"/>
    <w:rsid w:val="00ED5D06"/>
    <w:rsid w:val="00ED5D32"/>
    <w:rsid w:val="00ED5F82"/>
    <w:rsid w:val="00ED5FE6"/>
    <w:rsid w:val="00ED62A7"/>
    <w:rsid w:val="00ED63EE"/>
    <w:rsid w:val="00ED64A3"/>
    <w:rsid w:val="00ED64D9"/>
    <w:rsid w:val="00ED666A"/>
    <w:rsid w:val="00ED69CF"/>
    <w:rsid w:val="00ED6D25"/>
    <w:rsid w:val="00ED6DBA"/>
    <w:rsid w:val="00ED6EB6"/>
    <w:rsid w:val="00ED6F1B"/>
    <w:rsid w:val="00ED70E4"/>
    <w:rsid w:val="00ED71E6"/>
    <w:rsid w:val="00ED727C"/>
    <w:rsid w:val="00ED7322"/>
    <w:rsid w:val="00ED74A0"/>
    <w:rsid w:val="00ED7893"/>
    <w:rsid w:val="00ED7C3B"/>
    <w:rsid w:val="00ED7C83"/>
    <w:rsid w:val="00EE0084"/>
    <w:rsid w:val="00EE01AA"/>
    <w:rsid w:val="00EE0345"/>
    <w:rsid w:val="00EE03AD"/>
    <w:rsid w:val="00EE05AF"/>
    <w:rsid w:val="00EE072F"/>
    <w:rsid w:val="00EE07CB"/>
    <w:rsid w:val="00EE0BF0"/>
    <w:rsid w:val="00EE0CAA"/>
    <w:rsid w:val="00EE1185"/>
    <w:rsid w:val="00EE129D"/>
    <w:rsid w:val="00EE14A4"/>
    <w:rsid w:val="00EE1507"/>
    <w:rsid w:val="00EE1584"/>
    <w:rsid w:val="00EE1742"/>
    <w:rsid w:val="00EE1A24"/>
    <w:rsid w:val="00EE1E82"/>
    <w:rsid w:val="00EE1F89"/>
    <w:rsid w:val="00EE204B"/>
    <w:rsid w:val="00EE2250"/>
    <w:rsid w:val="00EE2354"/>
    <w:rsid w:val="00EE240D"/>
    <w:rsid w:val="00EE24A8"/>
    <w:rsid w:val="00EE272F"/>
    <w:rsid w:val="00EE2851"/>
    <w:rsid w:val="00EE286B"/>
    <w:rsid w:val="00EE2B00"/>
    <w:rsid w:val="00EE2D04"/>
    <w:rsid w:val="00EE2DCA"/>
    <w:rsid w:val="00EE3291"/>
    <w:rsid w:val="00EE3645"/>
    <w:rsid w:val="00EE38F2"/>
    <w:rsid w:val="00EE3B5A"/>
    <w:rsid w:val="00EE3CCD"/>
    <w:rsid w:val="00EE446B"/>
    <w:rsid w:val="00EE453A"/>
    <w:rsid w:val="00EE484C"/>
    <w:rsid w:val="00EE489A"/>
    <w:rsid w:val="00EE4BAD"/>
    <w:rsid w:val="00EE4CBF"/>
    <w:rsid w:val="00EE4D25"/>
    <w:rsid w:val="00EE5170"/>
    <w:rsid w:val="00EE5277"/>
    <w:rsid w:val="00EE5483"/>
    <w:rsid w:val="00EE5591"/>
    <w:rsid w:val="00EE5B59"/>
    <w:rsid w:val="00EE5CC5"/>
    <w:rsid w:val="00EE5D3F"/>
    <w:rsid w:val="00EE5DF6"/>
    <w:rsid w:val="00EE61E5"/>
    <w:rsid w:val="00EE6413"/>
    <w:rsid w:val="00EE6426"/>
    <w:rsid w:val="00EE64D3"/>
    <w:rsid w:val="00EE689B"/>
    <w:rsid w:val="00EE6949"/>
    <w:rsid w:val="00EE6AF9"/>
    <w:rsid w:val="00EE6BBA"/>
    <w:rsid w:val="00EE6CBF"/>
    <w:rsid w:val="00EE6E82"/>
    <w:rsid w:val="00EE71E5"/>
    <w:rsid w:val="00EE71E7"/>
    <w:rsid w:val="00EE7302"/>
    <w:rsid w:val="00EE7451"/>
    <w:rsid w:val="00EE745A"/>
    <w:rsid w:val="00EE7600"/>
    <w:rsid w:val="00EE793F"/>
    <w:rsid w:val="00EE7D39"/>
    <w:rsid w:val="00EF01CD"/>
    <w:rsid w:val="00EF0218"/>
    <w:rsid w:val="00EF053C"/>
    <w:rsid w:val="00EF0542"/>
    <w:rsid w:val="00EF05DD"/>
    <w:rsid w:val="00EF05EF"/>
    <w:rsid w:val="00EF05F2"/>
    <w:rsid w:val="00EF0735"/>
    <w:rsid w:val="00EF0774"/>
    <w:rsid w:val="00EF07A0"/>
    <w:rsid w:val="00EF0803"/>
    <w:rsid w:val="00EF0AAA"/>
    <w:rsid w:val="00EF0E80"/>
    <w:rsid w:val="00EF1279"/>
    <w:rsid w:val="00EF147F"/>
    <w:rsid w:val="00EF16DC"/>
    <w:rsid w:val="00EF180B"/>
    <w:rsid w:val="00EF181C"/>
    <w:rsid w:val="00EF1FED"/>
    <w:rsid w:val="00EF222D"/>
    <w:rsid w:val="00EF2300"/>
    <w:rsid w:val="00EF2830"/>
    <w:rsid w:val="00EF28B7"/>
    <w:rsid w:val="00EF2EC4"/>
    <w:rsid w:val="00EF3271"/>
    <w:rsid w:val="00EF32F4"/>
    <w:rsid w:val="00EF32F6"/>
    <w:rsid w:val="00EF34EC"/>
    <w:rsid w:val="00EF3588"/>
    <w:rsid w:val="00EF38CE"/>
    <w:rsid w:val="00EF3CE8"/>
    <w:rsid w:val="00EF3D83"/>
    <w:rsid w:val="00EF3DEA"/>
    <w:rsid w:val="00EF3FB2"/>
    <w:rsid w:val="00EF412B"/>
    <w:rsid w:val="00EF4426"/>
    <w:rsid w:val="00EF44D6"/>
    <w:rsid w:val="00EF47ED"/>
    <w:rsid w:val="00EF48FD"/>
    <w:rsid w:val="00EF49D2"/>
    <w:rsid w:val="00EF4FC7"/>
    <w:rsid w:val="00EF50AB"/>
    <w:rsid w:val="00EF5158"/>
    <w:rsid w:val="00EF52D3"/>
    <w:rsid w:val="00EF5650"/>
    <w:rsid w:val="00EF56B2"/>
    <w:rsid w:val="00EF5715"/>
    <w:rsid w:val="00EF58ED"/>
    <w:rsid w:val="00EF5940"/>
    <w:rsid w:val="00EF5975"/>
    <w:rsid w:val="00EF5984"/>
    <w:rsid w:val="00EF5A14"/>
    <w:rsid w:val="00EF5A52"/>
    <w:rsid w:val="00EF5AE9"/>
    <w:rsid w:val="00EF5AF6"/>
    <w:rsid w:val="00EF5BB0"/>
    <w:rsid w:val="00EF5F52"/>
    <w:rsid w:val="00EF61A4"/>
    <w:rsid w:val="00EF6360"/>
    <w:rsid w:val="00EF6575"/>
    <w:rsid w:val="00EF66B1"/>
    <w:rsid w:val="00EF6707"/>
    <w:rsid w:val="00EF69BE"/>
    <w:rsid w:val="00EF6DE0"/>
    <w:rsid w:val="00EF6EDE"/>
    <w:rsid w:val="00EF6F28"/>
    <w:rsid w:val="00EF7208"/>
    <w:rsid w:val="00EF755B"/>
    <w:rsid w:val="00EF7782"/>
    <w:rsid w:val="00EF77B1"/>
    <w:rsid w:val="00EF7A0A"/>
    <w:rsid w:val="00EF7A36"/>
    <w:rsid w:val="00EF7C55"/>
    <w:rsid w:val="00EF7D7C"/>
    <w:rsid w:val="00EF7F38"/>
    <w:rsid w:val="00F00054"/>
    <w:rsid w:val="00F0016C"/>
    <w:rsid w:val="00F0047F"/>
    <w:rsid w:val="00F00696"/>
    <w:rsid w:val="00F007A5"/>
    <w:rsid w:val="00F007B6"/>
    <w:rsid w:val="00F0080A"/>
    <w:rsid w:val="00F00833"/>
    <w:rsid w:val="00F009F7"/>
    <w:rsid w:val="00F00BE8"/>
    <w:rsid w:val="00F00C1E"/>
    <w:rsid w:val="00F00E14"/>
    <w:rsid w:val="00F00F40"/>
    <w:rsid w:val="00F00F56"/>
    <w:rsid w:val="00F01010"/>
    <w:rsid w:val="00F0125C"/>
    <w:rsid w:val="00F012E7"/>
    <w:rsid w:val="00F01379"/>
    <w:rsid w:val="00F016E1"/>
    <w:rsid w:val="00F017C8"/>
    <w:rsid w:val="00F0186C"/>
    <w:rsid w:val="00F01998"/>
    <w:rsid w:val="00F019BB"/>
    <w:rsid w:val="00F01B2A"/>
    <w:rsid w:val="00F02130"/>
    <w:rsid w:val="00F02413"/>
    <w:rsid w:val="00F02AC7"/>
    <w:rsid w:val="00F02C7A"/>
    <w:rsid w:val="00F0306D"/>
    <w:rsid w:val="00F03082"/>
    <w:rsid w:val="00F03B3B"/>
    <w:rsid w:val="00F03D59"/>
    <w:rsid w:val="00F04378"/>
    <w:rsid w:val="00F04427"/>
    <w:rsid w:val="00F04884"/>
    <w:rsid w:val="00F04A5B"/>
    <w:rsid w:val="00F04C1B"/>
    <w:rsid w:val="00F04D1F"/>
    <w:rsid w:val="00F04F4C"/>
    <w:rsid w:val="00F0506D"/>
    <w:rsid w:val="00F051F7"/>
    <w:rsid w:val="00F05625"/>
    <w:rsid w:val="00F05989"/>
    <w:rsid w:val="00F05A7B"/>
    <w:rsid w:val="00F05B9A"/>
    <w:rsid w:val="00F05D31"/>
    <w:rsid w:val="00F05E59"/>
    <w:rsid w:val="00F062D4"/>
    <w:rsid w:val="00F064B3"/>
    <w:rsid w:val="00F064B9"/>
    <w:rsid w:val="00F0671C"/>
    <w:rsid w:val="00F06779"/>
    <w:rsid w:val="00F06856"/>
    <w:rsid w:val="00F069EB"/>
    <w:rsid w:val="00F06C8F"/>
    <w:rsid w:val="00F07310"/>
    <w:rsid w:val="00F073B7"/>
    <w:rsid w:val="00F07431"/>
    <w:rsid w:val="00F078CC"/>
    <w:rsid w:val="00F07BD0"/>
    <w:rsid w:val="00F07D56"/>
    <w:rsid w:val="00F07E23"/>
    <w:rsid w:val="00F07E75"/>
    <w:rsid w:val="00F1009C"/>
    <w:rsid w:val="00F100F3"/>
    <w:rsid w:val="00F10254"/>
    <w:rsid w:val="00F1029C"/>
    <w:rsid w:val="00F10385"/>
    <w:rsid w:val="00F10AA0"/>
    <w:rsid w:val="00F10FBB"/>
    <w:rsid w:val="00F10FBE"/>
    <w:rsid w:val="00F11713"/>
    <w:rsid w:val="00F11C0D"/>
    <w:rsid w:val="00F11C60"/>
    <w:rsid w:val="00F11F47"/>
    <w:rsid w:val="00F121AD"/>
    <w:rsid w:val="00F122AD"/>
    <w:rsid w:val="00F1261B"/>
    <w:rsid w:val="00F12982"/>
    <w:rsid w:val="00F12B02"/>
    <w:rsid w:val="00F12F2C"/>
    <w:rsid w:val="00F133B4"/>
    <w:rsid w:val="00F1372B"/>
    <w:rsid w:val="00F13731"/>
    <w:rsid w:val="00F1378C"/>
    <w:rsid w:val="00F13911"/>
    <w:rsid w:val="00F13B27"/>
    <w:rsid w:val="00F13CE3"/>
    <w:rsid w:val="00F13DEB"/>
    <w:rsid w:val="00F1408F"/>
    <w:rsid w:val="00F143E8"/>
    <w:rsid w:val="00F1441D"/>
    <w:rsid w:val="00F145C2"/>
    <w:rsid w:val="00F1476F"/>
    <w:rsid w:val="00F14822"/>
    <w:rsid w:val="00F149B9"/>
    <w:rsid w:val="00F14CA4"/>
    <w:rsid w:val="00F14DF8"/>
    <w:rsid w:val="00F14EE2"/>
    <w:rsid w:val="00F14FDC"/>
    <w:rsid w:val="00F15056"/>
    <w:rsid w:val="00F15330"/>
    <w:rsid w:val="00F15542"/>
    <w:rsid w:val="00F1571B"/>
    <w:rsid w:val="00F15894"/>
    <w:rsid w:val="00F1595D"/>
    <w:rsid w:val="00F15A62"/>
    <w:rsid w:val="00F15B2B"/>
    <w:rsid w:val="00F15C01"/>
    <w:rsid w:val="00F15F50"/>
    <w:rsid w:val="00F16324"/>
    <w:rsid w:val="00F164DF"/>
    <w:rsid w:val="00F16595"/>
    <w:rsid w:val="00F16D18"/>
    <w:rsid w:val="00F16F37"/>
    <w:rsid w:val="00F16FAA"/>
    <w:rsid w:val="00F16FB3"/>
    <w:rsid w:val="00F172DB"/>
    <w:rsid w:val="00F17598"/>
    <w:rsid w:val="00F1797F"/>
    <w:rsid w:val="00F17A69"/>
    <w:rsid w:val="00F17B19"/>
    <w:rsid w:val="00F17B29"/>
    <w:rsid w:val="00F17D1E"/>
    <w:rsid w:val="00F17D46"/>
    <w:rsid w:val="00F17E64"/>
    <w:rsid w:val="00F2012C"/>
    <w:rsid w:val="00F20380"/>
    <w:rsid w:val="00F20446"/>
    <w:rsid w:val="00F2049C"/>
    <w:rsid w:val="00F20663"/>
    <w:rsid w:val="00F2072B"/>
    <w:rsid w:val="00F2076B"/>
    <w:rsid w:val="00F207E7"/>
    <w:rsid w:val="00F20B37"/>
    <w:rsid w:val="00F2115C"/>
    <w:rsid w:val="00F21A1E"/>
    <w:rsid w:val="00F21C48"/>
    <w:rsid w:val="00F21C8A"/>
    <w:rsid w:val="00F21D1B"/>
    <w:rsid w:val="00F22166"/>
    <w:rsid w:val="00F22449"/>
    <w:rsid w:val="00F2248A"/>
    <w:rsid w:val="00F22951"/>
    <w:rsid w:val="00F229AA"/>
    <w:rsid w:val="00F229AE"/>
    <w:rsid w:val="00F22B55"/>
    <w:rsid w:val="00F22DC0"/>
    <w:rsid w:val="00F23126"/>
    <w:rsid w:val="00F23549"/>
    <w:rsid w:val="00F23900"/>
    <w:rsid w:val="00F239CE"/>
    <w:rsid w:val="00F23A8F"/>
    <w:rsid w:val="00F23D37"/>
    <w:rsid w:val="00F23E98"/>
    <w:rsid w:val="00F24085"/>
    <w:rsid w:val="00F24255"/>
    <w:rsid w:val="00F2438B"/>
    <w:rsid w:val="00F24431"/>
    <w:rsid w:val="00F24641"/>
    <w:rsid w:val="00F24799"/>
    <w:rsid w:val="00F24913"/>
    <w:rsid w:val="00F24949"/>
    <w:rsid w:val="00F24962"/>
    <w:rsid w:val="00F24C0C"/>
    <w:rsid w:val="00F24F1F"/>
    <w:rsid w:val="00F24F46"/>
    <w:rsid w:val="00F24FAE"/>
    <w:rsid w:val="00F25322"/>
    <w:rsid w:val="00F257F0"/>
    <w:rsid w:val="00F25A22"/>
    <w:rsid w:val="00F25D82"/>
    <w:rsid w:val="00F25F0F"/>
    <w:rsid w:val="00F260A6"/>
    <w:rsid w:val="00F26920"/>
    <w:rsid w:val="00F26981"/>
    <w:rsid w:val="00F26A79"/>
    <w:rsid w:val="00F26A81"/>
    <w:rsid w:val="00F26B27"/>
    <w:rsid w:val="00F26BAD"/>
    <w:rsid w:val="00F26DE9"/>
    <w:rsid w:val="00F26EEB"/>
    <w:rsid w:val="00F26FA8"/>
    <w:rsid w:val="00F27009"/>
    <w:rsid w:val="00F270E4"/>
    <w:rsid w:val="00F270FF"/>
    <w:rsid w:val="00F2719C"/>
    <w:rsid w:val="00F273C0"/>
    <w:rsid w:val="00F275A7"/>
    <w:rsid w:val="00F2765B"/>
    <w:rsid w:val="00F27A0B"/>
    <w:rsid w:val="00F27A30"/>
    <w:rsid w:val="00F27E28"/>
    <w:rsid w:val="00F27EE4"/>
    <w:rsid w:val="00F27F9E"/>
    <w:rsid w:val="00F3000B"/>
    <w:rsid w:val="00F30309"/>
    <w:rsid w:val="00F304A9"/>
    <w:rsid w:val="00F30534"/>
    <w:rsid w:val="00F305C6"/>
    <w:rsid w:val="00F30625"/>
    <w:rsid w:val="00F30656"/>
    <w:rsid w:val="00F306F0"/>
    <w:rsid w:val="00F30AE7"/>
    <w:rsid w:val="00F30BA9"/>
    <w:rsid w:val="00F30F37"/>
    <w:rsid w:val="00F30F91"/>
    <w:rsid w:val="00F3113F"/>
    <w:rsid w:val="00F311B8"/>
    <w:rsid w:val="00F314BA"/>
    <w:rsid w:val="00F31689"/>
    <w:rsid w:val="00F31797"/>
    <w:rsid w:val="00F3180F"/>
    <w:rsid w:val="00F31947"/>
    <w:rsid w:val="00F31C58"/>
    <w:rsid w:val="00F31CB2"/>
    <w:rsid w:val="00F31CB7"/>
    <w:rsid w:val="00F31F09"/>
    <w:rsid w:val="00F32057"/>
    <w:rsid w:val="00F32361"/>
    <w:rsid w:val="00F3255C"/>
    <w:rsid w:val="00F3255E"/>
    <w:rsid w:val="00F32C93"/>
    <w:rsid w:val="00F32E2F"/>
    <w:rsid w:val="00F33015"/>
    <w:rsid w:val="00F33187"/>
    <w:rsid w:val="00F3370A"/>
    <w:rsid w:val="00F33723"/>
    <w:rsid w:val="00F337F6"/>
    <w:rsid w:val="00F33CB3"/>
    <w:rsid w:val="00F343D3"/>
    <w:rsid w:val="00F3440B"/>
    <w:rsid w:val="00F34453"/>
    <w:rsid w:val="00F34478"/>
    <w:rsid w:val="00F345CC"/>
    <w:rsid w:val="00F34609"/>
    <w:rsid w:val="00F34703"/>
    <w:rsid w:val="00F3478C"/>
    <w:rsid w:val="00F34792"/>
    <w:rsid w:val="00F349BD"/>
    <w:rsid w:val="00F34B30"/>
    <w:rsid w:val="00F34B42"/>
    <w:rsid w:val="00F34F97"/>
    <w:rsid w:val="00F3511C"/>
    <w:rsid w:val="00F3513E"/>
    <w:rsid w:val="00F35320"/>
    <w:rsid w:val="00F35390"/>
    <w:rsid w:val="00F353AE"/>
    <w:rsid w:val="00F35714"/>
    <w:rsid w:val="00F35965"/>
    <w:rsid w:val="00F35B72"/>
    <w:rsid w:val="00F35C2D"/>
    <w:rsid w:val="00F35CC4"/>
    <w:rsid w:val="00F35E32"/>
    <w:rsid w:val="00F362CC"/>
    <w:rsid w:val="00F36702"/>
    <w:rsid w:val="00F36A2F"/>
    <w:rsid w:val="00F36C20"/>
    <w:rsid w:val="00F36CF5"/>
    <w:rsid w:val="00F3713B"/>
    <w:rsid w:val="00F37C02"/>
    <w:rsid w:val="00F37E15"/>
    <w:rsid w:val="00F37F16"/>
    <w:rsid w:val="00F37F37"/>
    <w:rsid w:val="00F4059A"/>
    <w:rsid w:val="00F406F3"/>
    <w:rsid w:val="00F40822"/>
    <w:rsid w:val="00F408CC"/>
    <w:rsid w:val="00F40A51"/>
    <w:rsid w:val="00F40B02"/>
    <w:rsid w:val="00F40BE0"/>
    <w:rsid w:val="00F40C62"/>
    <w:rsid w:val="00F40D98"/>
    <w:rsid w:val="00F40DF9"/>
    <w:rsid w:val="00F40E5F"/>
    <w:rsid w:val="00F415E7"/>
    <w:rsid w:val="00F4181B"/>
    <w:rsid w:val="00F4182E"/>
    <w:rsid w:val="00F4184A"/>
    <w:rsid w:val="00F418BB"/>
    <w:rsid w:val="00F41922"/>
    <w:rsid w:val="00F41924"/>
    <w:rsid w:val="00F41C90"/>
    <w:rsid w:val="00F41E96"/>
    <w:rsid w:val="00F41FE4"/>
    <w:rsid w:val="00F4206A"/>
    <w:rsid w:val="00F42717"/>
    <w:rsid w:val="00F42885"/>
    <w:rsid w:val="00F42C12"/>
    <w:rsid w:val="00F42E4F"/>
    <w:rsid w:val="00F42F06"/>
    <w:rsid w:val="00F43274"/>
    <w:rsid w:val="00F4330F"/>
    <w:rsid w:val="00F43522"/>
    <w:rsid w:val="00F435C7"/>
    <w:rsid w:val="00F43A3F"/>
    <w:rsid w:val="00F43BAB"/>
    <w:rsid w:val="00F43DB7"/>
    <w:rsid w:val="00F4438A"/>
    <w:rsid w:val="00F444E5"/>
    <w:rsid w:val="00F444F8"/>
    <w:rsid w:val="00F448A4"/>
    <w:rsid w:val="00F44E3C"/>
    <w:rsid w:val="00F44F53"/>
    <w:rsid w:val="00F44FAE"/>
    <w:rsid w:val="00F4508C"/>
    <w:rsid w:val="00F458AC"/>
    <w:rsid w:val="00F45908"/>
    <w:rsid w:val="00F45A03"/>
    <w:rsid w:val="00F45A0C"/>
    <w:rsid w:val="00F45D1B"/>
    <w:rsid w:val="00F45D3D"/>
    <w:rsid w:val="00F45F7A"/>
    <w:rsid w:val="00F45FD1"/>
    <w:rsid w:val="00F463E0"/>
    <w:rsid w:val="00F465E5"/>
    <w:rsid w:val="00F46BF1"/>
    <w:rsid w:val="00F46D57"/>
    <w:rsid w:val="00F46DE1"/>
    <w:rsid w:val="00F46E1D"/>
    <w:rsid w:val="00F47029"/>
    <w:rsid w:val="00F47205"/>
    <w:rsid w:val="00F47326"/>
    <w:rsid w:val="00F4762E"/>
    <w:rsid w:val="00F477E0"/>
    <w:rsid w:val="00F4789F"/>
    <w:rsid w:val="00F47BBE"/>
    <w:rsid w:val="00F47BDF"/>
    <w:rsid w:val="00F47EC3"/>
    <w:rsid w:val="00F47F7A"/>
    <w:rsid w:val="00F47FB3"/>
    <w:rsid w:val="00F500AC"/>
    <w:rsid w:val="00F50167"/>
    <w:rsid w:val="00F50264"/>
    <w:rsid w:val="00F504C6"/>
    <w:rsid w:val="00F5068F"/>
    <w:rsid w:val="00F508C3"/>
    <w:rsid w:val="00F50A19"/>
    <w:rsid w:val="00F50D7A"/>
    <w:rsid w:val="00F50E31"/>
    <w:rsid w:val="00F50E38"/>
    <w:rsid w:val="00F513A8"/>
    <w:rsid w:val="00F514E1"/>
    <w:rsid w:val="00F51B5A"/>
    <w:rsid w:val="00F51C18"/>
    <w:rsid w:val="00F51CAB"/>
    <w:rsid w:val="00F51D76"/>
    <w:rsid w:val="00F51DAD"/>
    <w:rsid w:val="00F51F10"/>
    <w:rsid w:val="00F52325"/>
    <w:rsid w:val="00F52425"/>
    <w:rsid w:val="00F525B8"/>
    <w:rsid w:val="00F525BB"/>
    <w:rsid w:val="00F525CE"/>
    <w:rsid w:val="00F52867"/>
    <w:rsid w:val="00F528B5"/>
    <w:rsid w:val="00F52C4A"/>
    <w:rsid w:val="00F52F0F"/>
    <w:rsid w:val="00F52F69"/>
    <w:rsid w:val="00F53714"/>
    <w:rsid w:val="00F537AE"/>
    <w:rsid w:val="00F53A39"/>
    <w:rsid w:val="00F53BB9"/>
    <w:rsid w:val="00F53C76"/>
    <w:rsid w:val="00F53EDB"/>
    <w:rsid w:val="00F54095"/>
    <w:rsid w:val="00F5428C"/>
    <w:rsid w:val="00F546EC"/>
    <w:rsid w:val="00F547B7"/>
    <w:rsid w:val="00F547D1"/>
    <w:rsid w:val="00F547D9"/>
    <w:rsid w:val="00F54873"/>
    <w:rsid w:val="00F54970"/>
    <w:rsid w:val="00F54AD4"/>
    <w:rsid w:val="00F54B14"/>
    <w:rsid w:val="00F54B1B"/>
    <w:rsid w:val="00F54D95"/>
    <w:rsid w:val="00F54E48"/>
    <w:rsid w:val="00F54E6A"/>
    <w:rsid w:val="00F551DA"/>
    <w:rsid w:val="00F553ED"/>
    <w:rsid w:val="00F55970"/>
    <w:rsid w:val="00F55A12"/>
    <w:rsid w:val="00F55B90"/>
    <w:rsid w:val="00F55E84"/>
    <w:rsid w:val="00F56011"/>
    <w:rsid w:val="00F5643D"/>
    <w:rsid w:val="00F566BD"/>
    <w:rsid w:val="00F5674E"/>
    <w:rsid w:val="00F567F9"/>
    <w:rsid w:val="00F567FA"/>
    <w:rsid w:val="00F56928"/>
    <w:rsid w:val="00F56A36"/>
    <w:rsid w:val="00F56C40"/>
    <w:rsid w:val="00F56DD5"/>
    <w:rsid w:val="00F56EBE"/>
    <w:rsid w:val="00F56F92"/>
    <w:rsid w:val="00F576BE"/>
    <w:rsid w:val="00F57B67"/>
    <w:rsid w:val="00F57C7A"/>
    <w:rsid w:val="00F57E5F"/>
    <w:rsid w:val="00F6018D"/>
    <w:rsid w:val="00F6027B"/>
    <w:rsid w:val="00F606B0"/>
    <w:rsid w:val="00F607CC"/>
    <w:rsid w:val="00F60905"/>
    <w:rsid w:val="00F6093E"/>
    <w:rsid w:val="00F609F9"/>
    <w:rsid w:val="00F60E7C"/>
    <w:rsid w:val="00F60EC4"/>
    <w:rsid w:val="00F60FF3"/>
    <w:rsid w:val="00F61063"/>
    <w:rsid w:val="00F612F0"/>
    <w:rsid w:val="00F613A0"/>
    <w:rsid w:val="00F61992"/>
    <w:rsid w:val="00F61C16"/>
    <w:rsid w:val="00F61D8D"/>
    <w:rsid w:val="00F620D8"/>
    <w:rsid w:val="00F620F2"/>
    <w:rsid w:val="00F62234"/>
    <w:rsid w:val="00F622F2"/>
    <w:rsid w:val="00F623B7"/>
    <w:rsid w:val="00F6253C"/>
    <w:rsid w:val="00F6280C"/>
    <w:rsid w:val="00F63209"/>
    <w:rsid w:val="00F6342A"/>
    <w:rsid w:val="00F636CD"/>
    <w:rsid w:val="00F63A53"/>
    <w:rsid w:val="00F63ACB"/>
    <w:rsid w:val="00F63EC8"/>
    <w:rsid w:val="00F63EE6"/>
    <w:rsid w:val="00F63FD0"/>
    <w:rsid w:val="00F640D7"/>
    <w:rsid w:val="00F6411F"/>
    <w:rsid w:val="00F6447B"/>
    <w:rsid w:val="00F644B8"/>
    <w:rsid w:val="00F644BF"/>
    <w:rsid w:val="00F649BD"/>
    <w:rsid w:val="00F64A47"/>
    <w:rsid w:val="00F64ADE"/>
    <w:rsid w:val="00F64B19"/>
    <w:rsid w:val="00F6512F"/>
    <w:rsid w:val="00F65221"/>
    <w:rsid w:val="00F654EF"/>
    <w:rsid w:val="00F658AD"/>
    <w:rsid w:val="00F658C2"/>
    <w:rsid w:val="00F65A3F"/>
    <w:rsid w:val="00F65B7B"/>
    <w:rsid w:val="00F65BD5"/>
    <w:rsid w:val="00F65BEC"/>
    <w:rsid w:val="00F65CBC"/>
    <w:rsid w:val="00F65EAF"/>
    <w:rsid w:val="00F65F5A"/>
    <w:rsid w:val="00F66122"/>
    <w:rsid w:val="00F66220"/>
    <w:rsid w:val="00F662DB"/>
    <w:rsid w:val="00F66341"/>
    <w:rsid w:val="00F663BA"/>
    <w:rsid w:val="00F66A2F"/>
    <w:rsid w:val="00F66A40"/>
    <w:rsid w:val="00F66BCC"/>
    <w:rsid w:val="00F67040"/>
    <w:rsid w:val="00F67172"/>
    <w:rsid w:val="00F671CD"/>
    <w:rsid w:val="00F6753F"/>
    <w:rsid w:val="00F676E0"/>
    <w:rsid w:val="00F678D7"/>
    <w:rsid w:val="00F679C4"/>
    <w:rsid w:val="00F67A6D"/>
    <w:rsid w:val="00F67DCF"/>
    <w:rsid w:val="00F700FE"/>
    <w:rsid w:val="00F70369"/>
    <w:rsid w:val="00F70648"/>
    <w:rsid w:val="00F70845"/>
    <w:rsid w:val="00F70EA3"/>
    <w:rsid w:val="00F71092"/>
    <w:rsid w:val="00F71638"/>
    <w:rsid w:val="00F7193B"/>
    <w:rsid w:val="00F71A64"/>
    <w:rsid w:val="00F71AA8"/>
    <w:rsid w:val="00F71E54"/>
    <w:rsid w:val="00F71F24"/>
    <w:rsid w:val="00F721B0"/>
    <w:rsid w:val="00F7227B"/>
    <w:rsid w:val="00F722BF"/>
    <w:rsid w:val="00F72329"/>
    <w:rsid w:val="00F7244F"/>
    <w:rsid w:val="00F7245C"/>
    <w:rsid w:val="00F72470"/>
    <w:rsid w:val="00F72679"/>
    <w:rsid w:val="00F72701"/>
    <w:rsid w:val="00F72771"/>
    <w:rsid w:val="00F728C9"/>
    <w:rsid w:val="00F72B67"/>
    <w:rsid w:val="00F72C01"/>
    <w:rsid w:val="00F72CB6"/>
    <w:rsid w:val="00F72D08"/>
    <w:rsid w:val="00F72E1E"/>
    <w:rsid w:val="00F72FA9"/>
    <w:rsid w:val="00F731FF"/>
    <w:rsid w:val="00F733A3"/>
    <w:rsid w:val="00F733E6"/>
    <w:rsid w:val="00F73462"/>
    <w:rsid w:val="00F7346C"/>
    <w:rsid w:val="00F73503"/>
    <w:rsid w:val="00F7361D"/>
    <w:rsid w:val="00F7367C"/>
    <w:rsid w:val="00F7375C"/>
    <w:rsid w:val="00F738F0"/>
    <w:rsid w:val="00F7398E"/>
    <w:rsid w:val="00F73BE1"/>
    <w:rsid w:val="00F73F18"/>
    <w:rsid w:val="00F741FE"/>
    <w:rsid w:val="00F74534"/>
    <w:rsid w:val="00F74BA1"/>
    <w:rsid w:val="00F74BD1"/>
    <w:rsid w:val="00F74D18"/>
    <w:rsid w:val="00F750BD"/>
    <w:rsid w:val="00F750F8"/>
    <w:rsid w:val="00F7554D"/>
    <w:rsid w:val="00F756AF"/>
    <w:rsid w:val="00F756E1"/>
    <w:rsid w:val="00F759F8"/>
    <w:rsid w:val="00F75E77"/>
    <w:rsid w:val="00F75F9B"/>
    <w:rsid w:val="00F7604E"/>
    <w:rsid w:val="00F760AB"/>
    <w:rsid w:val="00F7612F"/>
    <w:rsid w:val="00F761AB"/>
    <w:rsid w:val="00F761B1"/>
    <w:rsid w:val="00F76216"/>
    <w:rsid w:val="00F7631F"/>
    <w:rsid w:val="00F7662E"/>
    <w:rsid w:val="00F7665B"/>
    <w:rsid w:val="00F7677C"/>
    <w:rsid w:val="00F76981"/>
    <w:rsid w:val="00F77050"/>
    <w:rsid w:val="00F7706D"/>
    <w:rsid w:val="00F7735B"/>
    <w:rsid w:val="00F77529"/>
    <w:rsid w:val="00F7755A"/>
    <w:rsid w:val="00F77635"/>
    <w:rsid w:val="00F776DC"/>
    <w:rsid w:val="00F777D1"/>
    <w:rsid w:val="00F77932"/>
    <w:rsid w:val="00F77991"/>
    <w:rsid w:val="00F77B7A"/>
    <w:rsid w:val="00F77BA4"/>
    <w:rsid w:val="00F77F2D"/>
    <w:rsid w:val="00F80035"/>
    <w:rsid w:val="00F8007D"/>
    <w:rsid w:val="00F8019A"/>
    <w:rsid w:val="00F80224"/>
    <w:rsid w:val="00F80317"/>
    <w:rsid w:val="00F80680"/>
    <w:rsid w:val="00F806C7"/>
    <w:rsid w:val="00F8071E"/>
    <w:rsid w:val="00F80867"/>
    <w:rsid w:val="00F80CF1"/>
    <w:rsid w:val="00F80E40"/>
    <w:rsid w:val="00F8103C"/>
    <w:rsid w:val="00F8109D"/>
    <w:rsid w:val="00F810AF"/>
    <w:rsid w:val="00F81253"/>
    <w:rsid w:val="00F81312"/>
    <w:rsid w:val="00F8167E"/>
    <w:rsid w:val="00F8186F"/>
    <w:rsid w:val="00F81A55"/>
    <w:rsid w:val="00F81B5F"/>
    <w:rsid w:val="00F81D86"/>
    <w:rsid w:val="00F81DAB"/>
    <w:rsid w:val="00F81E3A"/>
    <w:rsid w:val="00F81F27"/>
    <w:rsid w:val="00F82373"/>
    <w:rsid w:val="00F82404"/>
    <w:rsid w:val="00F82410"/>
    <w:rsid w:val="00F8256C"/>
    <w:rsid w:val="00F825E1"/>
    <w:rsid w:val="00F826EE"/>
    <w:rsid w:val="00F8276E"/>
    <w:rsid w:val="00F827DA"/>
    <w:rsid w:val="00F829F5"/>
    <w:rsid w:val="00F82B53"/>
    <w:rsid w:val="00F82CB0"/>
    <w:rsid w:val="00F832CC"/>
    <w:rsid w:val="00F836C4"/>
    <w:rsid w:val="00F838D9"/>
    <w:rsid w:val="00F838E5"/>
    <w:rsid w:val="00F83B90"/>
    <w:rsid w:val="00F83BA9"/>
    <w:rsid w:val="00F8401F"/>
    <w:rsid w:val="00F846A3"/>
    <w:rsid w:val="00F846A5"/>
    <w:rsid w:val="00F848B7"/>
    <w:rsid w:val="00F84AB8"/>
    <w:rsid w:val="00F84CB1"/>
    <w:rsid w:val="00F84E21"/>
    <w:rsid w:val="00F85001"/>
    <w:rsid w:val="00F851C0"/>
    <w:rsid w:val="00F85278"/>
    <w:rsid w:val="00F853A2"/>
    <w:rsid w:val="00F853FE"/>
    <w:rsid w:val="00F854A6"/>
    <w:rsid w:val="00F854FE"/>
    <w:rsid w:val="00F85600"/>
    <w:rsid w:val="00F85708"/>
    <w:rsid w:val="00F8587C"/>
    <w:rsid w:val="00F85982"/>
    <w:rsid w:val="00F85AD8"/>
    <w:rsid w:val="00F85C9F"/>
    <w:rsid w:val="00F85D2B"/>
    <w:rsid w:val="00F85DA7"/>
    <w:rsid w:val="00F85F0B"/>
    <w:rsid w:val="00F85FA7"/>
    <w:rsid w:val="00F86190"/>
    <w:rsid w:val="00F863A0"/>
    <w:rsid w:val="00F86629"/>
    <w:rsid w:val="00F868BE"/>
    <w:rsid w:val="00F86ED5"/>
    <w:rsid w:val="00F86FE8"/>
    <w:rsid w:val="00F87262"/>
    <w:rsid w:val="00F87409"/>
    <w:rsid w:val="00F87594"/>
    <w:rsid w:val="00F87649"/>
    <w:rsid w:val="00F87682"/>
    <w:rsid w:val="00F87981"/>
    <w:rsid w:val="00F87BF3"/>
    <w:rsid w:val="00F87E94"/>
    <w:rsid w:val="00F90033"/>
    <w:rsid w:val="00F906A6"/>
    <w:rsid w:val="00F9086F"/>
    <w:rsid w:val="00F90B3F"/>
    <w:rsid w:val="00F90BDD"/>
    <w:rsid w:val="00F90C08"/>
    <w:rsid w:val="00F90F9D"/>
    <w:rsid w:val="00F91307"/>
    <w:rsid w:val="00F9153B"/>
    <w:rsid w:val="00F918B1"/>
    <w:rsid w:val="00F9191C"/>
    <w:rsid w:val="00F91D1B"/>
    <w:rsid w:val="00F92050"/>
    <w:rsid w:val="00F92205"/>
    <w:rsid w:val="00F92341"/>
    <w:rsid w:val="00F92370"/>
    <w:rsid w:val="00F92501"/>
    <w:rsid w:val="00F9271F"/>
    <w:rsid w:val="00F92F9D"/>
    <w:rsid w:val="00F93112"/>
    <w:rsid w:val="00F9324E"/>
    <w:rsid w:val="00F93412"/>
    <w:rsid w:val="00F934AB"/>
    <w:rsid w:val="00F93618"/>
    <w:rsid w:val="00F938FC"/>
    <w:rsid w:val="00F93CA7"/>
    <w:rsid w:val="00F93ED4"/>
    <w:rsid w:val="00F9427E"/>
    <w:rsid w:val="00F94584"/>
    <w:rsid w:val="00F94806"/>
    <w:rsid w:val="00F94A4C"/>
    <w:rsid w:val="00F94B3D"/>
    <w:rsid w:val="00F94E58"/>
    <w:rsid w:val="00F950A9"/>
    <w:rsid w:val="00F95290"/>
    <w:rsid w:val="00F952BB"/>
    <w:rsid w:val="00F95784"/>
    <w:rsid w:val="00F95DA7"/>
    <w:rsid w:val="00F95F36"/>
    <w:rsid w:val="00F963C3"/>
    <w:rsid w:val="00F96645"/>
    <w:rsid w:val="00F9668B"/>
    <w:rsid w:val="00F96916"/>
    <w:rsid w:val="00F96A97"/>
    <w:rsid w:val="00F96BA9"/>
    <w:rsid w:val="00F96D41"/>
    <w:rsid w:val="00F96DE9"/>
    <w:rsid w:val="00F9703C"/>
    <w:rsid w:val="00F97088"/>
    <w:rsid w:val="00F97157"/>
    <w:rsid w:val="00F9730A"/>
    <w:rsid w:val="00F97408"/>
    <w:rsid w:val="00F9742F"/>
    <w:rsid w:val="00F97437"/>
    <w:rsid w:val="00F97566"/>
    <w:rsid w:val="00F97AF9"/>
    <w:rsid w:val="00F97B16"/>
    <w:rsid w:val="00F97C27"/>
    <w:rsid w:val="00F97D9A"/>
    <w:rsid w:val="00F97F19"/>
    <w:rsid w:val="00FA009E"/>
    <w:rsid w:val="00FA04EC"/>
    <w:rsid w:val="00FA072C"/>
    <w:rsid w:val="00FA07D8"/>
    <w:rsid w:val="00FA092A"/>
    <w:rsid w:val="00FA0934"/>
    <w:rsid w:val="00FA0AEA"/>
    <w:rsid w:val="00FA0BB8"/>
    <w:rsid w:val="00FA0C37"/>
    <w:rsid w:val="00FA0ED6"/>
    <w:rsid w:val="00FA0F64"/>
    <w:rsid w:val="00FA10F4"/>
    <w:rsid w:val="00FA114A"/>
    <w:rsid w:val="00FA153A"/>
    <w:rsid w:val="00FA1574"/>
    <w:rsid w:val="00FA1814"/>
    <w:rsid w:val="00FA1880"/>
    <w:rsid w:val="00FA189D"/>
    <w:rsid w:val="00FA1A54"/>
    <w:rsid w:val="00FA1C3D"/>
    <w:rsid w:val="00FA1D55"/>
    <w:rsid w:val="00FA207A"/>
    <w:rsid w:val="00FA21DB"/>
    <w:rsid w:val="00FA21F3"/>
    <w:rsid w:val="00FA247B"/>
    <w:rsid w:val="00FA2637"/>
    <w:rsid w:val="00FA28C3"/>
    <w:rsid w:val="00FA2A46"/>
    <w:rsid w:val="00FA2A48"/>
    <w:rsid w:val="00FA2B63"/>
    <w:rsid w:val="00FA2C37"/>
    <w:rsid w:val="00FA2D1D"/>
    <w:rsid w:val="00FA2EF0"/>
    <w:rsid w:val="00FA306A"/>
    <w:rsid w:val="00FA3131"/>
    <w:rsid w:val="00FA319A"/>
    <w:rsid w:val="00FA322D"/>
    <w:rsid w:val="00FA36E0"/>
    <w:rsid w:val="00FA375C"/>
    <w:rsid w:val="00FA377F"/>
    <w:rsid w:val="00FA3A65"/>
    <w:rsid w:val="00FA3B46"/>
    <w:rsid w:val="00FA3D8C"/>
    <w:rsid w:val="00FA437C"/>
    <w:rsid w:val="00FA44AB"/>
    <w:rsid w:val="00FA4601"/>
    <w:rsid w:val="00FA4624"/>
    <w:rsid w:val="00FA4681"/>
    <w:rsid w:val="00FA48D0"/>
    <w:rsid w:val="00FA4910"/>
    <w:rsid w:val="00FA4A18"/>
    <w:rsid w:val="00FA4B03"/>
    <w:rsid w:val="00FA4D10"/>
    <w:rsid w:val="00FA4EE0"/>
    <w:rsid w:val="00FA4F3A"/>
    <w:rsid w:val="00FA4FAA"/>
    <w:rsid w:val="00FA50BF"/>
    <w:rsid w:val="00FA51C5"/>
    <w:rsid w:val="00FA525F"/>
    <w:rsid w:val="00FA54D7"/>
    <w:rsid w:val="00FA5645"/>
    <w:rsid w:val="00FA56E8"/>
    <w:rsid w:val="00FA57EF"/>
    <w:rsid w:val="00FA586D"/>
    <w:rsid w:val="00FA5A7A"/>
    <w:rsid w:val="00FA5AE2"/>
    <w:rsid w:val="00FA5CEC"/>
    <w:rsid w:val="00FA5F03"/>
    <w:rsid w:val="00FA5F26"/>
    <w:rsid w:val="00FA5F36"/>
    <w:rsid w:val="00FA6151"/>
    <w:rsid w:val="00FA694B"/>
    <w:rsid w:val="00FA6C9B"/>
    <w:rsid w:val="00FA6FE0"/>
    <w:rsid w:val="00FA7428"/>
    <w:rsid w:val="00FA776A"/>
    <w:rsid w:val="00FA78C6"/>
    <w:rsid w:val="00FA79D8"/>
    <w:rsid w:val="00FA7A72"/>
    <w:rsid w:val="00FA7C15"/>
    <w:rsid w:val="00FA7E31"/>
    <w:rsid w:val="00FA7F98"/>
    <w:rsid w:val="00FA7FE1"/>
    <w:rsid w:val="00FB0057"/>
    <w:rsid w:val="00FB00BB"/>
    <w:rsid w:val="00FB0142"/>
    <w:rsid w:val="00FB017C"/>
    <w:rsid w:val="00FB023F"/>
    <w:rsid w:val="00FB02BA"/>
    <w:rsid w:val="00FB0335"/>
    <w:rsid w:val="00FB03C0"/>
    <w:rsid w:val="00FB04C4"/>
    <w:rsid w:val="00FB0AAF"/>
    <w:rsid w:val="00FB0C40"/>
    <w:rsid w:val="00FB0C92"/>
    <w:rsid w:val="00FB0F84"/>
    <w:rsid w:val="00FB1094"/>
    <w:rsid w:val="00FB12EC"/>
    <w:rsid w:val="00FB1368"/>
    <w:rsid w:val="00FB13D9"/>
    <w:rsid w:val="00FB154A"/>
    <w:rsid w:val="00FB154C"/>
    <w:rsid w:val="00FB1632"/>
    <w:rsid w:val="00FB16F0"/>
    <w:rsid w:val="00FB174F"/>
    <w:rsid w:val="00FB17AE"/>
    <w:rsid w:val="00FB1A30"/>
    <w:rsid w:val="00FB1D2F"/>
    <w:rsid w:val="00FB1E6F"/>
    <w:rsid w:val="00FB1F84"/>
    <w:rsid w:val="00FB20EE"/>
    <w:rsid w:val="00FB2143"/>
    <w:rsid w:val="00FB2369"/>
    <w:rsid w:val="00FB24C0"/>
    <w:rsid w:val="00FB2545"/>
    <w:rsid w:val="00FB260B"/>
    <w:rsid w:val="00FB28AD"/>
    <w:rsid w:val="00FB28D4"/>
    <w:rsid w:val="00FB2B9D"/>
    <w:rsid w:val="00FB2C7D"/>
    <w:rsid w:val="00FB2DB7"/>
    <w:rsid w:val="00FB3107"/>
    <w:rsid w:val="00FB33F6"/>
    <w:rsid w:val="00FB341B"/>
    <w:rsid w:val="00FB3428"/>
    <w:rsid w:val="00FB3839"/>
    <w:rsid w:val="00FB396A"/>
    <w:rsid w:val="00FB3B86"/>
    <w:rsid w:val="00FB3BFA"/>
    <w:rsid w:val="00FB3E54"/>
    <w:rsid w:val="00FB4563"/>
    <w:rsid w:val="00FB493F"/>
    <w:rsid w:val="00FB4958"/>
    <w:rsid w:val="00FB49BF"/>
    <w:rsid w:val="00FB4AA9"/>
    <w:rsid w:val="00FB4ADF"/>
    <w:rsid w:val="00FB4D7C"/>
    <w:rsid w:val="00FB4FF1"/>
    <w:rsid w:val="00FB5235"/>
    <w:rsid w:val="00FB5763"/>
    <w:rsid w:val="00FB57D8"/>
    <w:rsid w:val="00FB584B"/>
    <w:rsid w:val="00FB5FDD"/>
    <w:rsid w:val="00FB6004"/>
    <w:rsid w:val="00FB684A"/>
    <w:rsid w:val="00FB6C42"/>
    <w:rsid w:val="00FB6F39"/>
    <w:rsid w:val="00FB6FCB"/>
    <w:rsid w:val="00FB7028"/>
    <w:rsid w:val="00FB7055"/>
    <w:rsid w:val="00FB7154"/>
    <w:rsid w:val="00FB7415"/>
    <w:rsid w:val="00FB7802"/>
    <w:rsid w:val="00FB7AE0"/>
    <w:rsid w:val="00FB7B63"/>
    <w:rsid w:val="00FB7B95"/>
    <w:rsid w:val="00FB7CD2"/>
    <w:rsid w:val="00FB7DB7"/>
    <w:rsid w:val="00FB7FA1"/>
    <w:rsid w:val="00FC038B"/>
    <w:rsid w:val="00FC0560"/>
    <w:rsid w:val="00FC0670"/>
    <w:rsid w:val="00FC0896"/>
    <w:rsid w:val="00FC0909"/>
    <w:rsid w:val="00FC109D"/>
    <w:rsid w:val="00FC114A"/>
    <w:rsid w:val="00FC11DF"/>
    <w:rsid w:val="00FC13C0"/>
    <w:rsid w:val="00FC1405"/>
    <w:rsid w:val="00FC14C7"/>
    <w:rsid w:val="00FC1592"/>
    <w:rsid w:val="00FC1953"/>
    <w:rsid w:val="00FC1980"/>
    <w:rsid w:val="00FC1C0D"/>
    <w:rsid w:val="00FC2143"/>
    <w:rsid w:val="00FC2151"/>
    <w:rsid w:val="00FC22AB"/>
    <w:rsid w:val="00FC2533"/>
    <w:rsid w:val="00FC27FF"/>
    <w:rsid w:val="00FC288F"/>
    <w:rsid w:val="00FC298B"/>
    <w:rsid w:val="00FC2EE7"/>
    <w:rsid w:val="00FC3003"/>
    <w:rsid w:val="00FC31CC"/>
    <w:rsid w:val="00FC3293"/>
    <w:rsid w:val="00FC32AC"/>
    <w:rsid w:val="00FC3527"/>
    <w:rsid w:val="00FC3554"/>
    <w:rsid w:val="00FC36E3"/>
    <w:rsid w:val="00FC36EF"/>
    <w:rsid w:val="00FC38E0"/>
    <w:rsid w:val="00FC39B7"/>
    <w:rsid w:val="00FC3BB2"/>
    <w:rsid w:val="00FC410F"/>
    <w:rsid w:val="00FC43FD"/>
    <w:rsid w:val="00FC440D"/>
    <w:rsid w:val="00FC46EF"/>
    <w:rsid w:val="00FC49CB"/>
    <w:rsid w:val="00FC4A4B"/>
    <w:rsid w:val="00FC4B07"/>
    <w:rsid w:val="00FC4C9C"/>
    <w:rsid w:val="00FC4E15"/>
    <w:rsid w:val="00FC500A"/>
    <w:rsid w:val="00FC5084"/>
    <w:rsid w:val="00FC50D0"/>
    <w:rsid w:val="00FC5280"/>
    <w:rsid w:val="00FC52E6"/>
    <w:rsid w:val="00FC55EF"/>
    <w:rsid w:val="00FC56E1"/>
    <w:rsid w:val="00FC56F3"/>
    <w:rsid w:val="00FC57FD"/>
    <w:rsid w:val="00FC5E61"/>
    <w:rsid w:val="00FC637A"/>
    <w:rsid w:val="00FC6647"/>
    <w:rsid w:val="00FC6E68"/>
    <w:rsid w:val="00FC747F"/>
    <w:rsid w:val="00FC75C8"/>
    <w:rsid w:val="00FC7BFE"/>
    <w:rsid w:val="00FC7C00"/>
    <w:rsid w:val="00FC7D5A"/>
    <w:rsid w:val="00FC7EA7"/>
    <w:rsid w:val="00FC7EAA"/>
    <w:rsid w:val="00FD006F"/>
    <w:rsid w:val="00FD01CD"/>
    <w:rsid w:val="00FD0318"/>
    <w:rsid w:val="00FD034E"/>
    <w:rsid w:val="00FD036D"/>
    <w:rsid w:val="00FD04CF"/>
    <w:rsid w:val="00FD0530"/>
    <w:rsid w:val="00FD07AA"/>
    <w:rsid w:val="00FD0B55"/>
    <w:rsid w:val="00FD0D4B"/>
    <w:rsid w:val="00FD0EC1"/>
    <w:rsid w:val="00FD0F3A"/>
    <w:rsid w:val="00FD0FD5"/>
    <w:rsid w:val="00FD10BF"/>
    <w:rsid w:val="00FD1164"/>
    <w:rsid w:val="00FD16CB"/>
    <w:rsid w:val="00FD186F"/>
    <w:rsid w:val="00FD18C6"/>
    <w:rsid w:val="00FD1978"/>
    <w:rsid w:val="00FD19CB"/>
    <w:rsid w:val="00FD1A7F"/>
    <w:rsid w:val="00FD1AA8"/>
    <w:rsid w:val="00FD1F50"/>
    <w:rsid w:val="00FD1F76"/>
    <w:rsid w:val="00FD1FAE"/>
    <w:rsid w:val="00FD22C3"/>
    <w:rsid w:val="00FD24A5"/>
    <w:rsid w:val="00FD27FB"/>
    <w:rsid w:val="00FD29F2"/>
    <w:rsid w:val="00FD2B0B"/>
    <w:rsid w:val="00FD3554"/>
    <w:rsid w:val="00FD3678"/>
    <w:rsid w:val="00FD379A"/>
    <w:rsid w:val="00FD3E2E"/>
    <w:rsid w:val="00FD3EA6"/>
    <w:rsid w:val="00FD45B5"/>
    <w:rsid w:val="00FD49C3"/>
    <w:rsid w:val="00FD4A04"/>
    <w:rsid w:val="00FD517C"/>
    <w:rsid w:val="00FD5266"/>
    <w:rsid w:val="00FD54C2"/>
    <w:rsid w:val="00FD5501"/>
    <w:rsid w:val="00FD55A9"/>
    <w:rsid w:val="00FD55E3"/>
    <w:rsid w:val="00FD58B8"/>
    <w:rsid w:val="00FD58EC"/>
    <w:rsid w:val="00FD5F0A"/>
    <w:rsid w:val="00FD60B9"/>
    <w:rsid w:val="00FD62B8"/>
    <w:rsid w:val="00FD65E1"/>
    <w:rsid w:val="00FD6813"/>
    <w:rsid w:val="00FD701C"/>
    <w:rsid w:val="00FD7155"/>
    <w:rsid w:val="00FD72FE"/>
    <w:rsid w:val="00FD73C9"/>
    <w:rsid w:val="00FD7684"/>
    <w:rsid w:val="00FD778E"/>
    <w:rsid w:val="00FD7A2B"/>
    <w:rsid w:val="00FD7B22"/>
    <w:rsid w:val="00FD7BE1"/>
    <w:rsid w:val="00FD7C1B"/>
    <w:rsid w:val="00FD7CE1"/>
    <w:rsid w:val="00FE004C"/>
    <w:rsid w:val="00FE03CA"/>
    <w:rsid w:val="00FE0463"/>
    <w:rsid w:val="00FE063C"/>
    <w:rsid w:val="00FE0834"/>
    <w:rsid w:val="00FE0981"/>
    <w:rsid w:val="00FE0A88"/>
    <w:rsid w:val="00FE0AAD"/>
    <w:rsid w:val="00FE0C22"/>
    <w:rsid w:val="00FE0E40"/>
    <w:rsid w:val="00FE0F4C"/>
    <w:rsid w:val="00FE0F9B"/>
    <w:rsid w:val="00FE141E"/>
    <w:rsid w:val="00FE14E7"/>
    <w:rsid w:val="00FE170D"/>
    <w:rsid w:val="00FE19B4"/>
    <w:rsid w:val="00FE19F1"/>
    <w:rsid w:val="00FE1B6A"/>
    <w:rsid w:val="00FE1C1D"/>
    <w:rsid w:val="00FE1CF0"/>
    <w:rsid w:val="00FE1D46"/>
    <w:rsid w:val="00FE1F20"/>
    <w:rsid w:val="00FE201B"/>
    <w:rsid w:val="00FE219E"/>
    <w:rsid w:val="00FE25C2"/>
    <w:rsid w:val="00FE2800"/>
    <w:rsid w:val="00FE2841"/>
    <w:rsid w:val="00FE29A0"/>
    <w:rsid w:val="00FE2B48"/>
    <w:rsid w:val="00FE2BC8"/>
    <w:rsid w:val="00FE2E7D"/>
    <w:rsid w:val="00FE3175"/>
    <w:rsid w:val="00FE350B"/>
    <w:rsid w:val="00FE377B"/>
    <w:rsid w:val="00FE37BB"/>
    <w:rsid w:val="00FE3854"/>
    <w:rsid w:val="00FE3B6D"/>
    <w:rsid w:val="00FE3DA0"/>
    <w:rsid w:val="00FE3F0E"/>
    <w:rsid w:val="00FE3F3F"/>
    <w:rsid w:val="00FE4077"/>
    <w:rsid w:val="00FE4292"/>
    <w:rsid w:val="00FE4422"/>
    <w:rsid w:val="00FE4532"/>
    <w:rsid w:val="00FE4906"/>
    <w:rsid w:val="00FE4F0C"/>
    <w:rsid w:val="00FE4FFB"/>
    <w:rsid w:val="00FE5084"/>
    <w:rsid w:val="00FE528E"/>
    <w:rsid w:val="00FE530C"/>
    <w:rsid w:val="00FE54B8"/>
    <w:rsid w:val="00FE5760"/>
    <w:rsid w:val="00FE5ABE"/>
    <w:rsid w:val="00FE5B1A"/>
    <w:rsid w:val="00FE5B59"/>
    <w:rsid w:val="00FE5D04"/>
    <w:rsid w:val="00FE5D1F"/>
    <w:rsid w:val="00FE5E6F"/>
    <w:rsid w:val="00FE5EB8"/>
    <w:rsid w:val="00FE6367"/>
    <w:rsid w:val="00FE63D3"/>
    <w:rsid w:val="00FE6508"/>
    <w:rsid w:val="00FE6704"/>
    <w:rsid w:val="00FE6732"/>
    <w:rsid w:val="00FE678F"/>
    <w:rsid w:val="00FE6BDA"/>
    <w:rsid w:val="00FE6EFC"/>
    <w:rsid w:val="00FE7412"/>
    <w:rsid w:val="00FE749A"/>
    <w:rsid w:val="00FE79E5"/>
    <w:rsid w:val="00FE7B8B"/>
    <w:rsid w:val="00FE7BF1"/>
    <w:rsid w:val="00FE7CD8"/>
    <w:rsid w:val="00FE7DFC"/>
    <w:rsid w:val="00FF0611"/>
    <w:rsid w:val="00FF07D5"/>
    <w:rsid w:val="00FF0A61"/>
    <w:rsid w:val="00FF0B6F"/>
    <w:rsid w:val="00FF0C5E"/>
    <w:rsid w:val="00FF0F84"/>
    <w:rsid w:val="00FF102A"/>
    <w:rsid w:val="00FF1229"/>
    <w:rsid w:val="00FF1304"/>
    <w:rsid w:val="00FF16E7"/>
    <w:rsid w:val="00FF17F7"/>
    <w:rsid w:val="00FF188E"/>
    <w:rsid w:val="00FF18C7"/>
    <w:rsid w:val="00FF1A40"/>
    <w:rsid w:val="00FF1DA9"/>
    <w:rsid w:val="00FF2010"/>
    <w:rsid w:val="00FF2210"/>
    <w:rsid w:val="00FF22B9"/>
    <w:rsid w:val="00FF286B"/>
    <w:rsid w:val="00FF2C29"/>
    <w:rsid w:val="00FF2F60"/>
    <w:rsid w:val="00FF30A6"/>
    <w:rsid w:val="00FF31AC"/>
    <w:rsid w:val="00FF3201"/>
    <w:rsid w:val="00FF3214"/>
    <w:rsid w:val="00FF334E"/>
    <w:rsid w:val="00FF3688"/>
    <w:rsid w:val="00FF37C1"/>
    <w:rsid w:val="00FF38DA"/>
    <w:rsid w:val="00FF3BFF"/>
    <w:rsid w:val="00FF3CA8"/>
    <w:rsid w:val="00FF3FCE"/>
    <w:rsid w:val="00FF40FE"/>
    <w:rsid w:val="00FF423D"/>
    <w:rsid w:val="00FF423F"/>
    <w:rsid w:val="00FF424E"/>
    <w:rsid w:val="00FF440C"/>
    <w:rsid w:val="00FF458A"/>
    <w:rsid w:val="00FF46B4"/>
    <w:rsid w:val="00FF4B3E"/>
    <w:rsid w:val="00FF4C06"/>
    <w:rsid w:val="00FF504B"/>
    <w:rsid w:val="00FF51A9"/>
    <w:rsid w:val="00FF51E2"/>
    <w:rsid w:val="00FF544B"/>
    <w:rsid w:val="00FF548F"/>
    <w:rsid w:val="00FF554A"/>
    <w:rsid w:val="00FF58BF"/>
    <w:rsid w:val="00FF5AED"/>
    <w:rsid w:val="00FF5CE8"/>
    <w:rsid w:val="00FF6034"/>
    <w:rsid w:val="00FF6077"/>
    <w:rsid w:val="00FF616A"/>
    <w:rsid w:val="00FF6183"/>
    <w:rsid w:val="00FF64A4"/>
    <w:rsid w:val="00FF6511"/>
    <w:rsid w:val="00FF6652"/>
    <w:rsid w:val="00FF6701"/>
    <w:rsid w:val="00FF6C10"/>
    <w:rsid w:val="00FF7496"/>
    <w:rsid w:val="00FF77CC"/>
    <w:rsid w:val="00FF78C2"/>
    <w:rsid w:val="00FF78F5"/>
    <w:rsid w:val="00FF79AB"/>
    <w:rsid w:val="00FF79D5"/>
    <w:rsid w:val="00FF7AE9"/>
    <w:rsid w:val="00FF7B9D"/>
    <w:rsid w:val="00FF7C21"/>
    <w:rsid w:val="00FF7E31"/>
    <w:rsid w:val="00FF7EB7"/>
    <w:rsid w:val="00FF7FF3"/>
    <w:rsid w:val="010334A8"/>
    <w:rsid w:val="010ED258"/>
    <w:rsid w:val="011C7D0E"/>
    <w:rsid w:val="011E5BB6"/>
    <w:rsid w:val="0127E8A3"/>
    <w:rsid w:val="012BA452"/>
    <w:rsid w:val="012FEE13"/>
    <w:rsid w:val="01340878"/>
    <w:rsid w:val="0135B7D3"/>
    <w:rsid w:val="013ED791"/>
    <w:rsid w:val="0148BA08"/>
    <w:rsid w:val="01702897"/>
    <w:rsid w:val="0170F667"/>
    <w:rsid w:val="017BE315"/>
    <w:rsid w:val="018FAB7E"/>
    <w:rsid w:val="01967690"/>
    <w:rsid w:val="019C61A8"/>
    <w:rsid w:val="01A0D6ED"/>
    <w:rsid w:val="01A93506"/>
    <w:rsid w:val="01AF06BD"/>
    <w:rsid w:val="01B6BAB3"/>
    <w:rsid w:val="01C834C1"/>
    <w:rsid w:val="01CC59C3"/>
    <w:rsid w:val="01CC5A47"/>
    <w:rsid w:val="01D0DFA2"/>
    <w:rsid w:val="01F3AF3E"/>
    <w:rsid w:val="01FD88DF"/>
    <w:rsid w:val="020AE540"/>
    <w:rsid w:val="020EF86A"/>
    <w:rsid w:val="0220C3C1"/>
    <w:rsid w:val="02565CEB"/>
    <w:rsid w:val="026F7C60"/>
    <w:rsid w:val="02801A2F"/>
    <w:rsid w:val="0280DC40"/>
    <w:rsid w:val="02894538"/>
    <w:rsid w:val="02AA06F2"/>
    <w:rsid w:val="02BE30DF"/>
    <w:rsid w:val="02C6F710"/>
    <w:rsid w:val="02D47D10"/>
    <w:rsid w:val="02DC8B03"/>
    <w:rsid w:val="02DDC07F"/>
    <w:rsid w:val="02E033B7"/>
    <w:rsid w:val="02EEA9C9"/>
    <w:rsid w:val="02EFEB12"/>
    <w:rsid w:val="02F3BB02"/>
    <w:rsid w:val="03091508"/>
    <w:rsid w:val="030A8956"/>
    <w:rsid w:val="030BD91D"/>
    <w:rsid w:val="030C0CDC"/>
    <w:rsid w:val="030CADE9"/>
    <w:rsid w:val="03152DC2"/>
    <w:rsid w:val="031CE2AE"/>
    <w:rsid w:val="03221367"/>
    <w:rsid w:val="034C9BD0"/>
    <w:rsid w:val="0353702E"/>
    <w:rsid w:val="035859D7"/>
    <w:rsid w:val="036E47CF"/>
    <w:rsid w:val="037D2D98"/>
    <w:rsid w:val="037E83B0"/>
    <w:rsid w:val="038802E9"/>
    <w:rsid w:val="0392521C"/>
    <w:rsid w:val="0397D04D"/>
    <w:rsid w:val="039FC461"/>
    <w:rsid w:val="03B18089"/>
    <w:rsid w:val="03B19D54"/>
    <w:rsid w:val="03BC3C9C"/>
    <w:rsid w:val="03BFFB20"/>
    <w:rsid w:val="03C1E4FE"/>
    <w:rsid w:val="03C7344D"/>
    <w:rsid w:val="03C745F1"/>
    <w:rsid w:val="03E4C6F6"/>
    <w:rsid w:val="041544E3"/>
    <w:rsid w:val="041804D3"/>
    <w:rsid w:val="042AAF45"/>
    <w:rsid w:val="043C6900"/>
    <w:rsid w:val="043DBCE4"/>
    <w:rsid w:val="044003F7"/>
    <w:rsid w:val="04449BBE"/>
    <w:rsid w:val="044F8FF1"/>
    <w:rsid w:val="04546AA6"/>
    <w:rsid w:val="04551B1F"/>
    <w:rsid w:val="04638BC9"/>
    <w:rsid w:val="046845F7"/>
    <w:rsid w:val="046FE60B"/>
    <w:rsid w:val="04772108"/>
    <w:rsid w:val="0477EB99"/>
    <w:rsid w:val="047D566D"/>
    <w:rsid w:val="04835EAE"/>
    <w:rsid w:val="0487284F"/>
    <w:rsid w:val="04963E90"/>
    <w:rsid w:val="049A5658"/>
    <w:rsid w:val="04A77C1A"/>
    <w:rsid w:val="04AB2470"/>
    <w:rsid w:val="04B8E332"/>
    <w:rsid w:val="04BAED91"/>
    <w:rsid w:val="04BF14F5"/>
    <w:rsid w:val="04C276AD"/>
    <w:rsid w:val="04C6E1CC"/>
    <w:rsid w:val="04D6EF5B"/>
    <w:rsid w:val="04EBAB27"/>
    <w:rsid w:val="04EECEB4"/>
    <w:rsid w:val="0526502D"/>
    <w:rsid w:val="052EF82F"/>
    <w:rsid w:val="053FF2BF"/>
    <w:rsid w:val="054CE827"/>
    <w:rsid w:val="0559768D"/>
    <w:rsid w:val="056A53D9"/>
    <w:rsid w:val="056BA557"/>
    <w:rsid w:val="05800C62"/>
    <w:rsid w:val="058A3406"/>
    <w:rsid w:val="05AE06C7"/>
    <w:rsid w:val="05AF30DA"/>
    <w:rsid w:val="05C04388"/>
    <w:rsid w:val="05C4771B"/>
    <w:rsid w:val="05C87A4B"/>
    <w:rsid w:val="05D34060"/>
    <w:rsid w:val="05D6D1E8"/>
    <w:rsid w:val="05E2AE77"/>
    <w:rsid w:val="06251D56"/>
    <w:rsid w:val="06284ABA"/>
    <w:rsid w:val="062EB983"/>
    <w:rsid w:val="063D7155"/>
    <w:rsid w:val="0641FDB7"/>
    <w:rsid w:val="064CEB91"/>
    <w:rsid w:val="065B7B75"/>
    <w:rsid w:val="065FB089"/>
    <w:rsid w:val="066DAF92"/>
    <w:rsid w:val="0672555B"/>
    <w:rsid w:val="0691DF04"/>
    <w:rsid w:val="069828FB"/>
    <w:rsid w:val="069EC0B9"/>
    <w:rsid w:val="06A2CB9E"/>
    <w:rsid w:val="06B0B2BF"/>
    <w:rsid w:val="06BC9600"/>
    <w:rsid w:val="06BF039A"/>
    <w:rsid w:val="06C13238"/>
    <w:rsid w:val="06DA4C55"/>
    <w:rsid w:val="06E4E7FA"/>
    <w:rsid w:val="06E9DE68"/>
    <w:rsid w:val="06ED6DDF"/>
    <w:rsid w:val="06F1C865"/>
    <w:rsid w:val="070406CA"/>
    <w:rsid w:val="070D34DA"/>
    <w:rsid w:val="0714E3E6"/>
    <w:rsid w:val="07345826"/>
    <w:rsid w:val="074B0A08"/>
    <w:rsid w:val="0756E002"/>
    <w:rsid w:val="0757CB2F"/>
    <w:rsid w:val="07797EBA"/>
    <w:rsid w:val="077C958F"/>
    <w:rsid w:val="078043D1"/>
    <w:rsid w:val="079F81B7"/>
    <w:rsid w:val="07A36848"/>
    <w:rsid w:val="07BED7CF"/>
    <w:rsid w:val="07CA9110"/>
    <w:rsid w:val="07DB002C"/>
    <w:rsid w:val="07DBE452"/>
    <w:rsid w:val="07F23086"/>
    <w:rsid w:val="080AFF6A"/>
    <w:rsid w:val="080F1EF8"/>
    <w:rsid w:val="08101EF1"/>
    <w:rsid w:val="081C61E1"/>
    <w:rsid w:val="08429E1C"/>
    <w:rsid w:val="0843E3CB"/>
    <w:rsid w:val="0849A081"/>
    <w:rsid w:val="087685B1"/>
    <w:rsid w:val="087B0BB8"/>
    <w:rsid w:val="08990B92"/>
    <w:rsid w:val="08AA73B9"/>
    <w:rsid w:val="08B1CF3A"/>
    <w:rsid w:val="08B6B1AC"/>
    <w:rsid w:val="08C084CC"/>
    <w:rsid w:val="08C3F8C0"/>
    <w:rsid w:val="08CDE0EC"/>
    <w:rsid w:val="08D1B20F"/>
    <w:rsid w:val="08D3B2C9"/>
    <w:rsid w:val="08E515D6"/>
    <w:rsid w:val="08E59FD3"/>
    <w:rsid w:val="08EB0F42"/>
    <w:rsid w:val="08F052B0"/>
    <w:rsid w:val="08F92250"/>
    <w:rsid w:val="08FD5461"/>
    <w:rsid w:val="08FDC276"/>
    <w:rsid w:val="09334128"/>
    <w:rsid w:val="096B0CF3"/>
    <w:rsid w:val="096B2850"/>
    <w:rsid w:val="097723EE"/>
    <w:rsid w:val="0984F2CC"/>
    <w:rsid w:val="09885D40"/>
    <w:rsid w:val="098CDA39"/>
    <w:rsid w:val="098D6C1D"/>
    <w:rsid w:val="09964FB2"/>
    <w:rsid w:val="099BF715"/>
    <w:rsid w:val="09A56C26"/>
    <w:rsid w:val="09AC879C"/>
    <w:rsid w:val="09AD70BF"/>
    <w:rsid w:val="09BF5F26"/>
    <w:rsid w:val="09C697FD"/>
    <w:rsid w:val="09C9BE05"/>
    <w:rsid w:val="09CAD207"/>
    <w:rsid w:val="09D74C97"/>
    <w:rsid w:val="0A2EF8E7"/>
    <w:rsid w:val="0A5029CC"/>
    <w:rsid w:val="0A54BC43"/>
    <w:rsid w:val="0A5FEA63"/>
    <w:rsid w:val="0A71E4D5"/>
    <w:rsid w:val="0A7990C4"/>
    <w:rsid w:val="0A81E7C4"/>
    <w:rsid w:val="0A8722DE"/>
    <w:rsid w:val="0A87A506"/>
    <w:rsid w:val="0A9818F0"/>
    <w:rsid w:val="0A98F05C"/>
    <w:rsid w:val="0AA7F034"/>
    <w:rsid w:val="0AA90B03"/>
    <w:rsid w:val="0AAA972B"/>
    <w:rsid w:val="0AAD3B86"/>
    <w:rsid w:val="0AD1FA44"/>
    <w:rsid w:val="0AD7477A"/>
    <w:rsid w:val="0AD8A7D3"/>
    <w:rsid w:val="0AE37757"/>
    <w:rsid w:val="0AE9894A"/>
    <w:rsid w:val="0AF41BEE"/>
    <w:rsid w:val="0B0E5FE1"/>
    <w:rsid w:val="0B123170"/>
    <w:rsid w:val="0B2B4495"/>
    <w:rsid w:val="0B38C4B3"/>
    <w:rsid w:val="0B65E3F5"/>
    <w:rsid w:val="0B699944"/>
    <w:rsid w:val="0B6C4A7A"/>
    <w:rsid w:val="0B6D0963"/>
    <w:rsid w:val="0B7A153B"/>
    <w:rsid w:val="0B7D6E5E"/>
    <w:rsid w:val="0B9A738C"/>
    <w:rsid w:val="0BA60C50"/>
    <w:rsid w:val="0BB42DA2"/>
    <w:rsid w:val="0BB60775"/>
    <w:rsid w:val="0BC7B73B"/>
    <w:rsid w:val="0BCDF9F5"/>
    <w:rsid w:val="0BCFC0A1"/>
    <w:rsid w:val="0BD1A0A3"/>
    <w:rsid w:val="0BD9C282"/>
    <w:rsid w:val="0BDFEF5B"/>
    <w:rsid w:val="0BE33CC5"/>
    <w:rsid w:val="0BE440F4"/>
    <w:rsid w:val="0BE53B10"/>
    <w:rsid w:val="0BE806E0"/>
    <w:rsid w:val="0BECBE8C"/>
    <w:rsid w:val="0BF36825"/>
    <w:rsid w:val="0C0CF9EE"/>
    <w:rsid w:val="0C1CBDAE"/>
    <w:rsid w:val="0C37299C"/>
    <w:rsid w:val="0C3994C6"/>
    <w:rsid w:val="0C3DD3F5"/>
    <w:rsid w:val="0C411127"/>
    <w:rsid w:val="0C59A20D"/>
    <w:rsid w:val="0C5AF69F"/>
    <w:rsid w:val="0C685337"/>
    <w:rsid w:val="0C7704AD"/>
    <w:rsid w:val="0C8A4E2C"/>
    <w:rsid w:val="0C9ECD97"/>
    <w:rsid w:val="0CA41F50"/>
    <w:rsid w:val="0CA7A194"/>
    <w:rsid w:val="0CC1FB5D"/>
    <w:rsid w:val="0CCCD1D3"/>
    <w:rsid w:val="0CD55B0C"/>
    <w:rsid w:val="0CFE3AF2"/>
    <w:rsid w:val="0D042931"/>
    <w:rsid w:val="0D0880D5"/>
    <w:rsid w:val="0D21F89B"/>
    <w:rsid w:val="0D30F312"/>
    <w:rsid w:val="0D384767"/>
    <w:rsid w:val="0D3B84DE"/>
    <w:rsid w:val="0D501F69"/>
    <w:rsid w:val="0D5C7703"/>
    <w:rsid w:val="0D5D1D34"/>
    <w:rsid w:val="0D685857"/>
    <w:rsid w:val="0D785E1C"/>
    <w:rsid w:val="0D79117E"/>
    <w:rsid w:val="0D994947"/>
    <w:rsid w:val="0DA8F493"/>
    <w:rsid w:val="0DB25EDA"/>
    <w:rsid w:val="0DC66BFC"/>
    <w:rsid w:val="0DCD8497"/>
    <w:rsid w:val="0DD1B14A"/>
    <w:rsid w:val="0DD3FA2E"/>
    <w:rsid w:val="0DD7288F"/>
    <w:rsid w:val="0DDB3C40"/>
    <w:rsid w:val="0DEA7EFB"/>
    <w:rsid w:val="0E1026B1"/>
    <w:rsid w:val="0E1040A7"/>
    <w:rsid w:val="0E2BEA69"/>
    <w:rsid w:val="0E35E02C"/>
    <w:rsid w:val="0E3CE454"/>
    <w:rsid w:val="0E4847F0"/>
    <w:rsid w:val="0E4A0884"/>
    <w:rsid w:val="0E4B0C83"/>
    <w:rsid w:val="0E5D13F1"/>
    <w:rsid w:val="0E5F62B4"/>
    <w:rsid w:val="0E65BBC1"/>
    <w:rsid w:val="0E8C5ECD"/>
    <w:rsid w:val="0E9E02F8"/>
    <w:rsid w:val="0EA31335"/>
    <w:rsid w:val="0EA44712"/>
    <w:rsid w:val="0EAEAC46"/>
    <w:rsid w:val="0EC3B1C0"/>
    <w:rsid w:val="0ECBE75D"/>
    <w:rsid w:val="0ED71222"/>
    <w:rsid w:val="0ED7989D"/>
    <w:rsid w:val="0EE0D4FF"/>
    <w:rsid w:val="0EFA0DDB"/>
    <w:rsid w:val="0EFF3C88"/>
    <w:rsid w:val="0F00A06E"/>
    <w:rsid w:val="0F06C6D4"/>
    <w:rsid w:val="0F0969E1"/>
    <w:rsid w:val="0F0A1A20"/>
    <w:rsid w:val="0F0D69C2"/>
    <w:rsid w:val="0F13EBA4"/>
    <w:rsid w:val="0F1734D5"/>
    <w:rsid w:val="0F2CEFE3"/>
    <w:rsid w:val="0F2E109D"/>
    <w:rsid w:val="0F69B18D"/>
    <w:rsid w:val="0F737AF5"/>
    <w:rsid w:val="0FA98B27"/>
    <w:rsid w:val="0FB639BA"/>
    <w:rsid w:val="0FB6B195"/>
    <w:rsid w:val="0FBAB839"/>
    <w:rsid w:val="0FC71149"/>
    <w:rsid w:val="0FCF19F6"/>
    <w:rsid w:val="0FCF5FF7"/>
    <w:rsid w:val="0FDFF60A"/>
    <w:rsid w:val="0FE2A528"/>
    <w:rsid w:val="0FE3F37B"/>
    <w:rsid w:val="0FE534B5"/>
    <w:rsid w:val="100A8EEE"/>
    <w:rsid w:val="100ABE8C"/>
    <w:rsid w:val="100EEA03"/>
    <w:rsid w:val="1032DAFB"/>
    <w:rsid w:val="1036EDD5"/>
    <w:rsid w:val="103D4459"/>
    <w:rsid w:val="103E7588"/>
    <w:rsid w:val="1041E1A5"/>
    <w:rsid w:val="1051A437"/>
    <w:rsid w:val="1059408B"/>
    <w:rsid w:val="106444A2"/>
    <w:rsid w:val="106CF8F3"/>
    <w:rsid w:val="10710520"/>
    <w:rsid w:val="107CEE67"/>
    <w:rsid w:val="1087E741"/>
    <w:rsid w:val="108E0487"/>
    <w:rsid w:val="109D4989"/>
    <w:rsid w:val="10A0AE16"/>
    <w:rsid w:val="10A5E073"/>
    <w:rsid w:val="10ADAB11"/>
    <w:rsid w:val="10BA457F"/>
    <w:rsid w:val="10D586B2"/>
    <w:rsid w:val="10D7B008"/>
    <w:rsid w:val="10DA4C65"/>
    <w:rsid w:val="10DADAB8"/>
    <w:rsid w:val="10DD0A82"/>
    <w:rsid w:val="10E2ACE1"/>
    <w:rsid w:val="10F06A8D"/>
    <w:rsid w:val="10F13543"/>
    <w:rsid w:val="11154515"/>
    <w:rsid w:val="111A978F"/>
    <w:rsid w:val="112D080A"/>
    <w:rsid w:val="112ECFDF"/>
    <w:rsid w:val="112F6B45"/>
    <w:rsid w:val="113EF895"/>
    <w:rsid w:val="114979EE"/>
    <w:rsid w:val="114E547F"/>
    <w:rsid w:val="11607E29"/>
    <w:rsid w:val="1182CDEE"/>
    <w:rsid w:val="1189A6BD"/>
    <w:rsid w:val="11948572"/>
    <w:rsid w:val="119C137B"/>
    <w:rsid w:val="11A322BD"/>
    <w:rsid w:val="11A8BF40"/>
    <w:rsid w:val="11CF06D2"/>
    <w:rsid w:val="11E072E0"/>
    <w:rsid w:val="11E13C04"/>
    <w:rsid w:val="11EE41CE"/>
    <w:rsid w:val="11F0149A"/>
    <w:rsid w:val="11F82095"/>
    <w:rsid w:val="11F965DE"/>
    <w:rsid w:val="120576F7"/>
    <w:rsid w:val="1223CBCD"/>
    <w:rsid w:val="122DA3D1"/>
    <w:rsid w:val="1231BA9D"/>
    <w:rsid w:val="124633B9"/>
    <w:rsid w:val="1247FC2E"/>
    <w:rsid w:val="12507FCF"/>
    <w:rsid w:val="12579319"/>
    <w:rsid w:val="1263E645"/>
    <w:rsid w:val="1274CF57"/>
    <w:rsid w:val="127B52D3"/>
    <w:rsid w:val="1280C8BC"/>
    <w:rsid w:val="128ED483"/>
    <w:rsid w:val="12C4839B"/>
    <w:rsid w:val="12C872AF"/>
    <w:rsid w:val="12CA1777"/>
    <w:rsid w:val="12CC1DF1"/>
    <w:rsid w:val="12E23D66"/>
    <w:rsid w:val="12ECF4B1"/>
    <w:rsid w:val="12F4C785"/>
    <w:rsid w:val="12FD00CC"/>
    <w:rsid w:val="13007908"/>
    <w:rsid w:val="130F1F12"/>
    <w:rsid w:val="131B6C1B"/>
    <w:rsid w:val="131BFDF1"/>
    <w:rsid w:val="1338A055"/>
    <w:rsid w:val="13537E12"/>
    <w:rsid w:val="13625689"/>
    <w:rsid w:val="1369217B"/>
    <w:rsid w:val="136B4B97"/>
    <w:rsid w:val="13791DEE"/>
    <w:rsid w:val="137CBA64"/>
    <w:rsid w:val="1390B360"/>
    <w:rsid w:val="1394A22B"/>
    <w:rsid w:val="1396A1C6"/>
    <w:rsid w:val="13ACD21A"/>
    <w:rsid w:val="13B6D97F"/>
    <w:rsid w:val="13E6F7A5"/>
    <w:rsid w:val="13E803B2"/>
    <w:rsid w:val="140404DF"/>
    <w:rsid w:val="142A9771"/>
    <w:rsid w:val="1431EF74"/>
    <w:rsid w:val="1446B6EE"/>
    <w:rsid w:val="14546533"/>
    <w:rsid w:val="1459733E"/>
    <w:rsid w:val="1467E6DE"/>
    <w:rsid w:val="148071A4"/>
    <w:rsid w:val="14964CC3"/>
    <w:rsid w:val="14CF215E"/>
    <w:rsid w:val="14E39C07"/>
    <w:rsid w:val="14F242B6"/>
    <w:rsid w:val="150FF4F8"/>
    <w:rsid w:val="15115687"/>
    <w:rsid w:val="1518AC0A"/>
    <w:rsid w:val="1519E200"/>
    <w:rsid w:val="151BCAD6"/>
    <w:rsid w:val="15211664"/>
    <w:rsid w:val="152FF8F5"/>
    <w:rsid w:val="1549D476"/>
    <w:rsid w:val="1560BC59"/>
    <w:rsid w:val="1574F83A"/>
    <w:rsid w:val="1578AB5B"/>
    <w:rsid w:val="158BE3D0"/>
    <w:rsid w:val="159621C1"/>
    <w:rsid w:val="15C05A0D"/>
    <w:rsid w:val="15C7D9B5"/>
    <w:rsid w:val="15D91548"/>
    <w:rsid w:val="15E07ED0"/>
    <w:rsid w:val="15E4DB30"/>
    <w:rsid w:val="15E5A1F6"/>
    <w:rsid w:val="15F9FD01"/>
    <w:rsid w:val="1608FF6C"/>
    <w:rsid w:val="16133FE4"/>
    <w:rsid w:val="16160FF5"/>
    <w:rsid w:val="162323ED"/>
    <w:rsid w:val="16307EDE"/>
    <w:rsid w:val="1637C088"/>
    <w:rsid w:val="16393D63"/>
    <w:rsid w:val="163BA3AB"/>
    <w:rsid w:val="163C33C5"/>
    <w:rsid w:val="163CB026"/>
    <w:rsid w:val="163FF83F"/>
    <w:rsid w:val="16451766"/>
    <w:rsid w:val="16504515"/>
    <w:rsid w:val="16635D73"/>
    <w:rsid w:val="167261B9"/>
    <w:rsid w:val="1673858F"/>
    <w:rsid w:val="167C75E1"/>
    <w:rsid w:val="1691656F"/>
    <w:rsid w:val="1696C44C"/>
    <w:rsid w:val="16A0CE06"/>
    <w:rsid w:val="16A9A85D"/>
    <w:rsid w:val="16AF74C8"/>
    <w:rsid w:val="16B257E6"/>
    <w:rsid w:val="16B52CC9"/>
    <w:rsid w:val="16BE3038"/>
    <w:rsid w:val="16BFCC98"/>
    <w:rsid w:val="16C55275"/>
    <w:rsid w:val="16C9E0E9"/>
    <w:rsid w:val="16CC3D6D"/>
    <w:rsid w:val="16D90B92"/>
    <w:rsid w:val="16D91C23"/>
    <w:rsid w:val="16DB892F"/>
    <w:rsid w:val="16E6048F"/>
    <w:rsid w:val="16E6F7A2"/>
    <w:rsid w:val="16F77C58"/>
    <w:rsid w:val="170006D7"/>
    <w:rsid w:val="170A5F27"/>
    <w:rsid w:val="17188663"/>
    <w:rsid w:val="171EDFB2"/>
    <w:rsid w:val="1722C7FA"/>
    <w:rsid w:val="172883FE"/>
    <w:rsid w:val="17292F39"/>
    <w:rsid w:val="1729622B"/>
    <w:rsid w:val="173135D5"/>
    <w:rsid w:val="1736B646"/>
    <w:rsid w:val="17397B21"/>
    <w:rsid w:val="17470E6C"/>
    <w:rsid w:val="17499933"/>
    <w:rsid w:val="1757E9C4"/>
    <w:rsid w:val="176248AE"/>
    <w:rsid w:val="17657E53"/>
    <w:rsid w:val="1772A795"/>
    <w:rsid w:val="177C365F"/>
    <w:rsid w:val="17A1CF7D"/>
    <w:rsid w:val="17A97C4C"/>
    <w:rsid w:val="17BCC2A0"/>
    <w:rsid w:val="17BD18D3"/>
    <w:rsid w:val="17C04764"/>
    <w:rsid w:val="17CA224A"/>
    <w:rsid w:val="17CED46E"/>
    <w:rsid w:val="17ECC46F"/>
    <w:rsid w:val="17F5BFA4"/>
    <w:rsid w:val="1803712F"/>
    <w:rsid w:val="1819C092"/>
    <w:rsid w:val="181B9F90"/>
    <w:rsid w:val="182436F2"/>
    <w:rsid w:val="183109E8"/>
    <w:rsid w:val="183AF09A"/>
    <w:rsid w:val="18406E19"/>
    <w:rsid w:val="184B9AA6"/>
    <w:rsid w:val="18551E39"/>
    <w:rsid w:val="1856CBB9"/>
    <w:rsid w:val="18622142"/>
    <w:rsid w:val="18642938"/>
    <w:rsid w:val="1865DB70"/>
    <w:rsid w:val="187AFD96"/>
    <w:rsid w:val="187B9749"/>
    <w:rsid w:val="18836C16"/>
    <w:rsid w:val="189E167D"/>
    <w:rsid w:val="18AAF042"/>
    <w:rsid w:val="18B136A9"/>
    <w:rsid w:val="18C3E394"/>
    <w:rsid w:val="18C57017"/>
    <w:rsid w:val="18DA3134"/>
    <w:rsid w:val="18DF830A"/>
    <w:rsid w:val="18EB51D8"/>
    <w:rsid w:val="18EC5073"/>
    <w:rsid w:val="18F9EE70"/>
    <w:rsid w:val="1900FDDD"/>
    <w:rsid w:val="1903CE6A"/>
    <w:rsid w:val="191D27B0"/>
    <w:rsid w:val="1934BF6A"/>
    <w:rsid w:val="1978C60E"/>
    <w:rsid w:val="198E1B17"/>
    <w:rsid w:val="19A53CFD"/>
    <w:rsid w:val="19B935EE"/>
    <w:rsid w:val="19BBD6F6"/>
    <w:rsid w:val="19C32C1C"/>
    <w:rsid w:val="19E1DA43"/>
    <w:rsid w:val="19EC80E2"/>
    <w:rsid w:val="19EECFDA"/>
    <w:rsid w:val="1A11BB71"/>
    <w:rsid w:val="1A375CA9"/>
    <w:rsid w:val="1A44BC37"/>
    <w:rsid w:val="1A4E176C"/>
    <w:rsid w:val="1A4F24BA"/>
    <w:rsid w:val="1A7170B1"/>
    <w:rsid w:val="1A9BF533"/>
    <w:rsid w:val="1A9C97BE"/>
    <w:rsid w:val="1A9DAD1B"/>
    <w:rsid w:val="1AA2AD59"/>
    <w:rsid w:val="1AA384F9"/>
    <w:rsid w:val="1AA509A2"/>
    <w:rsid w:val="1AA5876E"/>
    <w:rsid w:val="1AB60D8A"/>
    <w:rsid w:val="1ABB4452"/>
    <w:rsid w:val="1AC205CF"/>
    <w:rsid w:val="1AD3DE76"/>
    <w:rsid w:val="1AE639D7"/>
    <w:rsid w:val="1AF6EE5D"/>
    <w:rsid w:val="1AFBC405"/>
    <w:rsid w:val="1B048445"/>
    <w:rsid w:val="1B04D4F4"/>
    <w:rsid w:val="1B05D5ED"/>
    <w:rsid w:val="1B09B50D"/>
    <w:rsid w:val="1B1CDA06"/>
    <w:rsid w:val="1B1CE18D"/>
    <w:rsid w:val="1B219570"/>
    <w:rsid w:val="1B37C821"/>
    <w:rsid w:val="1B3939AB"/>
    <w:rsid w:val="1B412F4F"/>
    <w:rsid w:val="1B4F4CC5"/>
    <w:rsid w:val="1B60ADF1"/>
    <w:rsid w:val="1B693673"/>
    <w:rsid w:val="1B699452"/>
    <w:rsid w:val="1B6B4C86"/>
    <w:rsid w:val="1B8BBCFB"/>
    <w:rsid w:val="1B8ED4F9"/>
    <w:rsid w:val="1B97177F"/>
    <w:rsid w:val="1BC4D505"/>
    <w:rsid w:val="1BC70B3E"/>
    <w:rsid w:val="1BE86591"/>
    <w:rsid w:val="1C158AB9"/>
    <w:rsid w:val="1C25FC21"/>
    <w:rsid w:val="1C298116"/>
    <w:rsid w:val="1C305042"/>
    <w:rsid w:val="1C358CAC"/>
    <w:rsid w:val="1C37F257"/>
    <w:rsid w:val="1C572AB0"/>
    <w:rsid w:val="1C684691"/>
    <w:rsid w:val="1C68A831"/>
    <w:rsid w:val="1C6DFA13"/>
    <w:rsid w:val="1C77FE5B"/>
    <w:rsid w:val="1C8E924C"/>
    <w:rsid w:val="1C8EBC61"/>
    <w:rsid w:val="1C99D581"/>
    <w:rsid w:val="1C9F338B"/>
    <w:rsid w:val="1CB94568"/>
    <w:rsid w:val="1CE1C173"/>
    <w:rsid w:val="1CEC1F33"/>
    <w:rsid w:val="1CFA6F2B"/>
    <w:rsid w:val="1D0650F6"/>
    <w:rsid w:val="1D1B2AB7"/>
    <w:rsid w:val="1D24AD09"/>
    <w:rsid w:val="1D2AABCE"/>
    <w:rsid w:val="1D4A3517"/>
    <w:rsid w:val="1D4C8AA2"/>
    <w:rsid w:val="1D57325E"/>
    <w:rsid w:val="1D5BE534"/>
    <w:rsid w:val="1D9EA965"/>
    <w:rsid w:val="1D9F2DCE"/>
    <w:rsid w:val="1DB2609A"/>
    <w:rsid w:val="1DB654BA"/>
    <w:rsid w:val="1DC21B81"/>
    <w:rsid w:val="1DCD27B4"/>
    <w:rsid w:val="1DE41744"/>
    <w:rsid w:val="1DF04286"/>
    <w:rsid w:val="1DF1E2A9"/>
    <w:rsid w:val="1DFEB251"/>
    <w:rsid w:val="1E0CC42E"/>
    <w:rsid w:val="1E160071"/>
    <w:rsid w:val="1E20A79A"/>
    <w:rsid w:val="1E26E305"/>
    <w:rsid w:val="1E27529C"/>
    <w:rsid w:val="1E29465F"/>
    <w:rsid w:val="1E29CAB0"/>
    <w:rsid w:val="1E2DDBAA"/>
    <w:rsid w:val="1E3799F8"/>
    <w:rsid w:val="1E41A966"/>
    <w:rsid w:val="1E50F373"/>
    <w:rsid w:val="1E5FB691"/>
    <w:rsid w:val="1E69417D"/>
    <w:rsid w:val="1E6F9E9A"/>
    <w:rsid w:val="1E7BBAF4"/>
    <w:rsid w:val="1E9670C0"/>
    <w:rsid w:val="1EAC93B3"/>
    <w:rsid w:val="1EAE1F8D"/>
    <w:rsid w:val="1EAE8CAA"/>
    <w:rsid w:val="1EB1ECB4"/>
    <w:rsid w:val="1EBBB2A6"/>
    <w:rsid w:val="1ECC713E"/>
    <w:rsid w:val="1ED4DB5B"/>
    <w:rsid w:val="1ED541A2"/>
    <w:rsid w:val="1EEAA7A4"/>
    <w:rsid w:val="1EEF9E36"/>
    <w:rsid w:val="1EF20CC2"/>
    <w:rsid w:val="1EF3D0D2"/>
    <w:rsid w:val="1F0E004A"/>
    <w:rsid w:val="1F14D6B1"/>
    <w:rsid w:val="1F183B18"/>
    <w:rsid w:val="1F36C751"/>
    <w:rsid w:val="1F4FEA07"/>
    <w:rsid w:val="1F53C410"/>
    <w:rsid w:val="1F5A3F6E"/>
    <w:rsid w:val="1F640CE1"/>
    <w:rsid w:val="1F8604B2"/>
    <w:rsid w:val="1F89FDB2"/>
    <w:rsid w:val="1F9792E2"/>
    <w:rsid w:val="1FA40F48"/>
    <w:rsid w:val="1FAA4224"/>
    <w:rsid w:val="1FC377D7"/>
    <w:rsid w:val="1FD3CB8E"/>
    <w:rsid w:val="1FD8E191"/>
    <w:rsid w:val="1FD925AC"/>
    <w:rsid w:val="1FDBBBFA"/>
    <w:rsid w:val="1FDC57ED"/>
    <w:rsid w:val="1FDF999A"/>
    <w:rsid w:val="1FE1DF72"/>
    <w:rsid w:val="1FE7B31A"/>
    <w:rsid w:val="1FE881B1"/>
    <w:rsid w:val="1FF30449"/>
    <w:rsid w:val="1FFCCED8"/>
    <w:rsid w:val="20098E30"/>
    <w:rsid w:val="200D86B2"/>
    <w:rsid w:val="20157075"/>
    <w:rsid w:val="20266AB0"/>
    <w:rsid w:val="20359E30"/>
    <w:rsid w:val="203A1DB7"/>
    <w:rsid w:val="203F8603"/>
    <w:rsid w:val="2049B325"/>
    <w:rsid w:val="204B53FB"/>
    <w:rsid w:val="2052DADB"/>
    <w:rsid w:val="20580033"/>
    <w:rsid w:val="20611578"/>
    <w:rsid w:val="20644E9D"/>
    <w:rsid w:val="206BBD99"/>
    <w:rsid w:val="20736670"/>
    <w:rsid w:val="208DAF99"/>
    <w:rsid w:val="209F22BE"/>
    <w:rsid w:val="20AAD620"/>
    <w:rsid w:val="20B7B1B1"/>
    <w:rsid w:val="20BB8AC8"/>
    <w:rsid w:val="20C8C9A1"/>
    <w:rsid w:val="20D667D1"/>
    <w:rsid w:val="20DA3F8A"/>
    <w:rsid w:val="20E2358D"/>
    <w:rsid w:val="20E8BA55"/>
    <w:rsid w:val="20E92009"/>
    <w:rsid w:val="20EB610D"/>
    <w:rsid w:val="20ECE79F"/>
    <w:rsid w:val="20F1B4AC"/>
    <w:rsid w:val="20F5F800"/>
    <w:rsid w:val="20F7C594"/>
    <w:rsid w:val="210826FA"/>
    <w:rsid w:val="21100DF8"/>
    <w:rsid w:val="2112EBB1"/>
    <w:rsid w:val="211B482E"/>
    <w:rsid w:val="2120B26D"/>
    <w:rsid w:val="2134C5E2"/>
    <w:rsid w:val="21385945"/>
    <w:rsid w:val="213FA2E9"/>
    <w:rsid w:val="215AA67B"/>
    <w:rsid w:val="217D7E54"/>
    <w:rsid w:val="21898CEE"/>
    <w:rsid w:val="2196C479"/>
    <w:rsid w:val="21C43504"/>
    <w:rsid w:val="21CC15DF"/>
    <w:rsid w:val="21D3A87F"/>
    <w:rsid w:val="21D5E393"/>
    <w:rsid w:val="21E32865"/>
    <w:rsid w:val="2202A344"/>
    <w:rsid w:val="2204145E"/>
    <w:rsid w:val="22105579"/>
    <w:rsid w:val="2219013B"/>
    <w:rsid w:val="222DD85D"/>
    <w:rsid w:val="223D9A7C"/>
    <w:rsid w:val="2245F279"/>
    <w:rsid w:val="225E9417"/>
    <w:rsid w:val="226DA437"/>
    <w:rsid w:val="227433DB"/>
    <w:rsid w:val="228193D4"/>
    <w:rsid w:val="22960B1C"/>
    <w:rsid w:val="2297739F"/>
    <w:rsid w:val="22A90B58"/>
    <w:rsid w:val="22ACD5D7"/>
    <w:rsid w:val="22CCEB5F"/>
    <w:rsid w:val="22E50514"/>
    <w:rsid w:val="22F7AC32"/>
    <w:rsid w:val="230AFDB6"/>
    <w:rsid w:val="2311E131"/>
    <w:rsid w:val="232B357B"/>
    <w:rsid w:val="232B93CE"/>
    <w:rsid w:val="232B95A0"/>
    <w:rsid w:val="2331F193"/>
    <w:rsid w:val="2343BEAB"/>
    <w:rsid w:val="2368325B"/>
    <w:rsid w:val="2369C6BB"/>
    <w:rsid w:val="236BD8BC"/>
    <w:rsid w:val="236DEFAA"/>
    <w:rsid w:val="237D8C7A"/>
    <w:rsid w:val="2383E63E"/>
    <w:rsid w:val="23858467"/>
    <w:rsid w:val="2391CB5B"/>
    <w:rsid w:val="23956798"/>
    <w:rsid w:val="239A9171"/>
    <w:rsid w:val="23AC6BF2"/>
    <w:rsid w:val="23D4097B"/>
    <w:rsid w:val="23D43AB2"/>
    <w:rsid w:val="23DD8BB6"/>
    <w:rsid w:val="23DDA612"/>
    <w:rsid w:val="23E196EB"/>
    <w:rsid w:val="23E40CA4"/>
    <w:rsid w:val="23F0268E"/>
    <w:rsid w:val="23F35820"/>
    <w:rsid w:val="23F9DF57"/>
    <w:rsid w:val="23FD47D8"/>
    <w:rsid w:val="240CBF62"/>
    <w:rsid w:val="241266AC"/>
    <w:rsid w:val="241DD3F6"/>
    <w:rsid w:val="242A8D39"/>
    <w:rsid w:val="242BFAA0"/>
    <w:rsid w:val="24323F12"/>
    <w:rsid w:val="243CF11B"/>
    <w:rsid w:val="2440382C"/>
    <w:rsid w:val="244BD20D"/>
    <w:rsid w:val="244CE001"/>
    <w:rsid w:val="2450B2FC"/>
    <w:rsid w:val="2454ED17"/>
    <w:rsid w:val="246DF407"/>
    <w:rsid w:val="247D87A6"/>
    <w:rsid w:val="2494252A"/>
    <w:rsid w:val="24B1242D"/>
    <w:rsid w:val="24B1876B"/>
    <w:rsid w:val="24CC8C93"/>
    <w:rsid w:val="24D26903"/>
    <w:rsid w:val="24E4C318"/>
    <w:rsid w:val="24E9FC69"/>
    <w:rsid w:val="24EA4D7A"/>
    <w:rsid w:val="25150EA5"/>
    <w:rsid w:val="25261CA3"/>
    <w:rsid w:val="252FFCD5"/>
    <w:rsid w:val="25301304"/>
    <w:rsid w:val="253317D4"/>
    <w:rsid w:val="25459D7F"/>
    <w:rsid w:val="25525B3D"/>
    <w:rsid w:val="256763E1"/>
    <w:rsid w:val="256AD929"/>
    <w:rsid w:val="258F7DFB"/>
    <w:rsid w:val="25916C5B"/>
    <w:rsid w:val="259B8C32"/>
    <w:rsid w:val="25B0B763"/>
    <w:rsid w:val="25BB8906"/>
    <w:rsid w:val="25BCC53A"/>
    <w:rsid w:val="25F3D9BA"/>
    <w:rsid w:val="2618A659"/>
    <w:rsid w:val="261CA131"/>
    <w:rsid w:val="262F76B0"/>
    <w:rsid w:val="26346950"/>
    <w:rsid w:val="2634B69A"/>
    <w:rsid w:val="26408FB6"/>
    <w:rsid w:val="2651CE8B"/>
    <w:rsid w:val="265D50F9"/>
    <w:rsid w:val="2660DAC1"/>
    <w:rsid w:val="2669B281"/>
    <w:rsid w:val="266D73ED"/>
    <w:rsid w:val="266F3BFD"/>
    <w:rsid w:val="2674BABC"/>
    <w:rsid w:val="26798070"/>
    <w:rsid w:val="267EAA52"/>
    <w:rsid w:val="268BB24B"/>
    <w:rsid w:val="268EFC0F"/>
    <w:rsid w:val="269F7A89"/>
    <w:rsid w:val="26A15277"/>
    <w:rsid w:val="26A84101"/>
    <w:rsid w:val="26AF2617"/>
    <w:rsid w:val="26CA8CFA"/>
    <w:rsid w:val="26CC59EA"/>
    <w:rsid w:val="26D6D1EC"/>
    <w:rsid w:val="26E11080"/>
    <w:rsid w:val="26EA61CC"/>
    <w:rsid w:val="26F30624"/>
    <w:rsid w:val="26F7E4DA"/>
    <w:rsid w:val="2708E126"/>
    <w:rsid w:val="270CD5D0"/>
    <w:rsid w:val="2711C43D"/>
    <w:rsid w:val="271E34EB"/>
    <w:rsid w:val="272444E1"/>
    <w:rsid w:val="27257621"/>
    <w:rsid w:val="272594FC"/>
    <w:rsid w:val="27364A6E"/>
    <w:rsid w:val="27451B5C"/>
    <w:rsid w:val="2745547D"/>
    <w:rsid w:val="274F3598"/>
    <w:rsid w:val="2750DC97"/>
    <w:rsid w:val="27515E68"/>
    <w:rsid w:val="275EF409"/>
    <w:rsid w:val="2765F158"/>
    <w:rsid w:val="27923AEC"/>
    <w:rsid w:val="2798F849"/>
    <w:rsid w:val="27A66B3A"/>
    <w:rsid w:val="27A88D75"/>
    <w:rsid w:val="27AD6154"/>
    <w:rsid w:val="27B184A4"/>
    <w:rsid w:val="27BF63CD"/>
    <w:rsid w:val="27CAC98A"/>
    <w:rsid w:val="27D323E1"/>
    <w:rsid w:val="27D702C4"/>
    <w:rsid w:val="27E74888"/>
    <w:rsid w:val="27EE5226"/>
    <w:rsid w:val="280E0511"/>
    <w:rsid w:val="281800FE"/>
    <w:rsid w:val="281AE2A4"/>
    <w:rsid w:val="28229E07"/>
    <w:rsid w:val="282C0B6C"/>
    <w:rsid w:val="282E3890"/>
    <w:rsid w:val="2844EBF8"/>
    <w:rsid w:val="28539F66"/>
    <w:rsid w:val="287036A2"/>
    <w:rsid w:val="28857FC6"/>
    <w:rsid w:val="288BBE8F"/>
    <w:rsid w:val="28A44768"/>
    <w:rsid w:val="28AF4D03"/>
    <w:rsid w:val="28BA95D4"/>
    <w:rsid w:val="28C457C3"/>
    <w:rsid w:val="28E80CDC"/>
    <w:rsid w:val="28F72A3B"/>
    <w:rsid w:val="2901B4D0"/>
    <w:rsid w:val="29306087"/>
    <w:rsid w:val="29370775"/>
    <w:rsid w:val="293CEF3F"/>
    <w:rsid w:val="2943D59F"/>
    <w:rsid w:val="2954074A"/>
    <w:rsid w:val="295CFFBA"/>
    <w:rsid w:val="2969FD7D"/>
    <w:rsid w:val="296A7DCE"/>
    <w:rsid w:val="296DB8B2"/>
    <w:rsid w:val="296EDF79"/>
    <w:rsid w:val="2976086D"/>
    <w:rsid w:val="29A78F63"/>
    <w:rsid w:val="29C7E4D3"/>
    <w:rsid w:val="29C7F29C"/>
    <w:rsid w:val="29CFC37F"/>
    <w:rsid w:val="29D14EB6"/>
    <w:rsid w:val="29EEC62D"/>
    <w:rsid w:val="29F63165"/>
    <w:rsid w:val="29F6BDAD"/>
    <w:rsid w:val="2A137875"/>
    <w:rsid w:val="2A26BEC2"/>
    <w:rsid w:val="2A361BFB"/>
    <w:rsid w:val="2A4294FD"/>
    <w:rsid w:val="2A4892A5"/>
    <w:rsid w:val="2A4F2593"/>
    <w:rsid w:val="2A6145D5"/>
    <w:rsid w:val="2A6AB2CC"/>
    <w:rsid w:val="2A7FB8A7"/>
    <w:rsid w:val="2A9B7C19"/>
    <w:rsid w:val="2A9BB5C2"/>
    <w:rsid w:val="2AA5B403"/>
    <w:rsid w:val="2AA69757"/>
    <w:rsid w:val="2AA99450"/>
    <w:rsid w:val="2AB2D550"/>
    <w:rsid w:val="2AB3733D"/>
    <w:rsid w:val="2AC27CCB"/>
    <w:rsid w:val="2AC4BC69"/>
    <w:rsid w:val="2AD52946"/>
    <w:rsid w:val="2ADA8562"/>
    <w:rsid w:val="2B128B83"/>
    <w:rsid w:val="2B33147A"/>
    <w:rsid w:val="2B334AB7"/>
    <w:rsid w:val="2B395F14"/>
    <w:rsid w:val="2B46B84D"/>
    <w:rsid w:val="2B603DC4"/>
    <w:rsid w:val="2B892875"/>
    <w:rsid w:val="2B9498B0"/>
    <w:rsid w:val="2BA8D549"/>
    <w:rsid w:val="2BAB90F9"/>
    <w:rsid w:val="2BAFB822"/>
    <w:rsid w:val="2BC30C04"/>
    <w:rsid w:val="2BCFD428"/>
    <w:rsid w:val="2BE85CA7"/>
    <w:rsid w:val="2BF06C55"/>
    <w:rsid w:val="2BF70542"/>
    <w:rsid w:val="2BFC620E"/>
    <w:rsid w:val="2C1061AF"/>
    <w:rsid w:val="2C1394F0"/>
    <w:rsid w:val="2C196C57"/>
    <w:rsid w:val="2C30ED13"/>
    <w:rsid w:val="2C3A037B"/>
    <w:rsid w:val="2C412D1E"/>
    <w:rsid w:val="2C5BA590"/>
    <w:rsid w:val="2C69D042"/>
    <w:rsid w:val="2C8364C5"/>
    <w:rsid w:val="2C861C1D"/>
    <w:rsid w:val="2C86D0CA"/>
    <w:rsid w:val="2C875C71"/>
    <w:rsid w:val="2C8D967A"/>
    <w:rsid w:val="2C8F17C4"/>
    <w:rsid w:val="2CA4D979"/>
    <w:rsid w:val="2CB6ADCA"/>
    <w:rsid w:val="2CB6CF64"/>
    <w:rsid w:val="2CC24067"/>
    <w:rsid w:val="2CE2A1D8"/>
    <w:rsid w:val="2CF77200"/>
    <w:rsid w:val="2CFD038D"/>
    <w:rsid w:val="2D06ACDB"/>
    <w:rsid w:val="2D429AB2"/>
    <w:rsid w:val="2D43B96D"/>
    <w:rsid w:val="2D446593"/>
    <w:rsid w:val="2D5EE78A"/>
    <w:rsid w:val="2D5EEBF0"/>
    <w:rsid w:val="2D61448D"/>
    <w:rsid w:val="2D8B354A"/>
    <w:rsid w:val="2D94C778"/>
    <w:rsid w:val="2DA4A1BF"/>
    <w:rsid w:val="2DAA60DF"/>
    <w:rsid w:val="2DAAA45B"/>
    <w:rsid w:val="2DB31875"/>
    <w:rsid w:val="2DB652AE"/>
    <w:rsid w:val="2DBC7E5C"/>
    <w:rsid w:val="2DBCD4A2"/>
    <w:rsid w:val="2DBCDBD1"/>
    <w:rsid w:val="2DBF9056"/>
    <w:rsid w:val="2DC23C5D"/>
    <w:rsid w:val="2DC4CAC2"/>
    <w:rsid w:val="2DD39988"/>
    <w:rsid w:val="2DE66472"/>
    <w:rsid w:val="2DE8A59C"/>
    <w:rsid w:val="2DE97D33"/>
    <w:rsid w:val="2DF188CE"/>
    <w:rsid w:val="2DF9B967"/>
    <w:rsid w:val="2DFB3281"/>
    <w:rsid w:val="2DFEA335"/>
    <w:rsid w:val="2E03ACBF"/>
    <w:rsid w:val="2E14617D"/>
    <w:rsid w:val="2E1DCA32"/>
    <w:rsid w:val="2E28B9A0"/>
    <w:rsid w:val="2E2B466C"/>
    <w:rsid w:val="2E36735A"/>
    <w:rsid w:val="2E533C73"/>
    <w:rsid w:val="2E54AF76"/>
    <w:rsid w:val="2E595872"/>
    <w:rsid w:val="2E5CAFBB"/>
    <w:rsid w:val="2E6B2DC3"/>
    <w:rsid w:val="2E764E84"/>
    <w:rsid w:val="2E7AADFE"/>
    <w:rsid w:val="2EA96ADE"/>
    <w:rsid w:val="2EAA432D"/>
    <w:rsid w:val="2EB64153"/>
    <w:rsid w:val="2EB9B7B1"/>
    <w:rsid w:val="2EBB3E7B"/>
    <w:rsid w:val="2EBB5B87"/>
    <w:rsid w:val="2EBD1539"/>
    <w:rsid w:val="2EEFC076"/>
    <w:rsid w:val="2EF6414F"/>
    <w:rsid w:val="2EFEC496"/>
    <w:rsid w:val="2F0A248B"/>
    <w:rsid w:val="2F0A2A65"/>
    <w:rsid w:val="2F248016"/>
    <w:rsid w:val="2F3D83B5"/>
    <w:rsid w:val="2F428424"/>
    <w:rsid w:val="2F4934E5"/>
    <w:rsid w:val="2F4A7F09"/>
    <w:rsid w:val="2F537945"/>
    <w:rsid w:val="2F5BC423"/>
    <w:rsid w:val="2F5C7939"/>
    <w:rsid w:val="2F6E5503"/>
    <w:rsid w:val="2F7163E2"/>
    <w:rsid w:val="2F73A194"/>
    <w:rsid w:val="2F78724F"/>
    <w:rsid w:val="2F89E0BC"/>
    <w:rsid w:val="2FA39C28"/>
    <w:rsid w:val="2FC58FB3"/>
    <w:rsid w:val="2FD67D45"/>
    <w:rsid w:val="2FD6F4E8"/>
    <w:rsid w:val="2FE0FFB6"/>
    <w:rsid w:val="2FEA7F7D"/>
    <w:rsid w:val="2FEE8A36"/>
    <w:rsid w:val="2FF08354"/>
    <w:rsid w:val="2FF2128D"/>
    <w:rsid w:val="2FF65A51"/>
    <w:rsid w:val="30015CAB"/>
    <w:rsid w:val="3001CE8F"/>
    <w:rsid w:val="30080290"/>
    <w:rsid w:val="300B4FF8"/>
    <w:rsid w:val="30114223"/>
    <w:rsid w:val="301B3707"/>
    <w:rsid w:val="302B5EA0"/>
    <w:rsid w:val="302CA70C"/>
    <w:rsid w:val="303AB5B4"/>
    <w:rsid w:val="304188D9"/>
    <w:rsid w:val="30427F8A"/>
    <w:rsid w:val="3046A8AE"/>
    <w:rsid w:val="3059C684"/>
    <w:rsid w:val="307C52BA"/>
    <w:rsid w:val="30904F1B"/>
    <w:rsid w:val="309A1B90"/>
    <w:rsid w:val="30E03C66"/>
    <w:rsid w:val="30E2811C"/>
    <w:rsid w:val="30E982E3"/>
    <w:rsid w:val="30F3106B"/>
    <w:rsid w:val="31085234"/>
    <w:rsid w:val="31097874"/>
    <w:rsid w:val="310E2696"/>
    <w:rsid w:val="3112C98B"/>
    <w:rsid w:val="31341438"/>
    <w:rsid w:val="313DFF79"/>
    <w:rsid w:val="3146F89C"/>
    <w:rsid w:val="314E97D8"/>
    <w:rsid w:val="31596761"/>
    <w:rsid w:val="31605687"/>
    <w:rsid w:val="316F38DC"/>
    <w:rsid w:val="317233DB"/>
    <w:rsid w:val="317C1856"/>
    <w:rsid w:val="317E195C"/>
    <w:rsid w:val="318076B8"/>
    <w:rsid w:val="31968BEF"/>
    <w:rsid w:val="319FF973"/>
    <w:rsid w:val="31BA901F"/>
    <w:rsid w:val="31C20B18"/>
    <w:rsid w:val="31C54381"/>
    <w:rsid w:val="31C65B9A"/>
    <w:rsid w:val="31C85CD0"/>
    <w:rsid w:val="31CA9FD9"/>
    <w:rsid w:val="31D08FFD"/>
    <w:rsid w:val="31F01EE1"/>
    <w:rsid w:val="3205A3F8"/>
    <w:rsid w:val="321AEE21"/>
    <w:rsid w:val="321B61DC"/>
    <w:rsid w:val="3225A194"/>
    <w:rsid w:val="322E080B"/>
    <w:rsid w:val="3233677D"/>
    <w:rsid w:val="323E3303"/>
    <w:rsid w:val="324C4BC8"/>
    <w:rsid w:val="3256C1D6"/>
    <w:rsid w:val="3260524A"/>
    <w:rsid w:val="32726303"/>
    <w:rsid w:val="327954DB"/>
    <w:rsid w:val="327DE57E"/>
    <w:rsid w:val="327EE9A3"/>
    <w:rsid w:val="32805F0A"/>
    <w:rsid w:val="328234A8"/>
    <w:rsid w:val="329083F2"/>
    <w:rsid w:val="32A90E7C"/>
    <w:rsid w:val="32B0CB7B"/>
    <w:rsid w:val="32BA35DD"/>
    <w:rsid w:val="32C18F1C"/>
    <w:rsid w:val="32C83F11"/>
    <w:rsid w:val="32E1A837"/>
    <w:rsid w:val="32F69991"/>
    <w:rsid w:val="3306ABFD"/>
    <w:rsid w:val="33169F3D"/>
    <w:rsid w:val="331CDD64"/>
    <w:rsid w:val="332EB7F7"/>
    <w:rsid w:val="332FB3CA"/>
    <w:rsid w:val="334460BA"/>
    <w:rsid w:val="3379EA17"/>
    <w:rsid w:val="337F0BB6"/>
    <w:rsid w:val="33873A01"/>
    <w:rsid w:val="33873EDF"/>
    <w:rsid w:val="338E2577"/>
    <w:rsid w:val="339392A5"/>
    <w:rsid w:val="33A40134"/>
    <w:rsid w:val="33B2BD28"/>
    <w:rsid w:val="33BF29CA"/>
    <w:rsid w:val="33D20311"/>
    <w:rsid w:val="33F442D7"/>
    <w:rsid w:val="33F6E353"/>
    <w:rsid w:val="33FB144D"/>
    <w:rsid w:val="34096336"/>
    <w:rsid w:val="3418CED0"/>
    <w:rsid w:val="34219B98"/>
    <w:rsid w:val="342C7AB9"/>
    <w:rsid w:val="3431A58D"/>
    <w:rsid w:val="343216CB"/>
    <w:rsid w:val="343D043E"/>
    <w:rsid w:val="344D3070"/>
    <w:rsid w:val="346BA12A"/>
    <w:rsid w:val="346DE9A4"/>
    <w:rsid w:val="347ABE24"/>
    <w:rsid w:val="347F95DD"/>
    <w:rsid w:val="3483DABD"/>
    <w:rsid w:val="3484B78C"/>
    <w:rsid w:val="348B6373"/>
    <w:rsid w:val="348C1739"/>
    <w:rsid w:val="349C0272"/>
    <w:rsid w:val="349C9F03"/>
    <w:rsid w:val="349F1184"/>
    <w:rsid w:val="34AD7552"/>
    <w:rsid w:val="34C04D26"/>
    <w:rsid w:val="34C8CFAB"/>
    <w:rsid w:val="34D772A8"/>
    <w:rsid w:val="34F4370F"/>
    <w:rsid w:val="34F4465B"/>
    <w:rsid w:val="34F602EF"/>
    <w:rsid w:val="34F80306"/>
    <w:rsid w:val="34FC9E4A"/>
    <w:rsid w:val="3508D9E2"/>
    <w:rsid w:val="354BC0A5"/>
    <w:rsid w:val="35510F5C"/>
    <w:rsid w:val="3560062C"/>
    <w:rsid w:val="35796DB1"/>
    <w:rsid w:val="357EF282"/>
    <w:rsid w:val="35881C18"/>
    <w:rsid w:val="3589D153"/>
    <w:rsid w:val="358C248C"/>
    <w:rsid w:val="359C03AF"/>
    <w:rsid w:val="35A92777"/>
    <w:rsid w:val="35C45738"/>
    <w:rsid w:val="35DAF1EC"/>
    <w:rsid w:val="35E207DA"/>
    <w:rsid w:val="35E330A8"/>
    <w:rsid w:val="35EA182B"/>
    <w:rsid w:val="35F548E2"/>
    <w:rsid w:val="3603079C"/>
    <w:rsid w:val="3624F7DD"/>
    <w:rsid w:val="36296FFE"/>
    <w:rsid w:val="36307074"/>
    <w:rsid w:val="36331B81"/>
    <w:rsid w:val="3637DB26"/>
    <w:rsid w:val="363B1639"/>
    <w:rsid w:val="364C3F64"/>
    <w:rsid w:val="364D83B7"/>
    <w:rsid w:val="36541B9A"/>
    <w:rsid w:val="3670101F"/>
    <w:rsid w:val="368224A9"/>
    <w:rsid w:val="368BFF57"/>
    <w:rsid w:val="36994C0E"/>
    <w:rsid w:val="36B36324"/>
    <w:rsid w:val="36B4D20A"/>
    <w:rsid w:val="36C5F73E"/>
    <w:rsid w:val="36CFEEF4"/>
    <w:rsid w:val="36D7F0B3"/>
    <w:rsid w:val="36DD3094"/>
    <w:rsid w:val="36EDFFD8"/>
    <w:rsid w:val="36F153B3"/>
    <w:rsid w:val="36FFD568"/>
    <w:rsid w:val="37048332"/>
    <w:rsid w:val="370526CB"/>
    <w:rsid w:val="370B5979"/>
    <w:rsid w:val="370C9495"/>
    <w:rsid w:val="3711C006"/>
    <w:rsid w:val="371C2E11"/>
    <w:rsid w:val="3721C019"/>
    <w:rsid w:val="3722E83A"/>
    <w:rsid w:val="372817DC"/>
    <w:rsid w:val="372B38E5"/>
    <w:rsid w:val="372C56B1"/>
    <w:rsid w:val="37375FD0"/>
    <w:rsid w:val="373B763C"/>
    <w:rsid w:val="374769E5"/>
    <w:rsid w:val="374C2296"/>
    <w:rsid w:val="376D1DF9"/>
    <w:rsid w:val="376F7E1A"/>
    <w:rsid w:val="378BB84E"/>
    <w:rsid w:val="37A79343"/>
    <w:rsid w:val="37B5299D"/>
    <w:rsid w:val="37BCA94C"/>
    <w:rsid w:val="37BE355A"/>
    <w:rsid w:val="37C24D26"/>
    <w:rsid w:val="37CD54AF"/>
    <w:rsid w:val="37D394ED"/>
    <w:rsid w:val="37D58337"/>
    <w:rsid w:val="37FA397D"/>
    <w:rsid w:val="37FFE3C6"/>
    <w:rsid w:val="38079FCC"/>
    <w:rsid w:val="38114C35"/>
    <w:rsid w:val="382B29B3"/>
    <w:rsid w:val="382F33EE"/>
    <w:rsid w:val="3836C82A"/>
    <w:rsid w:val="3838C0AF"/>
    <w:rsid w:val="383B4EE3"/>
    <w:rsid w:val="3848872A"/>
    <w:rsid w:val="3868B478"/>
    <w:rsid w:val="387A5C85"/>
    <w:rsid w:val="387FAA62"/>
    <w:rsid w:val="3892E94F"/>
    <w:rsid w:val="3893C6C7"/>
    <w:rsid w:val="3894DCFE"/>
    <w:rsid w:val="38ACC712"/>
    <w:rsid w:val="38ADB0D9"/>
    <w:rsid w:val="38B40164"/>
    <w:rsid w:val="38B431B2"/>
    <w:rsid w:val="38B9D1DF"/>
    <w:rsid w:val="38B9F8D4"/>
    <w:rsid w:val="38CE6101"/>
    <w:rsid w:val="38DEE68C"/>
    <w:rsid w:val="38EAB63C"/>
    <w:rsid w:val="38F2360C"/>
    <w:rsid w:val="38FC2F4D"/>
    <w:rsid w:val="390C09E9"/>
    <w:rsid w:val="391640A8"/>
    <w:rsid w:val="391CF31A"/>
    <w:rsid w:val="392ECDD6"/>
    <w:rsid w:val="39328E2E"/>
    <w:rsid w:val="3934A9A4"/>
    <w:rsid w:val="393764FD"/>
    <w:rsid w:val="394C64F2"/>
    <w:rsid w:val="395D70BD"/>
    <w:rsid w:val="3974C774"/>
    <w:rsid w:val="398DE78F"/>
    <w:rsid w:val="3993DEC5"/>
    <w:rsid w:val="3993FB89"/>
    <w:rsid w:val="399587F6"/>
    <w:rsid w:val="39961972"/>
    <w:rsid w:val="39AA59BD"/>
    <w:rsid w:val="39AB0C6D"/>
    <w:rsid w:val="39ADE17E"/>
    <w:rsid w:val="39AE5BFE"/>
    <w:rsid w:val="39AF3C8B"/>
    <w:rsid w:val="39BBD666"/>
    <w:rsid w:val="39D17745"/>
    <w:rsid w:val="39DBE7AB"/>
    <w:rsid w:val="39E2EB97"/>
    <w:rsid w:val="39F50F6F"/>
    <w:rsid w:val="39F5D010"/>
    <w:rsid w:val="39F6CA62"/>
    <w:rsid w:val="39F9638C"/>
    <w:rsid w:val="3A0BE5B7"/>
    <w:rsid w:val="3A0C03F6"/>
    <w:rsid w:val="3A0E5658"/>
    <w:rsid w:val="3A180A6D"/>
    <w:rsid w:val="3A1A9040"/>
    <w:rsid w:val="3A25A680"/>
    <w:rsid w:val="3A46C2F8"/>
    <w:rsid w:val="3A4EA44D"/>
    <w:rsid w:val="3A599A28"/>
    <w:rsid w:val="3A59C242"/>
    <w:rsid w:val="3A601EB0"/>
    <w:rsid w:val="3A65B822"/>
    <w:rsid w:val="3A6A88F3"/>
    <w:rsid w:val="3A6E61F4"/>
    <w:rsid w:val="3A7BA697"/>
    <w:rsid w:val="3A7C01D9"/>
    <w:rsid w:val="3A87B197"/>
    <w:rsid w:val="3A8C2D2F"/>
    <w:rsid w:val="3A8EB7B7"/>
    <w:rsid w:val="3A99ABF2"/>
    <w:rsid w:val="3AAA9C44"/>
    <w:rsid w:val="3AAB2360"/>
    <w:rsid w:val="3AD353B7"/>
    <w:rsid w:val="3ADEB228"/>
    <w:rsid w:val="3AE00D6E"/>
    <w:rsid w:val="3AF11627"/>
    <w:rsid w:val="3AF8B2C5"/>
    <w:rsid w:val="3AFA58A6"/>
    <w:rsid w:val="3B0E3A64"/>
    <w:rsid w:val="3B264981"/>
    <w:rsid w:val="3B327D2E"/>
    <w:rsid w:val="3B32D2F2"/>
    <w:rsid w:val="3B44F126"/>
    <w:rsid w:val="3B4DD08A"/>
    <w:rsid w:val="3B551599"/>
    <w:rsid w:val="3B670F89"/>
    <w:rsid w:val="3B7950D3"/>
    <w:rsid w:val="3B8F2B0F"/>
    <w:rsid w:val="3B8FA8A6"/>
    <w:rsid w:val="3B9BF7FA"/>
    <w:rsid w:val="3BB621C4"/>
    <w:rsid w:val="3BBA3C0D"/>
    <w:rsid w:val="3BC56C9B"/>
    <w:rsid w:val="3BD80335"/>
    <w:rsid w:val="3BF85C8E"/>
    <w:rsid w:val="3BFFDBEB"/>
    <w:rsid w:val="3C19467A"/>
    <w:rsid w:val="3C25A5C0"/>
    <w:rsid w:val="3C2744E0"/>
    <w:rsid w:val="3C3161E3"/>
    <w:rsid w:val="3C43488A"/>
    <w:rsid w:val="3C5F0E38"/>
    <w:rsid w:val="3C81E0E1"/>
    <w:rsid w:val="3C885453"/>
    <w:rsid w:val="3C8DC604"/>
    <w:rsid w:val="3CB20FBB"/>
    <w:rsid w:val="3CB662DF"/>
    <w:rsid w:val="3CB719D2"/>
    <w:rsid w:val="3CCDE377"/>
    <w:rsid w:val="3CD857C0"/>
    <w:rsid w:val="3CD939F6"/>
    <w:rsid w:val="3CE001F7"/>
    <w:rsid w:val="3CE75215"/>
    <w:rsid w:val="3CEAD030"/>
    <w:rsid w:val="3CEC2C61"/>
    <w:rsid w:val="3CF220A7"/>
    <w:rsid w:val="3CF8EFAB"/>
    <w:rsid w:val="3CFF28F4"/>
    <w:rsid w:val="3D01BD71"/>
    <w:rsid w:val="3D06C12E"/>
    <w:rsid w:val="3D08FD1C"/>
    <w:rsid w:val="3D106650"/>
    <w:rsid w:val="3D149ED9"/>
    <w:rsid w:val="3D15B171"/>
    <w:rsid w:val="3D29DE34"/>
    <w:rsid w:val="3D302BAD"/>
    <w:rsid w:val="3D35A4FE"/>
    <w:rsid w:val="3D3663AD"/>
    <w:rsid w:val="3D37DE43"/>
    <w:rsid w:val="3D427AA6"/>
    <w:rsid w:val="3D52C77C"/>
    <w:rsid w:val="3D5F223F"/>
    <w:rsid w:val="3D6EF96C"/>
    <w:rsid w:val="3D7229E4"/>
    <w:rsid w:val="3D82281F"/>
    <w:rsid w:val="3D8DF6DC"/>
    <w:rsid w:val="3DBC08C3"/>
    <w:rsid w:val="3DBE4D0E"/>
    <w:rsid w:val="3DC1BEB4"/>
    <w:rsid w:val="3DC2FC5B"/>
    <w:rsid w:val="3DCA595E"/>
    <w:rsid w:val="3E04936A"/>
    <w:rsid w:val="3E09792E"/>
    <w:rsid w:val="3E0F636B"/>
    <w:rsid w:val="3E1C7E7F"/>
    <w:rsid w:val="3E2B66A0"/>
    <w:rsid w:val="3E2ED384"/>
    <w:rsid w:val="3E311050"/>
    <w:rsid w:val="3E42281D"/>
    <w:rsid w:val="3E47914D"/>
    <w:rsid w:val="3E4F41AB"/>
    <w:rsid w:val="3E619CFE"/>
    <w:rsid w:val="3E61AC53"/>
    <w:rsid w:val="3E79577D"/>
    <w:rsid w:val="3E8AE689"/>
    <w:rsid w:val="3E9A5477"/>
    <w:rsid w:val="3E9D85BE"/>
    <w:rsid w:val="3EA4BA99"/>
    <w:rsid w:val="3EAC7348"/>
    <w:rsid w:val="3EB9939A"/>
    <w:rsid w:val="3EC44853"/>
    <w:rsid w:val="3EC6F3DB"/>
    <w:rsid w:val="3EC74F79"/>
    <w:rsid w:val="3EC87E24"/>
    <w:rsid w:val="3ED2A5C6"/>
    <w:rsid w:val="3EDAFABD"/>
    <w:rsid w:val="3EE40EE2"/>
    <w:rsid w:val="3EE8520C"/>
    <w:rsid w:val="3EEF8E4A"/>
    <w:rsid w:val="3F090423"/>
    <w:rsid w:val="3F115D73"/>
    <w:rsid w:val="3F17B91E"/>
    <w:rsid w:val="3F198C70"/>
    <w:rsid w:val="3F2583FF"/>
    <w:rsid w:val="3F2BEBE6"/>
    <w:rsid w:val="3F2F9A6E"/>
    <w:rsid w:val="3F358A1E"/>
    <w:rsid w:val="3F3850BD"/>
    <w:rsid w:val="3F3F35AF"/>
    <w:rsid w:val="3F4145BF"/>
    <w:rsid w:val="3F4356B6"/>
    <w:rsid w:val="3F44CED4"/>
    <w:rsid w:val="3F4518BF"/>
    <w:rsid w:val="3F4FD29F"/>
    <w:rsid w:val="3F6798EC"/>
    <w:rsid w:val="3F68D306"/>
    <w:rsid w:val="3F738D71"/>
    <w:rsid w:val="3F75383F"/>
    <w:rsid w:val="3F847E56"/>
    <w:rsid w:val="3F95E40B"/>
    <w:rsid w:val="3FA1C3A7"/>
    <w:rsid w:val="3FB422C3"/>
    <w:rsid w:val="3FB5F124"/>
    <w:rsid w:val="3FBDB08F"/>
    <w:rsid w:val="3FBF2617"/>
    <w:rsid w:val="3FC3745B"/>
    <w:rsid w:val="3FDA9AE6"/>
    <w:rsid w:val="3FE5E79E"/>
    <w:rsid w:val="3FF34E76"/>
    <w:rsid w:val="3FF7A819"/>
    <w:rsid w:val="3FFAE65E"/>
    <w:rsid w:val="400496EE"/>
    <w:rsid w:val="400506AC"/>
    <w:rsid w:val="40061087"/>
    <w:rsid w:val="400F6F05"/>
    <w:rsid w:val="4015D685"/>
    <w:rsid w:val="40187A04"/>
    <w:rsid w:val="40207EFF"/>
    <w:rsid w:val="4022702D"/>
    <w:rsid w:val="4025FB60"/>
    <w:rsid w:val="403D91E5"/>
    <w:rsid w:val="40479181"/>
    <w:rsid w:val="4050E74A"/>
    <w:rsid w:val="407677B2"/>
    <w:rsid w:val="407EAD42"/>
    <w:rsid w:val="40C7067C"/>
    <w:rsid w:val="40D03CE7"/>
    <w:rsid w:val="40DADFFF"/>
    <w:rsid w:val="40E9DCE1"/>
    <w:rsid w:val="40FEF219"/>
    <w:rsid w:val="41026660"/>
    <w:rsid w:val="410854F7"/>
    <w:rsid w:val="4148BBB2"/>
    <w:rsid w:val="4148C331"/>
    <w:rsid w:val="414CD528"/>
    <w:rsid w:val="41535BB5"/>
    <w:rsid w:val="4162754A"/>
    <w:rsid w:val="41640592"/>
    <w:rsid w:val="4182B331"/>
    <w:rsid w:val="418F264A"/>
    <w:rsid w:val="41923040"/>
    <w:rsid w:val="4194BBC9"/>
    <w:rsid w:val="4198BFA2"/>
    <w:rsid w:val="419B24A6"/>
    <w:rsid w:val="41A1C84D"/>
    <w:rsid w:val="41A2A348"/>
    <w:rsid w:val="41AEA0AF"/>
    <w:rsid w:val="41B1FD51"/>
    <w:rsid w:val="41BA59A3"/>
    <w:rsid w:val="41BFF974"/>
    <w:rsid w:val="41E9E8B5"/>
    <w:rsid w:val="4203535F"/>
    <w:rsid w:val="4204FD19"/>
    <w:rsid w:val="420B091D"/>
    <w:rsid w:val="420B3CF9"/>
    <w:rsid w:val="420C78A9"/>
    <w:rsid w:val="420CB0AE"/>
    <w:rsid w:val="42156C27"/>
    <w:rsid w:val="4216E27F"/>
    <w:rsid w:val="422DBAE2"/>
    <w:rsid w:val="422F7FBA"/>
    <w:rsid w:val="423FB5DC"/>
    <w:rsid w:val="426CB406"/>
    <w:rsid w:val="426E4782"/>
    <w:rsid w:val="4272FF5A"/>
    <w:rsid w:val="427F7A34"/>
    <w:rsid w:val="428ED321"/>
    <w:rsid w:val="429A1D49"/>
    <w:rsid w:val="429E6249"/>
    <w:rsid w:val="42DB4AAC"/>
    <w:rsid w:val="42E029AF"/>
    <w:rsid w:val="42ED5A01"/>
    <w:rsid w:val="42EED195"/>
    <w:rsid w:val="42F4092F"/>
    <w:rsid w:val="43144A83"/>
    <w:rsid w:val="4339A114"/>
    <w:rsid w:val="434C92E8"/>
    <w:rsid w:val="434D7DA9"/>
    <w:rsid w:val="43528453"/>
    <w:rsid w:val="4359C122"/>
    <w:rsid w:val="435F3276"/>
    <w:rsid w:val="4369838F"/>
    <w:rsid w:val="437561DD"/>
    <w:rsid w:val="43760C04"/>
    <w:rsid w:val="43840948"/>
    <w:rsid w:val="43871475"/>
    <w:rsid w:val="43907159"/>
    <w:rsid w:val="43BE5628"/>
    <w:rsid w:val="43C3A103"/>
    <w:rsid w:val="43CAB051"/>
    <w:rsid w:val="43CC341C"/>
    <w:rsid w:val="4407DEF4"/>
    <w:rsid w:val="4444ABE2"/>
    <w:rsid w:val="4450CCF1"/>
    <w:rsid w:val="4453B352"/>
    <w:rsid w:val="44568E37"/>
    <w:rsid w:val="445E5651"/>
    <w:rsid w:val="4460F15E"/>
    <w:rsid w:val="4475A489"/>
    <w:rsid w:val="447D2FCA"/>
    <w:rsid w:val="4487DF00"/>
    <w:rsid w:val="448B41D1"/>
    <w:rsid w:val="448E7600"/>
    <w:rsid w:val="44AE8694"/>
    <w:rsid w:val="44CFA3DA"/>
    <w:rsid w:val="44D89932"/>
    <w:rsid w:val="44D8B49C"/>
    <w:rsid w:val="44DC1DAA"/>
    <w:rsid w:val="44E45715"/>
    <w:rsid w:val="45020F4C"/>
    <w:rsid w:val="45118292"/>
    <w:rsid w:val="4511A1DD"/>
    <w:rsid w:val="45186D97"/>
    <w:rsid w:val="4524E77C"/>
    <w:rsid w:val="45402BFC"/>
    <w:rsid w:val="454951A3"/>
    <w:rsid w:val="455FBA00"/>
    <w:rsid w:val="457025AF"/>
    <w:rsid w:val="45872AB7"/>
    <w:rsid w:val="459374A7"/>
    <w:rsid w:val="4597CF4E"/>
    <w:rsid w:val="4598809F"/>
    <w:rsid w:val="45BA89F2"/>
    <w:rsid w:val="45CB7C08"/>
    <w:rsid w:val="45D58CA2"/>
    <w:rsid w:val="45DF4024"/>
    <w:rsid w:val="45DF8609"/>
    <w:rsid w:val="45E2025B"/>
    <w:rsid w:val="45E55768"/>
    <w:rsid w:val="4602C968"/>
    <w:rsid w:val="460D1D36"/>
    <w:rsid w:val="46172DAC"/>
    <w:rsid w:val="461858CA"/>
    <w:rsid w:val="46195282"/>
    <w:rsid w:val="462ABD29"/>
    <w:rsid w:val="462C5C59"/>
    <w:rsid w:val="463B3750"/>
    <w:rsid w:val="464A9531"/>
    <w:rsid w:val="464B64A6"/>
    <w:rsid w:val="464C03E8"/>
    <w:rsid w:val="4679522D"/>
    <w:rsid w:val="467DA1BC"/>
    <w:rsid w:val="468490EA"/>
    <w:rsid w:val="4684B428"/>
    <w:rsid w:val="4690F93E"/>
    <w:rsid w:val="46A9278A"/>
    <w:rsid w:val="46AB0D98"/>
    <w:rsid w:val="46AE3609"/>
    <w:rsid w:val="46B9848F"/>
    <w:rsid w:val="46CF64EE"/>
    <w:rsid w:val="46D585DF"/>
    <w:rsid w:val="46D69A28"/>
    <w:rsid w:val="46ED1280"/>
    <w:rsid w:val="46F69A88"/>
    <w:rsid w:val="470516F2"/>
    <w:rsid w:val="4710CFB1"/>
    <w:rsid w:val="471B5FF2"/>
    <w:rsid w:val="471ECF76"/>
    <w:rsid w:val="47461B36"/>
    <w:rsid w:val="47520D31"/>
    <w:rsid w:val="475641A2"/>
    <w:rsid w:val="47991602"/>
    <w:rsid w:val="47B3616D"/>
    <w:rsid w:val="47C9D391"/>
    <w:rsid w:val="47CD2BD8"/>
    <w:rsid w:val="47CED3AE"/>
    <w:rsid w:val="47D6F2A8"/>
    <w:rsid w:val="47E09144"/>
    <w:rsid w:val="47E6A6F1"/>
    <w:rsid w:val="47F6BCC8"/>
    <w:rsid w:val="47F88BB9"/>
    <w:rsid w:val="480E7B2A"/>
    <w:rsid w:val="48115812"/>
    <w:rsid w:val="482B6E43"/>
    <w:rsid w:val="48368BB3"/>
    <w:rsid w:val="483C4E1B"/>
    <w:rsid w:val="48668873"/>
    <w:rsid w:val="48698CC2"/>
    <w:rsid w:val="4879828C"/>
    <w:rsid w:val="4885BA20"/>
    <w:rsid w:val="48A616F5"/>
    <w:rsid w:val="48AA4567"/>
    <w:rsid w:val="48B69C66"/>
    <w:rsid w:val="48B77D9B"/>
    <w:rsid w:val="48F4718E"/>
    <w:rsid w:val="4902A78F"/>
    <w:rsid w:val="49063C09"/>
    <w:rsid w:val="49091507"/>
    <w:rsid w:val="491E6D90"/>
    <w:rsid w:val="49275979"/>
    <w:rsid w:val="493C060D"/>
    <w:rsid w:val="494803C2"/>
    <w:rsid w:val="494F088E"/>
    <w:rsid w:val="49641647"/>
    <w:rsid w:val="4967A91F"/>
    <w:rsid w:val="497D7075"/>
    <w:rsid w:val="498BBDBE"/>
    <w:rsid w:val="498DB923"/>
    <w:rsid w:val="49AA8996"/>
    <w:rsid w:val="49B577AB"/>
    <w:rsid w:val="49B784C7"/>
    <w:rsid w:val="49D208B9"/>
    <w:rsid w:val="49D51F20"/>
    <w:rsid w:val="49D8EFB1"/>
    <w:rsid w:val="49DE8C20"/>
    <w:rsid w:val="49EA87C5"/>
    <w:rsid w:val="49F6301A"/>
    <w:rsid w:val="49FF508A"/>
    <w:rsid w:val="4A00FA6F"/>
    <w:rsid w:val="4A040E17"/>
    <w:rsid w:val="4A40192B"/>
    <w:rsid w:val="4A5C11B6"/>
    <w:rsid w:val="4A710620"/>
    <w:rsid w:val="4A7460E7"/>
    <w:rsid w:val="4A97AA43"/>
    <w:rsid w:val="4A97BA6B"/>
    <w:rsid w:val="4A9D9F64"/>
    <w:rsid w:val="4A9DD55B"/>
    <w:rsid w:val="4A9ED193"/>
    <w:rsid w:val="4AA11333"/>
    <w:rsid w:val="4ACFA868"/>
    <w:rsid w:val="4AD3F8A7"/>
    <w:rsid w:val="4AD3F8BC"/>
    <w:rsid w:val="4AE8F12C"/>
    <w:rsid w:val="4AEDFCBB"/>
    <w:rsid w:val="4B027D4C"/>
    <w:rsid w:val="4B0757C4"/>
    <w:rsid w:val="4B09B6C3"/>
    <w:rsid w:val="4B0F6B2F"/>
    <w:rsid w:val="4B14FAD0"/>
    <w:rsid w:val="4B1A5926"/>
    <w:rsid w:val="4B1DC53A"/>
    <w:rsid w:val="4B1F585B"/>
    <w:rsid w:val="4B298FD8"/>
    <w:rsid w:val="4B54B633"/>
    <w:rsid w:val="4B5DE82F"/>
    <w:rsid w:val="4B6F798A"/>
    <w:rsid w:val="4B72CE8E"/>
    <w:rsid w:val="4B76CD96"/>
    <w:rsid w:val="4B81FF17"/>
    <w:rsid w:val="4B857562"/>
    <w:rsid w:val="4B8DBCF3"/>
    <w:rsid w:val="4B90DACF"/>
    <w:rsid w:val="4B965756"/>
    <w:rsid w:val="4BA021FD"/>
    <w:rsid w:val="4BACA5B8"/>
    <w:rsid w:val="4BAF6175"/>
    <w:rsid w:val="4BC053B0"/>
    <w:rsid w:val="4BC44A57"/>
    <w:rsid w:val="4BD288D2"/>
    <w:rsid w:val="4BDB9DC7"/>
    <w:rsid w:val="4BED629F"/>
    <w:rsid w:val="4BEE0A6D"/>
    <w:rsid w:val="4BFDFA51"/>
    <w:rsid w:val="4C0F3D81"/>
    <w:rsid w:val="4C13ADC9"/>
    <w:rsid w:val="4C18278C"/>
    <w:rsid w:val="4C2216AE"/>
    <w:rsid w:val="4C28E239"/>
    <w:rsid w:val="4C2D55CA"/>
    <w:rsid w:val="4C57FCAC"/>
    <w:rsid w:val="4C698806"/>
    <w:rsid w:val="4C6C5A3E"/>
    <w:rsid w:val="4C7B90B2"/>
    <w:rsid w:val="4C7D8563"/>
    <w:rsid w:val="4C87D34C"/>
    <w:rsid w:val="4C89CB48"/>
    <w:rsid w:val="4C975973"/>
    <w:rsid w:val="4C9A4473"/>
    <w:rsid w:val="4C9F3B78"/>
    <w:rsid w:val="4CD20541"/>
    <w:rsid w:val="4CD9A8CE"/>
    <w:rsid w:val="4CEC2B5A"/>
    <w:rsid w:val="4CF31A1D"/>
    <w:rsid w:val="4CF855D2"/>
    <w:rsid w:val="4CF9896A"/>
    <w:rsid w:val="4D00B35B"/>
    <w:rsid w:val="4D1500B9"/>
    <w:rsid w:val="4D35A088"/>
    <w:rsid w:val="4D5FAF67"/>
    <w:rsid w:val="4D60D325"/>
    <w:rsid w:val="4D6AD67B"/>
    <w:rsid w:val="4D73904C"/>
    <w:rsid w:val="4D779E60"/>
    <w:rsid w:val="4D7A010D"/>
    <w:rsid w:val="4D9104B1"/>
    <w:rsid w:val="4D99B5C2"/>
    <w:rsid w:val="4DA6B53B"/>
    <w:rsid w:val="4DAC2F7E"/>
    <w:rsid w:val="4DAC3B6B"/>
    <w:rsid w:val="4DBD4F31"/>
    <w:rsid w:val="4DC4297F"/>
    <w:rsid w:val="4DC7928B"/>
    <w:rsid w:val="4DD323EE"/>
    <w:rsid w:val="4DD76AAC"/>
    <w:rsid w:val="4DE0D5C5"/>
    <w:rsid w:val="4DE5D002"/>
    <w:rsid w:val="4DF34D12"/>
    <w:rsid w:val="4E009AB8"/>
    <w:rsid w:val="4E06BCBA"/>
    <w:rsid w:val="4E0DF6F9"/>
    <w:rsid w:val="4E16C1BD"/>
    <w:rsid w:val="4E1EA6F1"/>
    <w:rsid w:val="4E3118E2"/>
    <w:rsid w:val="4E31A4FF"/>
    <w:rsid w:val="4E3795D2"/>
    <w:rsid w:val="4E448DDF"/>
    <w:rsid w:val="4E4A4E58"/>
    <w:rsid w:val="4E4DC402"/>
    <w:rsid w:val="4E50311F"/>
    <w:rsid w:val="4E529E05"/>
    <w:rsid w:val="4E557FAD"/>
    <w:rsid w:val="4E614A35"/>
    <w:rsid w:val="4E7A779A"/>
    <w:rsid w:val="4E8C8D2C"/>
    <w:rsid w:val="4E8F5F29"/>
    <w:rsid w:val="4E940BCB"/>
    <w:rsid w:val="4E97A049"/>
    <w:rsid w:val="4E9AEE94"/>
    <w:rsid w:val="4E9CB410"/>
    <w:rsid w:val="4EA26B76"/>
    <w:rsid w:val="4EA345BA"/>
    <w:rsid w:val="4EB7FA3F"/>
    <w:rsid w:val="4EC64BE0"/>
    <w:rsid w:val="4EF3D1D5"/>
    <w:rsid w:val="4F02C976"/>
    <w:rsid w:val="4F2D6112"/>
    <w:rsid w:val="4F345B1E"/>
    <w:rsid w:val="4F3D41F3"/>
    <w:rsid w:val="4F40D97A"/>
    <w:rsid w:val="4F41DBDA"/>
    <w:rsid w:val="4F43B95F"/>
    <w:rsid w:val="4F8155AA"/>
    <w:rsid w:val="4F954390"/>
    <w:rsid w:val="4FB3D458"/>
    <w:rsid w:val="4FBF825A"/>
    <w:rsid w:val="4FE1B7F6"/>
    <w:rsid w:val="4FF5B05F"/>
    <w:rsid w:val="4FF60CA0"/>
    <w:rsid w:val="5005E3BE"/>
    <w:rsid w:val="5008447E"/>
    <w:rsid w:val="500B6B18"/>
    <w:rsid w:val="500D4170"/>
    <w:rsid w:val="5018AC83"/>
    <w:rsid w:val="50338B65"/>
    <w:rsid w:val="50364027"/>
    <w:rsid w:val="504139D1"/>
    <w:rsid w:val="505DFD82"/>
    <w:rsid w:val="506870A5"/>
    <w:rsid w:val="506CAA1E"/>
    <w:rsid w:val="50738084"/>
    <w:rsid w:val="5079E80A"/>
    <w:rsid w:val="5083D627"/>
    <w:rsid w:val="50896A2F"/>
    <w:rsid w:val="50984ECF"/>
    <w:rsid w:val="50A42694"/>
    <w:rsid w:val="50AD32D9"/>
    <w:rsid w:val="50AD9FBB"/>
    <w:rsid w:val="50BDE707"/>
    <w:rsid w:val="50D07148"/>
    <w:rsid w:val="50D1FA67"/>
    <w:rsid w:val="50D552F5"/>
    <w:rsid w:val="50D85C64"/>
    <w:rsid w:val="50DBC07B"/>
    <w:rsid w:val="50E835D2"/>
    <w:rsid w:val="50E874C8"/>
    <w:rsid w:val="50EFE567"/>
    <w:rsid w:val="50F646F4"/>
    <w:rsid w:val="5103C889"/>
    <w:rsid w:val="510507A2"/>
    <w:rsid w:val="5105654D"/>
    <w:rsid w:val="5108E3BA"/>
    <w:rsid w:val="510A23BF"/>
    <w:rsid w:val="510DE0D8"/>
    <w:rsid w:val="511A19F3"/>
    <w:rsid w:val="51298D17"/>
    <w:rsid w:val="512CA1B8"/>
    <w:rsid w:val="512EFFD2"/>
    <w:rsid w:val="51317CA9"/>
    <w:rsid w:val="51352552"/>
    <w:rsid w:val="513C6315"/>
    <w:rsid w:val="513D32CC"/>
    <w:rsid w:val="5144C568"/>
    <w:rsid w:val="514BDC85"/>
    <w:rsid w:val="514C48CF"/>
    <w:rsid w:val="515BDD5A"/>
    <w:rsid w:val="515EB529"/>
    <w:rsid w:val="51898C8F"/>
    <w:rsid w:val="51A2758C"/>
    <w:rsid w:val="51AA2756"/>
    <w:rsid w:val="51AECF57"/>
    <w:rsid w:val="51AED66C"/>
    <w:rsid w:val="51C23265"/>
    <w:rsid w:val="51C3434A"/>
    <w:rsid w:val="51C40CB6"/>
    <w:rsid w:val="51C42BE5"/>
    <w:rsid w:val="51DD2226"/>
    <w:rsid w:val="51E6978C"/>
    <w:rsid w:val="51E6F9B0"/>
    <w:rsid w:val="51E9FFE7"/>
    <w:rsid w:val="51ED95A9"/>
    <w:rsid w:val="51F1853B"/>
    <w:rsid w:val="51F3BEB8"/>
    <w:rsid w:val="51FCF42E"/>
    <w:rsid w:val="51FE083E"/>
    <w:rsid w:val="5202DEEB"/>
    <w:rsid w:val="520AB82B"/>
    <w:rsid w:val="520EB9CB"/>
    <w:rsid w:val="5211FEBF"/>
    <w:rsid w:val="521C6F01"/>
    <w:rsid w:val="5228B9A8"/>
    <w:rsid w:val="5230DB8D"/>
    <w:rsid w:val="5239D670"/>
    <w:rsid w:val="52476888"/>
    <w:rsid w:val="5259389A"/>
    <w:rsid w:val="526C617C"/>
    <w:rsid w:val="527577B9"/>
    <w:rsid w:val="5289B347"/>
    <w:rsid w:val="5289B7E7"/>
    <w:rsid w:val="529A8713"/>
    <w:rsid w:val="529A97BD"/>
    <w:rsid w:val="52A234EB"/>
    <w:rsid w:val="52A355FC"/>
    <w:rsid w:val="52B48DB6"/>
    <w:rsid w:val="52B51995"/>
    <w:rsid w:val="52B762D6"/>
    <w:rsid w:val="52B7E971"/>
    <w:rsid w:val="52C017BA"/>
    <w:rsid w:val="52C62459"/>
    <w:rsid w:val="52CBB87C"/>
    <w:rsid w:val="52CE5B85"/>
    <w:rsid w:val="52D2100F"/>
    <w:rsid w:val="52E26B01"/>
    <w:rsid w:val="52E2A569"/>
    <w:rsid w:val="52E480C1"/>
    <w:rsid w:val="52EA70C0"/>
    <w:rsid w:val="52EDC341"/>
    <w:rsid w:val="52F7F0F5"/>
    <w:rsid w:val="5324AEE7"/>
    <w:rsid w:val="53401445"/>
    <w:rsid w:val="5342C1B5"/>
    <w:rsid w:val="5344777B"/>
    <w:rsid w:val="5348ECCE"/>
    <w:rsid w:val="534E1599"/>
    <w:rsid w:val="5357B44F"/>
    <w:rsid w:val="536ED6B8"/>
    <w:rsid w:val="537F375D"/>
    <w:rsid w:val="53968CC4"/>
    <w:rsid w:val="5396E5B1"/>
    <w:rsid w:val="53A5395C"/>
    <w:rsid w:val="53A58A29"/>
    <w:rsid w:val="53B856B7"/>
    <w:rsid w:val="53D240DA"/>
    <w:rsid w:val="53D56689"/>
    <w:rsid w:val="53D79CC3"/>
    <w:rsid w:val="53DFFAA9"/>
    <w:rsid w:val="53EECA0B"/>
    <w:rsid w:val="53F08877"/>
    <w:rsid w:val="53F22DB7"/>
    <w:rsid w:val="53F2545D"/>
    <w:rsid w:val="53FD37B6"/>
    <w:rsid w:val="53FFF7D1"/>
    <w:rsid w:val="5404D4F7"/>
    <w:rsid w:val="540D3937"/>
    <w:rsid w:val="54145021"/>
    <w:rsid w:val="5415220F"/>
    <w:rsid w:val="54182A3B"/>
    <w:rsid w:val="541E298F"/>
    <w:rsid w:val="542A7A46"/>
    <w:rsid w:val="543219BD"/>
    <w:rsid w:val="544D6E5B"/>
    <w:rsid w:val="5462FAD9"/>
    <w:rsid w:val="546CE5B0"/>
    <w:rsid w:val="54707E41"/>
    <w:rsid w:val="5499B59B"/>
    <w:rsid w:val="54A3F0BD"/>
    <w:rsid w:val="54A7C634"/>
    <w:rsid w:val="54A86F6F"/>
    <w:rsid w:val="54B626DA"/>
    <w:rsid w:val="54B70178"/>
    <w:rsid w:val="54C2BA94"/>
    <w:rsid w:val="54C849C5"/>
    <w:rsid w:val="54CC682F"/>
    <w:rsid w:val="54EAC826"/>
    <w:rsid w:val="54F3AA1F"/>
    <w:rsid w:val="54FA3A78"/>
    <w:rsid w:val="5512DE81"/>
    <w:rsid w:val="552163D8"/>
    <w:rsid w:val="55347295"/>
    <w:rsid w:val="5535ECB1"/>
    <w:rsid w:val="5544E9EA"/>
    <w:rsid w:val="5549BA1B"/>
    <w:rsid w:val="554C9B5C"/>
    <w:rsid w:val="555C40D7"/>
    <w:rsid w:val="556CE09B"/>
    <w:rsid w:val="556D43E0"/>
    <w:rsid w:val="55700742"/>
    <w:rsid w:val="557893D2"/>
    <w:rsid w:val="55792941"/>
    <w:rsid w:val="557CCF21"/>
    <w:rsid w:val="5592CC63"/>
    <w:rsid w:val="55955483"/>
    <w:rsid w:val="5595F9B1"/>
    <w:rsid w:val="559673BF"/>
    <w:rsid w:val="55C946A0"/>
    <w:rsid w:val="55D43BC6"/>
    <w:rsid w:val="55F8BE54"/>
    <w:rsid w:val="55F9526D"/>
    <w:rsid w:val="560F0B23"/>
    <w:rsid w:val="561C4D9D"/>
    <w:rsid w:val="56213DA4"/>
    <w:rsid w:val="56240B29"/>
    <w:rsid w:val="5643155E"/>
    <w:rsid w:val="56691723"/>
    <w:rsid w:val="566F3C98"/>
    <w:rsid w:val="566F6469"/>
    <w:rsid w:val="568246D8"/>
    <w:rsid w:val="568ED322"/>
    <w:rsid w:val="569D476D"/>
    <w:rsid w:val="56B40AFA"/>
    <w:rsid w:val="56BA8C8F"/>
    <w:rsid w:val="56BEE506"/>
    <w:rsid w:val="56C2CDEE"/>
    <w:rsid w:val="56ECD9EC"/>
    <w:rsid w:val="56F7E9F5"/>
    <w:rsid w:val="570C08C0"/>
    <w:rsid w:val="570D1566"/>
    <w:rsid w:val="570DC4AD"/>
    <w:rsid w:val="570F932A"/>
    <w:rsid w:val="5715C163"/>
    <w:rsid w:val="571DD408"/>
    <w:rsid w:val="57455498"/>
    <w:rsid w:val="574654D3"/>
    <w:rsid w:val="57541FEE"/>
    <w:rsid w:val="57555A2C"/>
    <w:rsid w:val="577F909F"/>
    <w:rsid w:val="57BBA419"/>
    <w:rsid w:val="57D81EFF"/>
    <w:rsid w:val="57F35B2F"/>
    <w:rsid w:val="57F38908"/>
    <w:rsid w:val="57F9F8D9"/>
    <w:rsid w:val="57FDE5B5"/>
    <w:rsid w:val="5800D058"/>
    <w:rsid w:val="580783A7"/>
    <w:rsid w:val="5810D88E"/>
    <w:rsid w:val="58207EE5"/>
    <w:rsid w:val="5828EBC2"/>
    <w:rsid w:val="583AD7FA"/>
    <w:rsid w:val="58538C47"/>
    <w:rsid w:val="5883B6C3"/>
    <w:rsid w:val="58AB689C"/>
    <w:rsid w:val="58B5C07B"/>
    <w:rsid w:val="58BA1BB4"/>
    <w:rsid w:val="58CA12AD"/>
    <w:rsid w:val="58D56E42"/>
    <w:rsid w:val="58F8A42B"/>
    <w:rsid w:val="59045D49"/>
    <w:rsid w:val="5908577B"/>
    <w:rsid w:val="59183352"/>
    <w:rsid w:val="591D6928"/>
    <w:rsid w:val="592B4681"/>
    <w:rsid w:val="59318C51"/>
    <w:rsid w:val="593A1C9A"/>
    <w:rsid w:val="59454091"/>
    <w:rsid w:val="5961332C"/>
    <w:rsid w:val="59688C48"/>
    <w:rsid w:val="59758476"/>
    <w:rsid w:val="5977C643"/>
    <w:rsid w:val="597DA30D"/>
    <w:rsid w:val="59817832"/>
    <w:rsid w:val="59880824"/>
    <w:rsid w:val="59A19458"/>
    <w:rsid w:val="59A225A7"/>
    <w:rsid w:val="59BCF6E9"/>
    <w:rsid w:val="59C7040C"/>
    <w:rsid w:val="59F9B29E"/>
    <w:rsid w:val="59FC4718"/>
    <w:rsid w:val="5A01F527"/>
    <w:rsid w:val="5A1840C4"/>
    <w:rsid w:val="5A28A789"/>
    <w:rsid w:val="5A378496"/>
    <w:rsid w:val="5A44ACD5"/>
    <w:rsid w:val="5A490F8A"/>
    <w:rsid w:val="5A4954EF"/>
    <w:rsid w:val="5A4BE022"/>
    <w:rsid w:val="5A597513"/>
    <w:rsid w:val="5A5D033E"/>
    <w:rsid w:val="5A65B694"/>
    <w:rsid w:val="5A679B19"/>
    <w:rsid w:val="5A6F657E"/>
    <w:rsid w:val="5A780463"/>
    <w:rsid w:val="5A86A76E"/>
    <w:rsid w:val="5A965986"/>
    <w:rsid w:val="5A99D6C6"/>
    <w:rsid w:val="5AAB1B17"/>
    <w:rsid w:val="5ABBF9C9"/>
    <w:rsid w:val="5AE46C0B"/>
    <w:rsid w:val="5AE60C40"/>
    <w:rsid w:val="5AE73B2A"/>
    <w:rsid w:val="5AE9A584"/>
    <w:rsid w:val="5AF21D39"/>
    <w:rsid w:val="5AFBE2A5"/>
    <w:rsid w:val="5AFE0B45"/>
    <w:rsid w:val="5B04A80C"/>
    <w:rsid w:val="5B15A9F8"/>
    <w:rsid w:val="5B1B9B90"/>
    <w:rsid w:val="5B29191E"/>
    <w:rsid w:val="5B460123"/>
    <w:rsid w:val="5B4C58F0"/>
    <w:rsid w:val="5B5415BD"/>
    <w:rsid w:val="5B6158F0"/>
    <w:rsid w:val="5B6342B2"/>
    <w:rsid w:val="5B63A95C"/>
    <w:rsid w:val="5B7251EF"/>
    <w:rsid w:val="5B9DB446"/>
    <w:rsid w:val="5BB4AFB9"/>
    <w:rsid w:val="5BCC0EF9"/>
    <w:rsid w:val="5BCC5559"/>
    <w:rsid w:val="5BDBE131"/>
    <w:rsid w:val="5BE26C96"/>
    <w:rsid w:val="5BF001A6"/>
    <w:rsid w:val="5BFEBAFE"/>
    <w:rsid w:val="5C27BCBB"/>
    <w:rsid w:val="5C32D34F"/>
    <w:rsid w:val="5C347489"/>
    <w:rsid w:val="5C42E988"/>
    <w:rsid w:val="5C54F03A"/>
    <w:rsid w:val="5C6D4349"/>
    <w:rsid w:val="5C825138"/>
    <w:rsid w:val="5C86889A"/>
    <w:rsid w:val="5C96C7FB"/>
    <w:rsid w:val="5C9CA4E2"/>
    <w:rsid w:val="5C9D9165"/>
    <w:rsid w:val="5CAD8500"/>
    <w:rsid w:val="5CB9C5CD"/>
    <w:rsid w:val="5CBD49DC"/>
    <w:rsid w:val="5CBF75AF"/>
    <w:rsid w:val="5CD47F52"/>
    <w:rsid w:val="5CF37A42"/>
    <w:rsid w:val="5CFE812A"/>
    <w:rsid w:val="5D03F950"/>
    <w:rsid w:val="5D04F376"/>
    <w:rsid w:val="5D17258E"/>
    <w:rsid w:val="5D1A5228"/>
    <w:rsid w:val="5D2BAD2A"/>
    <w:rsid w:val="5D3656D3"/>
    <w:rsid w:val="5D435137"/>
    <w:rsid w:val="5D655FAF"/>
    <w:rsid w:val="5D6F7FD2"/>
    <w:rsid w:val="5D7C25D8"/>
    <w:rsid w:val="5D84DDCA"/>
    <w:rsid w:val="5D86F704"/>
    <w:rsid w:val="5D87B86F"/>
    <w:rsid w:val="5D8C9946"/>
    <w:rsid w:val="5D8E2685"/>
    <w:rsid w:val="5D93D492"/>
    <w:rsid w:val="5D9E3856"/>
    <w:rsid w:val="5DAC9F8E"/>
    <w:rsid w:val="5DAE0AD6"/>
    <w:rsid w:val="5DB279E2"/>
    <w:rsid w:val="5DB842FF"/>
    <w:rsid w:val="5DB88597"/>
    <w:rsid w:val="5DC10F33"/>
    <w:rsid w:val="5DD47EBC"/>
    <w:rsid w:val="5DDB632E"/>
    <w:rsid w:val="5DE2A3C6"/>
    <w:rsid w:val="5DEE0FE1"/>
    <w:rsid w:val="5DEEF646"/>
    <w:rsid w:val="5DFCE1B5"/>
    <w:rsid w:val="5E14D7AD"/>
    <w:rsid w:val="5E17366B"/>
    <w:rsid w:val="5E17D43F"/>
    <w:rsid w:val="5E21B688"/>
    <w:rsid w:val="5E246623"/>
    <w:rsid w:val="5E3FA7E9"/>
    <w:rsid w:val="5E40EDB3"/>
    <w:rsid w:val="5E490082"/>
    <w:rsid w:val="5E4B8785"/>
    <w:rsid w:val="5E501BED"/>
    <w:rsid w:val="5E62361E"/>
    <w:rsid w:val="5E6FC802"/>
    <w:rsid w:val="5E746408"/>
    <w:rsid w:val="5E75574D"/>
    <w:rsid w:val="5E83738A"/>
    <w:rsid w:val="5E83A6BD"/>
    <w:rsid w:val="5E8EE4F8"/>
    <w:rsid w:val="5EA62363"/>
    <w:rsid w:val="5EABCBCB"/>
    <w:rsid w:val="5ED12DC9"/>
    <w:rsid w:val="5EE7390C"/>
    <w:rsid w:val="5EEE8A2F"/>
    <w:rsid w:val="5EFB2EA0"/>
    <w:rsid w:val="5EFCC8D9"/>
    <w:rsid w:val="5EFE1B4C"/>
    <w:rsid w:val="5F098E87"/>
    <w:rsid w:val="5F0E1E15"/>
    <w:rsid w:val="5F24669D"/>
    <w:rsid w:val="5F28A6E7"/>
    <w:rsid w:val="5F29AD6F"/>
    <w:rsid w:val="5F562D0B"/>
    <w:rsid w:val="5F5CDAE1"/>
    <w:rsid w:val="5F648CF5"/>
    <w:rsid w:val="5F7C32BA"/>
    <w:rsid w:val="5F939667"/>
    <w:rsid w:val="5F957FB5"/>
    <w:rsid w:val="5F95FF1F"/>
    <w:rsid w:val="5F9823BE"/>
    <w:rsid w:val="5F9CD104"/>
    <w:rsid w:val="5FA49C36"/>
    <w:rsid w:val="5FA9CBE4"/>
    <w:rsid w:val="5FC00EB9"/>
    <w:rsid w:val="5FC0309D"/>
    <w:rsid w:val="5FC2DC51"/>
    <w:rsid w:val="5FC7F786"/>
    <w:rsid w:val="5FC824DD"/>
    <w:rsid w:val="5FFB3C15"/>
    <w:rsid w:val="5FFB7656"/>
    <w:rsid w:val="600070B4"/>
    <w:rsid w:val="600B137A"/>
    <w:rsid w:val="602661A8"/>
    <w:rsid w:val="60360AFA"/>
    <w:rsid w:val="60395B35"/>
    <w:rsid w:val="603C23BF"/>
    <w:rsid w:val="60437D67"/>
    <w:rsid w:val="60719108"/>
    <w:rsid w:val="6085286D"/>
    <w:rsid w:val="60A0DE1D"/>
    <w:rsid w:val="60A97775"/>
    <w:rsid w:val="60B33993"/>
    <w:rsid w:val="60B8FE7C"/>
    <w:rsid w:val="60BF41B4"/>
    <w:rsid w:val="60C7CD23"/>
    <w:rsid w:val="60CD0337"/>
    <w:rsid w:val="60DA7B06"/>
    <w:rsid w:val="61026888"/>
    <w:rsid w:val="61075495"/>
    <w:rsid w:val="61079A7B"/>
    <w:rsid w:val="612938BA"/>
    <w:rsid w:val="6136A88A"/>
    <w:rsid w:val="6150915E"/>
    <w:rsid w:val="6155DD39"/>
    <w:rsid w:val="616EA78B"/>
    <w:rsid w:val="616F30EA"/>
    <w:rsid w:val="61790B95"/>
    <w:rsid w:val="617EEB5F"/>
    <w:rsid w:val="618094A4"/>
    <w:rsid w:val="618CD257"/>
    <w:rsid w:val="6194C928"/>
    <w:rsid w:val="619AEAA1"/>
    <w:rsid w:val="61ACDC02"/>
    <w:rsid w:val="61B62E9C"/>
    <w:rsid w:val="61C12A1D"/>
    <w:rsid w:val="61C14107"/>
    <w:rsid w:val="61C3BFF7"/>
    <w:rsid w:val="61C9D61E"/>
    <w:rsid w:val="61D6BE72"/>
    <w:rsid w:val="61D8DC9C"/>
    <w:rsid w:val="61E26376"/>
    <w:rsid w:val="61EF46F6"/>
    <w:rsid w:val="61EFB248"/>
    <w:rsid w:val="62096B5D"/>
    <w:rsid w:val="62099983"/>
    <w:rsid w:val="620D0C6C"/>
    <w:rsid w:val="6223A31B"/>
    <w:rsid w:val="62281CFE"/>
    <w:rsid w:val="623D3DB6"/>
    <w:rsid w:val="62573DEC"/>
    <w:rsid w:val="62678178"/>
    <w:rsid w:val="628E26C6"/>
    <w:rsid w:val="62946FB6"/>
    <w:rsid w:val="629FF775"/>
    <w:rsid w:val="62B31739"/>
    <w:rsid w:val="62BEE01F"/>
    <w:rsid w:val="62CF83B8"/>
    <w:rsid w:val="62CFF6C0"/>
    <w:rsid w:val="62D00B91"/>
    <w:rsid w:val="62E0ECBD"/>
    <w:rsid w:val="62F6F4AC"/>
    <w:rsid w:val="63054FAE"/>
    <w:rsid w:val="630EAB0A"/>
    <w:rsid w:val="63168555"/>
    <w:rsid w:val="631995A5"/>
    <w:rsid w:val="631D4E05"/>
    <w:rsid w:val="632C4474"/>
    <w:rsid w:val="63581B9E"/>
    <w:rsid w:val="635998BD"/>
    <w:rsid w:val="6361024F"/>
    <w:rsid w:val="63644FD5"/>
    <w:rsid w:val="63668DB1"/>
    <w:rsid w:val="636AFAA7"/>
    <w:rsid w:val="636E2DD0"/>
    <w:rsid w:val="637E53D4"/>
    <w:rsid w:val="63813FCF"/>
    <w:rsid w:val="639550C1"/>
    <w:rsid w:val="639EA35D"/>
    <w:rsid w:val="63AD6931"/>
    <w:rsid w:val="63AFD519"/>
    <w:rsid w:val="63DB0577"/>
    <w:rsid w:val="63E365AF"/>
    <w:rsid w:val="63EC0FE3"/>
    <w:rsid w:val="63ED2C9C"/>
    <w:rsid w:val="640DBC06"/>
    <w:rsid w:val="640F120F"/>
    <w:rsid w:val="6410FE4D"/>
    <w:rsid w:val="6417A761"/>
    <w:rsid w:val="6422C983"/>
    <w:rsid w:val="6423A51A"/>
    <w:rsid w:val="6428710C"/>
    <w:rsid w:val="6430D479"/>
    <w:rsid w:val="64415F77"/>
    <w:rsid w:val="6444CA77"/>
    <w:rsid w:val="64452C69"/>
    <w:rsid w:val="6452673B"/>
    <w:rsid w:val="64539DF3"/>
    <w:rsid w:val="6454FA53"/>
    <w:rsid w:val="64550159"/>
    <w:rsid w:val="645A12E2"/>
    <w:rsid w:val="645D79F9"/>
    <w:rsid w:val="6469F591"/>
    <w:rsid w:val="646A7E25"/>
    <w:rsid w:val="646C0CC7"/>
    <w:rsid w:val="646EE0AA"/>
    <w:rsid w:val="647ED7E1"/>
    <w:rsid w:val="64A71D21"/>
    <w:rsid w:val="64AB72E7"/>
    <w:rsid w:val="64B51663"/>
    <w:rsid w:val="64B9A9E5"/>
    <w:rsid w:val="64BADF29"/>
    <w:rsid w:val="64BB1AEA"/>
    <w:rsid w:val="64BD0CD4"/>
    <w:rsid w:val="64D1D580"/>
    <w:rsid w:val="64DCD281"/>
    <w:rsid w:val="64E8E7DD"/>
    <w:rsid w:val="65023A25"/>
    <w:rsid w:val="650409D3"/>
    <w:rsid w:val="6506804D"/>
    <w:rsid w:val="650BE215"/>
    <w:rsid w:val="651235CD"/>
    <w:rsid w:val="651BC7F2"/>
    <w:rsid w:val="653DD450"/>
    <w:rsid w:val="6547FEE2"/>
    <w:rsid w:val="655B6E00"/>
    <w:rsid w:val="656036BF"/>
    <w:rsid w:val="65621CED"/>
    <w:rsid w:val="65726127"/>
    <w:rsid w:val="65999E12"/>
    <w:rsid w:val="65A1400F"/>
    <w:rsid w:val="65A4760C"/>
    <w:rsid w:val="65AD6ADD"/>
    <w:rsid w:val="65B77938"/>
    <w:rsid w:val="65C37AA6"/>
    <w:rsid w:val="65C782AD"/>
    <w:rsid w:val="65CEACC1"/>
    <w:rsid w:val="65D225B8"/>
    <w:rsid w:val="65E45AFF"/>
    <w:rsid w:val="65EDCF74"/>
    <w:rsid w:val="65EF2B56"/>
    <w:rsid w:val="66021A40"/>
    <w:rsid w:val="660416B5"/>
    <w:rsid w:val="66070C53"/>
    <w:rsid w:val="660C15FB"/>
    <w:rsid w:val="660EA831"/>
    <w:rsid w:val="66154997"/>
    <w:rsid w:val="6627CA31"/>
    <w:rsid w:val="662AE23F"/>
    <w:rsid w:val="6650418C"/>
    <w:rsid w:val="666C37D1"/>
    <w:rsid w:val="66829E98"/>
    <w:rsid w:val="668808CD"/>
    <w:rsid w:val="66882C96"/>
    <w:rsid w:val="668A4626"/>
    <w:rsid w:val="669BB39A"/>
    <w:rsid w:val="66A14506"/>
    <w:rsid w:val="66A650FE"/>
    <w:rsid w:val="66A95AD0"/>
    <w:rsid w:val="66B68156"/>
    <w:rsid w:val="66B7902D"/>
    <w:rsid w:val="66B92ABA"/>
    <w:rsid w:val="66BF0D66"/>
    <w:rsid w:val="66C916D1"/>
    <w:rsid w:val="66D199A9"/>
    <w:rsid w:val="66DA9AE8"/>
    <w:rsid w:val="66E0FBF5"/>
    <w:rsid w:val="66E69F92"/>
    <w:rsid w:val="670CE26D"/>
    <w:rsid w:val="671797AD"/>
    <w:rsid w:val="67218D64"/>
    <w:rsid w:val="67249BBB"/>
    <w:rsid w:val="67275480"/>
    <w:rsid w:val="672D2BBA"/>
    <w:rsid w:val="674CC96B"/>
    <w:rsid w:val="67579E61"/>
    <w:rsid w:val="6773ACF2"/>
    <w:rsid w:val="677680FB"/>
    <w:rsid w:val="6780D235"/>
    <w:rsid w:val="67889C11"/>
    <w:rsid w:val="67984900"/>
    <w:rsid w:val="67A16F40"/>
    <w:rsid w:val="67AC7DD5"/>
    <w:rsid w:val="67AF1B6C"/>
    <w:rsid w:val="67B2AF9A"/>
    <w:rsid w:val="67B3631B"/>
    <w:rsid w:val="67BD22BB"/>
    <w:rsid w:val="67BE6A84"/>
    <w:rsid w:val="67C6A4F1"/>
    <w:rsid w:val="67CE76E9"/>
    <w:rsid w:val="67E3C669"/>
    <w:rsid w:val="67EB1CA0"/>
    <w:rsid w:val="68092990"/>
    <w:rsid w:val="68098B5D"/>
    <w:rsid w:val="680AF47E"/>
    <w:rsid w:val="680EAC56"/>
    <w:rsid w:val="681282F8"/>
    <w:rsid w:val="681430FE"/>
    <w:rsid w:val="681C9499"/>
    <w:rsid w:val="68421891"/>
    <w:rsid w:val="684D5106"/>
    <w:rsid w:val="685BE6FE"/>
    <w:rsid w:val="6863E822"/>
    <w:rsid w:val="6866793F"/>
    <w:rsid w:val="686C6CDE"/>
    <w:rsid w:val="686D2C3E"/>
    <w:rsid w:val="686D44EC"/>
    <w:rsid w:val="687BD3B7"/>
    <w:rsid w:val="687E2D9A"/>
    <w:rsid w:val="688FF77D"/>
    <w:rsid w:val="689F79E1"/>
    <w:rsid w:val="68ABE247"/>
    <w:rsid w:val="68B925C8"/>
    <w:rsid w:val="68BB04E9"/>
    <w:rsid w:val="68BD9401"/>
    <w:rsid w:val="68CF9657"/>
    <w:rsid w:val="68D11432"/>
    <w:rsid w:val="68D6C2D9"/>
    <w:rsid w:val="69046DFE"/>
    <w:rsid w:val="6906FBA4"/>
    <w:rsid w:val="69132BA1"/>
    <w:rsid w:val="69304330"/>
    <w:rsid w:val="6934E12B"/>
    <w:rsid w:val="69391205"/>
    <w:rsid w:val="6952ABFB"/>
    <w:rsid w:val="69929599"/>
    <w:rsid w:val="69A3E42F"/>
    <w:rsid w:val="69A97ABF"/>
    <w:rsid w:val="69BEBC47"/>
    <w:rsid w:val="69BF13EE"/>
    <w:rsid w:val="69C4A046"/>
    <w:rsid w:val="69DBD61A"/>
    <w:rsid w:val="69DD17A9"/>
    <w:rsid w:val="69E1E924"/>
    <w:rsid w:val="69EF8365"/>
    <w:rsid w:val="6A0285D8"/>
    <w:rsid w:val="6A07D266"/>
    <w:rsid w:val="6A097ACF"/>
    <w:rsid w:val="6A0D6E58"/>
    <w:rsid w:val="6A0F9544"/>
    <w:rsid w:val="6A1129A0"/>
    <w:rsid w:val="6A3C605F"/>
    <w:rsid w:val="6A4691B6"/>
    <w:rsid w:val="6A5F2181"/>
    <w:rsid w:val="6A701281"/>
    <w:rsid w:val="6A744C1C"/>
    <w:rsid w:val="6A786A29"/>
    <w:rsid w:val="6A8078EB"/>
    <w:rsid w:val="6A898593"/>
    <w:rsid w:val="6A9EE318"/>
    <w:rsid w:val="6AAA45CC"/>
    <w:rsid w:val="6AB4F4EA"/>
    <w:rsid w:val="6AB51779"/>
    <w:rsid w:val="6AB57DFB"/>
    <w:rsid w:val="6ABEDCA6"/>
    <w:rsid w:val="6AC9EA4E"/>
    <w:rsid w:val="6ACC850E"/>
    <w:rsid w:val="6AD54E4D"/>
    <w:rsid w:val="6ADC92FD"/>
    <w:rsid w:val="6ADC97F9"/>
    <w:rsid w:val="6AE3B1FC"/>
    <w:rsid w:val="6AE42D99"/>
    <w:rsid w:val="6B067C8F"/>
    <w:rsid w:val="6B28D99B"/>
    <w:rsid w:val="6B39C1FF"/>
    <w:rsid w:val="6B3D1106"/>
    <w:rsid w:val="6B67AD55"/>
    <w:rsid w:val="6B6B8B1A"/>
    <w:rsid w:val="6B73FCC5"/>
    <w:rsid w:val="6B764570"/>
    <w:rsid w:val="6B795055"/>
    <w:rsid w:val="6B984E0E"/>
    <w:rsid w:val="6B9A29B1"/>
    <w:rsid w:val="6B9FFB7D"/>
    <w:rsid w:val="6BA4E861"/>
    <w:rsid w:val="6BA7DF68"/>
    <w:rsid w:val="6BAC9EA8"/>
    <w:rsid w:val="6BB94D32"/>
    <w:rsid w:val="6BC7C42E"/>
    <w:rsid w:val="6BD9D481"/>
    <w:rsid w:val="6BE8323C"/>
    <w:rsid w:val="6BEBEB25"/>
    <w:rsid w:val="6C05DD39"/>
    <w:rsid w:val="6C083850"/>
    <w:rsid w:val="6C0994AC"/>
    <w:rsid w:val="6C0CAD38"/>
    <w:rsid w:val="6C15925C"/>
    <w:rsid w:val="6C20E521"/>
    <w:rsid w:val="6C25B448"/>
    <w:rsid w:val="6C322AA8"/>
    <w:rsid w:val="6C374906"/>
    <w:rsid w:val="6C3F4D72"/>
    <w:rsid w:val="6C50B1BA"/>
    <w:rsid w:val="6C556009"/>
    <w:rsid w:val="6CA5F754"/>
    <w:rsid w:val="6CACF6A4"/>
    <w:rsid w:val="6CB35BDE"/>
    <w:rsid w:val="6CCCF790"/>
    <w:rsid w:val="6CDCAA49"/>
    <w:rsid w:val="6CEB6DCB"/>
    <w:rsid w:val="6CFACD5A"/>
    <w:rsid w:val="6D06ABCB"/>
    <w:rsid w:val="6D0CBC76"/>
    <w:rsid w:val="6D0DF03F"/>
    <w:rsid w:val="6D13042B"/>
    <w:rsid w:val="6D14E84F"/>
    <w:rsid w:val="6D179601"/>
    <w:rsid w:val="6D1AC957"/>
    <w:rsid w:val="6D1DD762"/>
    <w:rsid w:val="6D1E6D72"/>
    <w:rsid w:val="6D218820"/>
    <w:rsid w:val="6D4FB36F"/>
    <w:rsid w:val="6D5BA3BC"/>
    <w:rsid w:val="6D6648A7"/>
    <w:rsid w:val="6D679F43"/>
    <w:rsid w:val="6D6A8F08"/>
    <w:rsid w:val="6D71DAEE"/>
    <w:rsid w:val="6D788C1D"/>
    <w:rsid w:val="6D7E0BD5"/>
    <w:rsid w:val="6D8937B0"/>
    <w:rsid w:val="6D9DC2FE"/>
    <w:rsid w:val="6D9E8AE9"/>
    <w:rsid w:val="6D9F140E"/>
    <w:rsid w:val="6DA8D610"/>
    <w:rsid w:val="6DAEB866"/>
    <w:rsid w:val="6DB01A25"/>
    <w:rsid w:val="6DB69D80"/>
    <w:rsid w:val="6DC5C7D4"/>
    <w:rsid w:val="6DC7D774"/>
    <w:rsid w:val="6DCB4B6F"/>
    <w:rsid w:val="6DCC6EF0"/>
    <w:rsid w:val="6DD049EA"/>
    <w:rsid w:val="6DD1BF01"/>
    <w:rsid w:val="6DD9B6FF"/>
    <w:rsid w:val="6DDA1FFE"/>
    <w:rsid w:val="6DDED821"/>
    <w:rsid w:val="6DF979D6"/>
    <w:rsid w:val="6E0671BB"/>
    <w:rsid w:val="6E06A869"/>
    <w:rsid w:val="6E078ED7"/>
    <w:rsid w:val="6E09F9DE"/>
    <w:rsid w:val="6E0A6B4D"/>
    <w:rsid w:val="6E2AFBB0"/>
    <w:rsid w:val="6E77F93C"/>
    <w:rsid w:val="6E7D22BD"/>
    <w:rsid w:val="6E7DE732"/>
    <w:rsid w:val="6E886145"/>
    <w:rsid w:val="6E8A3098"/>
    <w:rsid w:val="6EA078F6"/>
    <w:rsid w:val="6EA1A9EF"/>
    <w:rsid w:val="6EA79860"/>
    <w:rsid w:val="6EB914B4"/>
    <w:rsid w:val="6EB9AF68"/>
    <w:rsid w:val="6ED9B8AA"/>
    <w:rsid w:val="6EDB79DB"/>
    <w:rsid w:val="6EE202A9"/>
    <w:rsid w:val="6EE8CCF0"/>
    <w:rsid w:val="6EF1D5AF"/>
    <w:rsid w:val="6F031FEA"/>
    <w:rsid w:val="6F0C6EA4"/>
    <w:rsid w:val="6F11B6A3"/>
    <w:rsid w:val="6F39DFD1"/>
    <w:rsid w:val="6F59273C"/>
    <w:rsid w:val="6F8885CA"/>
    <w:rsid w:val="6F944085"/>
    <w:rsid w:val="6FB66F73"/>
    <w:rsid w:val="6FB73F70"/>
    <w:rsid w:val="6FC5EBBE"/>
    <w:rsid w:val="6FC86E9A"/>
    <w:rsid w:val="6FCA21CA"/>
    <w:rsid w:val="6FCE7F09"/>
    <w:rsid w:val="6FE2677C"/>
    <w:rsid w:val="6FFE157D"/>
    <w:rsid w:val="7025E80A"/>
    <w:rsid w:val="70438485"/>
    <w:rsid w:val="7044D14E"/>
    <w:rsid w:val="70606636"/>
    <w:rsid w:val="7062292D"/>
    <w:rsid w:val="706E2A22"/>
    <w:rsid w:val="707B6D1D"/>
    <w:rsid w:val="7082ACB4"/>
    <w:rsid w:val="7085C31F"/>
    <w:rsid w:val="709EE576"/>
    <w:rsid w:val="70A38D71"/>
    <w:rsid w:val="70A3EFFA"/>
    <w:rsid w:val="70AB1C08"/>
    <w:rsid w:val="70B39D16"/>
    <w:rsid w:val="70C400E0"/>
    <w:rsid w:val="70CF6DA3"/>
    <w:rsid w:val="70D73055"/>
    <w:rsid w:val="70D9A578"/>
    <w:rsid w:val="70E38C79"/>
    <w:rsid w:val="70E5229E"/>
    <w:rsid w:val="7104057B"/>
    <w:rsid w:val="711DECE5"/>
    <w:rsid w:val="712FE114"/>
    <w:rsid w:val="71317205"/>
    <w:rsid w:val="713B37B6"/>
    <w:rsid w:val="71472288"/>
    <w:rsid w:val="714AFC71"/>
    <w:rsid w:val="714C7D44"/>
    <w:rsid w:val="715A9B5B"/>
    <w:rsid w:val="715C6098"/>
    <w:rsid w:val="715E373C"/>
    <w:rsid w:val="7162308B"/>
    <w:rsid w:val="71710B24"/>
    <w:rsid w:val="71743F98"/>
    <w:rsid w:val="717963C2"/>
    <w:rsid w:val="71827DAC"/>
    <w:rsid w:val="71840B1B"/>
    <w:rsid w:val="7186EB9C"/>
    <w:rsid w:val="71A1D0CD"/>
    <w:rsid w:val="71A8B770"/>
    <w:rsid w:val="71AC1C0E"/>
    <w:rsid w:val="71CBE150"/>
    <w:rsid w:val="71D26ADC"/>
    <w:rsid w:val="71D550FE"/>
    <w:rsid w:val="7209B6D0"/>
    <w:rsid w:val="720A9A73"/>
    <w:rsid w:val="720BD3F9"/>
    <w:rsid w:val="7214386E"/>
    <w:rsid w:val="721C320D"/>
    <w:rsid w:val="721E2118"/>
    <w:rsid w:val="72212658"/>
    <w:rsid w:val="722999D9"/>
    <w:rsid w:val="722B5EC5"/>
    <w:rsid w:val="7231A160"/>
    <w:rsid w:val="72360378"/>
    <w:rsid w:val="72386928"/>
    <w:rsid w:val="723E830A"/>
    <w:rsid w:val="723FC5E2"/>
    <w:rsid w:val="72420AED"/>
    <w:rsid w:val="724B377F"/>
    <w:rsid w:val="72686C14"/>
    <w:rsid w:val="7270CEE4"/>
    <w:rsid w:val="729509CC"/>
    <w:rsid w:val="729594CA"/>
    <w:rsid w:val="729F07B9"/>
    <w:rsid w:val="72A177CE"/>
    <w:rsid w:val="72A8E510"/>
    <w:rsid w:val="72BB4A87"/>
    <w:rsid w:val="72BB7696"/>
    <w:rsid w:val="72C558F6"/>
    <w:rsid w:val="72CE7A7B"/>
    <w:rsid w:val="72DAE04C"/>
    <w:rsid w:val="72F26A62"/>
    <w:rsid w:val="72FF1CE7"/>
    <w:rsid w:val="7304675B"/>
    <w:rsid w:val="7340ED63"/>
    <w:rsid w:val="73438435"/>
    <w:rsid w:val="734F1B35"/>
    <w:rsid w:val="735A6192"/>
    <w:rsid w:val="737BFFDE"/>
    <w:rsid w:val="737D579D"/>
    <w:rsid w:val="738299D5"/>
    <w:rsid w:val="738B3458"/>
    <w:rsid w:val="738FE318"/>
    <w:rsid w:val="739CEA38"/>
    <w:rsid w:val="73B31CAD"/>
    <w:rsid w:val="73B87722"/>
    <w:rsid w:val="73BD7F57"/>
    <w:rsid w:val="73C8056E"/>
    <w:rsid w:val="73E072D2"/>
    <w:rsid w:val="73F41B06"/>
    <w:rsid w:val="73F4938F"/>
    <w:rsid w:val="73F6CD28"/>
    <w:rsid w:val="7412151F"/>
    <w:rsid w:val="7425F8E8"/>
    <w:rsid w:val="7426CF68"/>
    <w:rsid w:val="7430328D"/>
    <w:rsid w:val="74309D71"/>
    <w:rsid w:val="743F11C5"/>
    <w:rsid w:val="744B0161"/>
    <w:rsid w:val="7459C88F"/>
    <w:rsid w:val="745C7196"/>
    <w:rsid w:val="749290BB"/>
    <w:rsid w:val="74959AD1"/>
    <w:rsid w:val="74ABD4CE"/>
    <w:rsid w:val="74B42DE2"/>
    <w:rsid w:val="74B8787F"/>
    <w:rsid w:val="74BFCC18"/>
    <w:rsid w:val="74CA6F25"/>
    <w:rsid w:val="74CC5DE0"/>
    <w:rsid w:val="7502BFCF"/>
    <w:rsid w:val="7509122C"/>
    <w:rsid w:val="7513EAA3"/>
    <w:rsid w:val="7542E783"/>
    <w:rsid w:val="755125B7"/>
    <w:rsid w:val="7553EE77"/>
    <w:rsid w:val="755660D3"/>
    <w:rsid w:val="756EBDCE"/>
    <w:rsid w:val="757B1C70"/>
    <w:rsid w:val="757D0D82"/>
    <w:rsid w:val="757F1E77"/>
    <w:rsid w:val="759AC256"/>
    <w:rsid w:val="75A7F803"/>
    <w:rsid w:val="75B6B527"/>
    <w:rsid w:val="75B9F042"/>
    <w:rsid w:val="75BEAD55"/>
    <w:rsid w:val="75C2A6EE"/>
    <w:rsid w:val="75CD9C81"/>
    <w:rsid w:val="75DFF50A"/>
    <w:rsid w:val="75FD43F0"/>
    <w:rsid w:val="760B256D"/>
    <w:rsid w:val="762647A7"/>
    <w:rsid w:val="762D7A15"/>
    <w:rsid w:val="76395200"/>
    <w:rsid w:val="764E9287"/>
    <w:rsid w:val="764F43EA"/>
    <w:rsid w:val="7653D705"/>
    <w:rsid w:val="7665DC20"/>
    <w:rsid w:val="7669FFFA"/>
    <w:rsid w:val="76731DC6"/>
    <w:rsid w:val="76796D04"/>
    <w:rsid w:val="769E9B00"/>
    <w:rsid w:val="76A14AD5"/>
    <w:rsid w:val="76A92EF9"/>
    <w:rsid w:val="76B4BF59"/>
    <w:rsid w:val="76B84DFD"/>
    <w:rsid w:val="76CFD4EE"/>
    <w:rsid w:val="76CFEA1E"/>
    <w:rsid w:val="76FD5234"/>
    <w:rsid w:val="770C90F6"/>
    <w:rsid w:val="773415D9"/>
    <w:rsid w:val="773B785F"/>
    <w:rsid w:val="7745807C"/>
    <w:rsid w:val="7753654F"/>
    <w:rsid w:val="7754687C"/>
    <w:rsid w:val="775E2EF9"/>
    <w:rsid w:val="7766143A"/>
    <w:rsid w:val="7775168D"/>
    <w:rsid w:val="7777C9ED"/>
    <w:rsid w:val="77827D82"/>
    <w:rsid w:val="7784A378"/>
    <w:rsid w:val="778E8F3C"/>
    <w:rsid w:val="77931CA3"/>
    <w:rsid w:val="77998D42"/>
    <w:rsid w:val="779F12A0"/>
    <w:rsid w:val="77A027F7"/>
    <w:rsid w:val="77A35568"/>
    <w:rsid w:val="77BD8B53"/>
    <w:rsid w:val="77CE7649"/>
    <w:rsid w:val="77DDC1A8"/>
    <w:rsid w:val="77E19FB5"/>
    <w:rsid w:val="77F9EC08"/>
    <w:rsid w:val="77FF1D75"/>
    <w:rsid w:val="7814C38A"/>
    <w:rsid w:val="7818FD93"/>
    <w:rsid w:val="78243C79"/>
    <w:rsid w:val="783B975F"/>
    <w:rsid w:val="78557931"/>
    <w:rsid w:val="7857394E"/>
    <w:rsid w:val="785FAD21"/>
    <w:rsid w:val="786FD65B"/>
    <w:rsid w:val="78763EAE"/>
    <w:rsid w:val="7886C7AE"/>
    <w:rsid w:val="78A04366"/>
    <w:rsid w:val="78A42DE4"/>
    <w:rsid w:val="78A7C625"/>
    <w:rsid w:val="78A940BE"/>
    <w:rsid w:val="78ACAACD"/>
    <w:rsid w:val="78AFB4F0"/>
    <w:rsid w:val="78C514AA"/>
    <w:rsid w:val="78E497DC"/>
    <w:rsid w:val="78E7F5BA"/>
    <w:rsid w:val="78FB8E60"/>
    <w:rsid w:val="79057112"/>
    <w:rsid w:val="79059D4B"/>
    <w:rsid w:val="7925C83C"/>
    <w:rsid w:val="7925EB3B"/>
    <w:rsid w:val="79342FE4"/>
    <w:rsid w:val="794F306B"/>
    <w:rsid w:val="7951B86A"/>
    <w:rsid w:val="79576150"/>
    <w:rsid w:val="797AF49F"/>
    <w:rsid w:val="79ADA5CA"/>
    <w:rsid w:val="79D0787C"/>
    <w:rsid w:val="79E9EDA1"/>
    <w:rsid w:val="7A0B319A"/>
    <w:rsid w:val="7A0EA1E5"/>
    <w:rsid w:val="7A124418"/>
    <w:rsid w:val="7A13D670"/>
    <w:rsid w:val="7A2367F3"/>
    <w:rsid w:val="7A2A7806"/>
    <w:rsid w:val="7A2EE1B4"/>
    <w:rsid w:val="7A316F4D"/>
    <w:rsid w:val="7A39FA72"/>
    <w:rsid w:val="7A4AE283"/>
    <w:rsid w:val="7A4FA9E8"/>
    <w:rsid w:val="7A7E0D7B"/>
    <w:rsid w:val="7A84A2EE"/>
    <w:rsid w:val="7A8A18C8"/>
    <w:rsid w:val="7A970BC9"/>
    <w:rsid w:val="7A9C23A7"/>
    <w:rsid w:val="7AB5528B"/>
    <w:rsid w:val="7AD2A5B7"/>
    <w:rsid w:val="7AE554F1"/>
    <w:rsid w:val="7AED2E8F"/>
    <w:rsid w:val="7AFAD714"/>
    <w:rsid w:val="7AFD75E3"/>
    <w:rsid w:val="7B02BE06"/>
    <w:rsid w:val="7B031FDD"/>
    <w:rsid w:val="7B1C014A"/>
    <w:rsid w:val="7B21F65D"/>
    <w:rsid w:val="7B291F25"/>
    <w:rsid w:val="7B2F5B5D"/>
    <w:rsid w:val="7B391474"/>
    <w:rsid w:val="7B3A2383"/>
    <w:rsid w:val="7B49D3FF"/>
    <w:rsid w:val="7B587500"/>
    <w:rsid w:val="7B5A85A8"/>
    <w:rsid w:val="7B601E3E"/>
    <w:rsid w:val="7B62FDFD"/>
    <w:rsid w:val="7B63F236"/>
    <w:rsid w:val="7B7C383A"/>
    <w:rsid w:val="7B90EB25"/>
    <w:rsid w:val="7B9137DC"/>
    <w:rsid w:val="7B9C9A03"/>
    <w:rsid w:val="7BAA98BB"/>
    <w:rsid w:val="7BAD50BB"/>
    <w:rsid w:val="7BBD3A77"/>
    <w:rsid w:val="7BC5385C"/>
    <w:rsid w:val="7BC7188F"/>
    <w:rsid w:val="7BE02E00"/>
    <w:rsid w:val="7BEA0753"/>
    <w:rsid w:val="7BED0C9A"/>
    <w:rsid w:val="7BFF9D05"/>
    <w:rsid w:val="7C0171C6"/>
    <w:rsid w:val="7C097FCE"/>
    <w:rsid w:val="7C0C9D17"/>
    <w:rsid w:val="7C28E83F"/>
    <w:rsid w:val="7C2CD348"/>
    <w:rsid w:val="7C3CD8A9"/>
    <w:rsid w:val="7C45444F"/>
    <w:rsid w:val="7C512759"/>
    <w:rsid w:val="7C5D36E0"/>
    <w:rsid w:val="7C6104B4"/>
    <w:rsid w:val="7C6F9070"/>
    <w:rsid w:val="7C804EF7"/>
    <w:rsid w:val="7C8FF78B"/>
    <w:rsid w:val="7C927584"/>
    <w:rsid w:val="7C94BEF1"/>
    <w:rsid w:val="7C964501"/>
    <w:rsid w:val="7CA18CF7"/>
    <w:rsid w:val="7CA43343"/>
    <w:rsid w:val="7CA9592A"/>
    <w:rsid w:val="7CC05556"/>
    <w:rsid w:val="7CCBE2BF"/>
    <w:rsid w:val="7CD7117A"/>
    <w:rsid w:val="7CE94CBE"/>
    <w:rsid w:val="7CEF7CCE"/>
    <w:rsid w:val="7CFB2CFA"/>
    <w:rsid w:val="7D19402E"/>
    <w:rsid w:val="7D30C1A9"/>
    <w:rsid w:val="7D34A432"/>
    <w:rsid w:val="7D3A4CCE"/>
    <w:rsid w:val="7D3EF36E"/>
    <w:rsid w:val="7D3F0A8D"/>
    <w:rsid w:val="7D48B4A3"/>
    <w:rsid w:val="7D5889B9"/>
    <w:rsid w:val="7D5D3E1C"/>
    <w:rsid w:val="7D6385F4"/>
    <w:rsid w:val="7D6D3EF4"/>
    <w:rsid w:val="7D8716A5"/>
    <w:rsid w:val="7DD2FFDD"/>
    <w:rsid w:val="7DDE5D91"/>
    <w:rsid w:val="7DDE95CC"/>
    <w:rsid w:val="7DE3A051"/>
    <w:rsid w:val="7DEA88B4"/>
    <w:rsid w:val="7DEBCECE"/>
    <w:rsid w:val="7DEECC83"/>
    <w:rsid w:val="7E01A9E4"/>
    <w:rsid w:val="7E020F46"/>
    <w:rsid w:val="7E07BFF5"/>
    <w:rsid w:val="7E090BF7"/>
    <w:rsid w:val="7E09CA3B"/>
    <w:rsid w:val="7E1CA8CF"/>
    <w:rsid w:val="7E1E4978"/>
    <w:rsid w:val="7E2EE23A"/>
    <w:rsid w:val="7E3A932B"/>
    <w:rsid w:val="7E41B147"/>
    <w:rsid w:val="7E43F717"/>
    <w:rsid w:val="7E44DFDE"/>
    <w:rsid w:val="7E47CDDD"/>
    <w:rsid w:val="7E510726"/>
    <w:rsid w:val="7E53667D"/>
    <w:rsid w:val="7E64A8F5"/>
    <w:rsid w:val="7E64EC34"/>
    <w:rsid w:val="7E6951CE"/>
    <w:rsid w:val="7E769CD1"/>
    <w:rsid w:val="7E986BFF"/>
    <w:rsid w:val="7EB1FCC3"/>
    <w:rsid w:val="7EC2558A"/>
    <w:rsid w:val="7EC841BB"/>
    <w:rsid w:val="7ED0C3F2"/>
    <w:rsid w:val="7ED68CBB"/>
    <w:rsid w:val="7EDAE49E"/>
    <w:rsid w:val="7EE42E77"/>
    <w:rsid w:val="7EEA70FF"/>
    <w:rsid w:val="7EEBEB38"/>
    <w:rsid w:val="7EFB657E"/>
    <w:rsid w:val="7F03E1C0"/>
    <w:rsid w:val="7F14E212"/>
    <w:rsid w:val="7F15B362"/>
    <w:rsid w:val="7F1C05FC"/>
    <w:rsid w:val="7F38A9CB"/>
    <w:rsid w:val="7F45A855"/>
    <w:rsid w:val="7F4758E4"/>
    <w:rsid w:val="7F52420A"/>
    <w:rsid w:val="7F607CE5"/>
    <w:rsid w:val="7F690E2A"/>
    <w:rsid w:val="7F8BA6DD"/>
    <w:rsid w:val="7F90B8D3"/>
    <w:rsid w:val="7F91AE71"/>
    <w:rsid w:val="7F984F76"/>
    <w:rsid w:val="7F9FD5DF"/>
    <w:rsid w:val="7FA0EE9A"/>
    <w:rsid w:val="7FA7873D"/>
    <w:rsid w:val="7FB15092"/>
    <w:rsid w:val="7FB776E1"/>
    <w:rsid w:val="7FBB9794"/>
    <w:rsid w:val="7FBDBA73"/>
    <w:rsid w:val="7FD09356"/>
    <w:rsid w:val="7FD0C035"/>
    <w:rsid w:val="7FE9AED0"/>
    <w:rsid w:val="7FF445B1"/>
    <w:rsid w:val="7FF4EC4D"/>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39057"/>
  <w15:chartTrackingRefBased/>
  <w15:docId w15:val="{D56E3F14-E792-4DC8-9F13-B1C8164CB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sz w:val="22"/>
        <w:szCs w:val="22"/>
        <w:lang w:val="pl-PL" w:eastAsia="en-US" w:bidi="ar-SA"/>
      </w:rPr>
    </w:rPrDefault>
    <w:pPrDefault>
      <w:pPr>
        <w:spacing w:before="120"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E080F"/>
    <w:pPr>
      <w:spacing w:line="276" w:lineRule="auto"/>
    </w:pPr>
    <w:rPr>
      <w:rFonts w:ascii="Tahoma" w:hAnsi="Tahoma"/>
      <w:sz w:val="24"/>
    </w:rPr>
  </w:style>
  <w:style w:type="paragraph" w:styleId="Nagwek1">
    <w:name w:val="heading 1"/>
    <w:basedOn w:val="Normalny"/>
    <w:next w:val="Normalny"/>
    <w:link w:val="Nagwek1Znak"/>
    <w:uiPriority w:val="9"/>
    <w:qFormat/>
    <w:rsid w:val="00BD1601"/>
    <w:pPr>
      <w:keepNext/>
      <w:keepLines/>
      <w:numPr>
        <w:numId w:val="1"/>
      </w:numPr>
      <w:spacing w:before="240" w:after="0"/>
      <w:outlineLvl w:val="0"/>
    </w:pPr>
    <w:rPr>
      <w:rFonts w:eastAsiaTheme="majorEastAsia" w:cstheme="majorBidi"/>
      <w:b/>
      <w:color w:val="FF0032"/>
      <w:sz w:val="32"/>
      <w:szCs w:val="32"/>
    </w:rPr>
  </w:style>
  <w:style w:type="paragraph" w:styleId="Nagwek2">
    <w:name w:val="heading 2"/>
    <w:basedOn w:val="Normalny"/>
    <w:next w:val="Normalny"/>
    <w:link w:val="Nagwek2Znak"/>
    <w:uiPriority w:val="9"/>
    <w:unhideWhenUsed/>
    <w:qFormat/>
    <w:rsid w:val="00FA377F"/>
    <w:pPr>
      <w:keepNext/>
      <w:keepLines/>
      <w:numPr>
        <w:ilvl w:val="1"/>
        <w:numId w:val="1"/>
      </w:numPr>
      <w:spacing w:before="360" w:after="360"/>
      <w:outlineLvl w:val="1"/>
    </w:pPr>
    <w:rPr>
      <w:rFonts w:eastAsiaTheme="majorEastAsia" w:cstheme="majorBidi"/>
      <w:b/>
      <w:color w:val="0B0E9D" w:themeColor="accent1" w:themeShade="BF"/>
      <w:sz w:val="26"/>
      <w:szCs w:val="26"/>
    </w:rPr>
  </w:style>
  <w:style w:type="paragraph" w:styleId="Nagwek3">
    <w:name w:val="heading 3"/>
    <w:basedOn w:val="Normalny"/>
    <w:next w:val="Normalny"/>
    <w:link w:val="Nagwek3Znak"/>
    <w:autoRedefine/>
    <w:uiPriority w:val="9"/>
    <w:unhideWhenUsed/>
    <w:qFormat/>
    <w:rsid w:val="00F35C2D"/>
    <w:pPr>
      <w:keepNext/>
      <w:keepLines/>
      <w:numPr>
        <w:ilvl w:val="2"/>
        <w:numId w:val="1"/>
      </w:numPr>
      <w:spacing w:before="240" w:after="0"/>
      <w:outlineLvl w:val="2"/>
    </w:pPr>
    <w:rPr>
      <w:rFonts w:eastAsiaTheme="majorEastAsia" w:cstheme="majorBidi"/>
      <w:b/>
      <w:color w:val="0B0E9D" w:themeColor="accent1" w:themeShade="BF"/>
      <w:szCs w:val="24"/>
    </w:rPr>
  </w:style>
  <w:style w:type="paragraph" w:styleId="Nagwek4">
    <w:name w:val="heading 4"/>
    <w:basedOn w:val="Normalny"/>
    <w:next w:val="Normalny"/>
    <w:link w:val="Nagwek4Znak"/>
    <w:uiPriority w:val="9"/>
    <w:unhideWhenUsed/>
    <w:qFormat/>
    <w:rsid w:val="00BD1601"/>
    <w:pPr>
      <w:keepNext/>
      <w:keepLines/>
      <w:numPr>
        <w:ilvl w:val="3"/>
        <w:numId w:val="1"/>
      </w:numPr>
      <w:spacing w:before="40" w:after="0"/>
      <w:outlineLvl w:val="3"/>
    </w:pPr>
    <w:rPr>
      <w:rFonts w:eastAsiaTheme="majorEastAsia" w:cstheme="majorBidi"/>
      <w:iCs/>
      <w:color w:val="0B0E9D" w:themeColor="accent1" w:themeShade="BF"/>
    </w:rPr>
  </w:style>
  <w:style w:type="paragraph" w:styleId="Nagwek5">
    <w:name w:val="heading 5"/>
    <w:basedOn w:val="Normalny"/>
    <w:next w:val="Normalny"/>
    <w:link w:val="Nagwek5Znak"/>
    <w:uiPriority w:val="9"/>
    <w:semiHidden/>
    <w:unhideWhenUsed/>
    <w:qFormat/>
    <w:rsid w:val="00BD1601"/>
    <w:pPr>
      <w:keepNext/>
      <w:keepLines/>
      <w:numPr>
        <w:ilvl w:val="4"/>
        <w:numId w:val="1"/>
      </w:numPr>
      <w:spacing w:before="40" w:after="0"/>
      <w:outlineLvl w:val="4"/>
    </w:pPr>
    <w:rPr>
      <w:rFonts w:eastAsiaTheme="majorEastAsia" w:cstheme="majorBidi"/>
      <w:color w:val="0B0E9D" w:themeColor="accent1" w:themeShade="BF"/>
    </w:rPr>
  </w:style>
  <w:style w:type="paragraph" w:styleId="Nagwek6">
    <w:name w:val="heading 6"/>
    <w:basedOn w:val="Normalny"/>
    <w:next w:val="Normalny"/>
    <w:link w:val="Nagwek6Znak"/>
    <w:uiPriority w:val="9"/>
    <w:semiHidden/>
    <w:unhideWhenUsed/>
    <w:qFormat/>
    <w:rsid w:val="00A40060"/>
    <w:pPr>
      <w:keepNext/>
      <w:keepLines/>
      <w:numPr>
        <w:ilvl w:val="5"/>
        <w:numId w:val="1"/>
      </w:numPr>
      <w:spacing w:before="40" w:after="0"/>
      <w:outlineLvl w:val="5"/>
    </w:pPr>
    <w:rPr>
      <w:rFonts w:asciiTheme="majorHAnsi" w:eastAsiaTheme="majorEastAsia" w:hAnsiTheme="majorHAnsi" w:cstheme="majorBidi"/>
      <w:color w:val="070968" w:themeColor="accent1" w:themeShade="7F"/>
    </w:rPr>
  </w:style>
  <w:style w:type="paragraph" w:styleId="Nagwek7">
    <w:name w:val="heading 7"/>
    <w:basedOn w:val="Normalny"/>
    <w:next w:val="Normalny"/>
    <w:link w:val="Nagwek7Znak"/>
    <w:uiPriority w:val="9"/>
    <w:semiHidden/>
    <w:unhideWhenUsed/>
    <w:qFormat/>
    <w:rsid w:val="00A40060"/>
    <w:pPr>
      <w:keepNext/>
      <w:keepLines/>
      <w:numPr>
        <w:ilvl w:val="6"/>
        <w:numId w:val="1"/>
      </w:numPr>
      <w:spacing w:before="40" w:after="0"/>
      <w:outlineLvl w:val="6"/>
    </w:pPr>
    <w:rPr>
      <w:rFonts w:asciiTheme="majorHAnsi" w:eastAsiaTheme="majorEastAsia" w:hAnsiTheme="majorHAnsi" w:cstheme="majorBidi"/>
      <w:i/>
      <w:iCs/>
      <w:color w:val="070968" w:themeColor="accent1" w:themeShade="7F"/>
    </w:rPr>
  </w:style>
  <w:style w:type="paragraph" w:styleId="Nagwek8">
    <w:name w:val="heading 8"/>
    <w:basedOn w:val="Normalny"/>
    <w:next w:val="Normalny"/>
    <w:link w:val="Nagwek8Znak"/>
    <w:uiPriority w:val="9"/>
    <w:semiHidden/>
    <w:unhideWhenUsed/>
    <w:qFormat/>
    <w:rsid w:val="00A40060"/>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40060"/>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ormaltextrun">
    <w:name w:val="normaltextrun"/>
    <w:basedOn w:val="Domylnaczcionkaakapitu"/>
    <w:rsid w:val="00AC3D3B"/>
  </w:style>
  <w:style w:type="character" w:customStyle="1" w:styleId="eop">
    <w:name w:val="eop"/>
    <w:basedOn w:val="Domylnaczcionkaakapitu"/>
    <w:rsid w:val="00AC3D3B"/>
  </w:style>
  <w:style w:type="paragraph" w:styleId="Akapitzlist">
    <w:name w:val="List Paragraph"/>
    <w:aliases w:val="maz_wyliczenie,opis dzialania,K-P_odwolanie,A_wyliczenie,Akapit z listą5CxSpLast,Akapit z listą5,Numerowanie,Tekst punktowanie,BulletC,Akapit z listą 1,Table of contents numbered,sw tekst,EPL lista punktowana z wyrózneniem"/>
    <w:basedOn w:val="Normalny"/>
    <w:link w:val="AkapitzlistZnak"/>
    <w:uiPriority w:val="34"/>
    <w:qFormat/>
    <w:rsid w:val="00AC3D3B"/>
    <w:pPr>
      <w:ind w:left="720"/>
      <w:contextualSpacing/>
    </w:pPr>
  </w:style>
  <w:style w:type="paragraph" w:customStyle="1" w:styleId="paragraph">
    <w:name w:val="paragraph"/>
    <w:basedOn w:val="Normalny"/>
    <w:link w:val="paragraphZnak"/>
    <w:rsid w:val="00AC3D3B"/>
    <w:pPr>
      <w:spacing w:before="100" w:beforeAutospacing="1" w:after="100" w:afterAutospacing="1"/>
    </w:pPr>
    <w:rPr>
      <w:rFonts w:ascii="Times New Roman" w:eastAsia="Times New Roman" w:hAnsi="Times New Roman" w:cs="Times New Roman"/>
      <w:szCs w:val="24"/>
      <w:lang w:eastAsia="pl-PL"/>
    </w:rPr>
  </w:style>
  <w:style w:type="paragraph" w:customStyle="1" w:styleId="Default">
    <w:name w:val="Default"/>
    <w:link w:val="DefaultZnak"/>
    <w:qFormat/>
    <w:rsid w:val="00BD1601"/>
    <w:pPr>
      <w:autoSpaceDE w:val="0"/>
      <w:autoSpaceDN w:val="0"/>
      <w:adjustRightInd w:val="0"/>
      <w:spacing w:line="276" w:lineRule="auto"/>
    </w:pPr>
    <w:rPr>
      <w:rFonts w:ascii="Tahoma" w:hAnsi="Tahoma"/>
      <w:color w:val="000000"/>
      <w:sz w:val="24"/>
      <w:szCs w:val="24"/>
    </w:rPr>
  </w:style>
  <w:style w:type="character" w:customStyle="1" w:styleId="Nagwek1Znak">
    <w:name w:val="Nagłówek 1 Znak"/>
    <w:basedOn w:val="Domylnaczcionkaakapitu"/>
    <w:link w:val="Nagwek1"/>
    <w:uiPriority w:val="9"/>
    <w:rsid w:val="00BD1601"/>
    <w:rPr>
      <w:rFonts w:ascii="Tahoma" w:eastAsiaTheme="majorEastAsia" w:hAnsi="Tahoma" w:cstheme="majorBidi"/>
      <w:b/>
      <w:color w:val="FF0032"/>
      <w:sz w:val="32"/>
      <w:szCs w:val="32"/>
    </w:rPr>
  </w:style>
  <w:style w:type="character" w:styleId="Odwoaniedokomentarza">
    <w:name w:val="annotation reference"/>
    <w:basedOn w:val="Domylnaczcionkaakapitu"/>
    <w:uiPriority w:val="99"/>
    <w:semiHidden/>
    <w:unhideWhenUsed/>
    <w:rsid w:val="0038341A"/>
    <w:rPr>
      <w:sz w:val="16"/>
      <w:szCs w:val="16"/>
    </w:rPr>
  </w:style>
  <w:style w:type="paragraph" w:styleId="Tekstkomentarza">
    <w:name w:val="annotation text"/>
    <w:basedOn w:val="Normalny"/>
    <w:link w:val="TekstkomentarzaZnak"/>
    <w:uiPriority w:val="99"/>
    <w:unhideWhenUsed/>
    <w:rsid w:val="0038341A"/>
    <w:rPr>
      <w:sz w:val="20"/>
      <w:szCs w:val="20"/>
    </w:rPr>
  </w:style>
  <w:style w:type="character" w:customStyle="1" w:styleId="TekstkomentarzaZnak">
    <w:name w:val="Tekst komentarza Znak"/>
    <w:basedOn w:val="Domylnaczcionkaakapitu"/>
    <w:link w:val="Tekstkomentarza"/>
    <w:uiPriority w:val="99"/>
    <w:rsid w:val="0038341A"/>
    <w:rPr>
      <w:sz w:val="20"/>
      <w:szCs w:val="20"/>
    </w:rPr>
  </w:style>
  <w:style w:type="paragraph" w:styleId="Tematkomentarza">
    <w:name w:val="annotation subject"/>
    <w:basedOn w:val="Tekstkomentarza"/>
    <w:next w:val="Tekstkomentarza"/>
    <w:link w:val="TematkomentarzaZnak"/>
    <w:uiPriority w:val="99"/>
    <w:semiHidden/>
    <w:unhideWhenUsed/>
    <w:rsid w:val="0038341A"/>
    <w:rPr>
      <w:b/>
      <w:bCs/>
    </w:rPr>
  </w:style>
  <w:style w:type="character" w:customStyle="1" w:styleId="TematkomentarzaZnak">
    <w:name w:val="Temat komentarza Znak"/>
    <w:basedOn w:val="TekstkomentarzaZnak"/>
    <w:link w:val="Tematkomentarza"/>
    <w:uiPriority w:val="99"/>
    <w:semiHidden/>
    <w:rsid w:val="0038341A"/>
    <w:rPr>
      <w:b/>
      <w:bCs/>
      <w:sz w:val="20"/>
      <w:szCs w:val="20"/>
    </w:rPr>
  </w:style>
  <w:style w:type="character" w:customStyle="1" w:styleId="Nagwek2Znak">
    <w:name w:val="Nagłówek 2 Znak"/>
    <w:basedOn w:val="Domylnaczcionkaakapitu"/>
    <w:link w:val="Nagwek2"/>
    <w:uiPriority w:val="9"/>
    <w:rsid w:val="0007100C"/>
    <w:rPr>
      <w:rFonts w:asciiTheme="minorHAnsi" w:eastAsiaTheme="majorEastAsia" w:hAnsiTheme="minorHAnsi" w:cstheme="majorBidi"/>
      <w:b/>
      <w:color w:val="0B0E9D" w:themeColor="accent1" w:themeShade="BF"/>
      <w:sz w:val="26"/>
      <w:szCs w:val="26"/>
    </w:rPr>
  </w:style>
  <w:style w:type="character" w:customStyle="1" w:styleId="Nagwek3Znak">
    <w:name w:val="Nagłówek 3 Znak"/>
    <w:basedOn w:val="Domylnaczcionkaakapitu"/>
    <w:link w:val="Nagwek3"/>
    <w:uiPriority w:val="9"/>
    <w:rsid w:val="00BD1601"/>
    <w:rPr>
      <w:rFonts w:ascii="Tahoma" w:eastAsiaTheme="majorEastAsia" w:hAnsi="Tahoma" w:cstheme="majorBidi"/>
      <w:b/>
      <w:color w:val="0B0E9D" w:themeColor="accent1" w:themeShade="BF"/>
      <w:sz w:val="24"/>
      <w:szCs w:val="24"/>
    </w:rPr>
  </w:style>
  <w:style w:type="paragraph" w:styleId="Tekstprzypisudolnego">
    <w:name w:val="footnote text"/>
    <w:aliases w:val="Podrozdział,Footnote,Podrozdzia3,Tekst przypisu Znak Znak Znak Znak,Tekst przypisu Znak Znak Znak Znak Znak,Tekst przypisu Znak Znak Znak Znak Znak Znak Znak,Tekst przypisu Znak Znak Znak Znak Znak Znak Znak Znak Zn,fn,single spac"/>
    <w:basedOn w:val="Normalny"/>
    <w:link w:val="TekstprzypisudolnegoZnak"/>
    <w:autoRedefine/>
    <w:uiPriority w:val="99"/>
    <w:unhideWhenUsed/>
    <w:qFormat/>
    <w:rsid w:val="00A2453F"/>
    <w:pPr>
      <w:spacing w:before="0" w:after="0" w:line="240" w:lineRule="auto"/>
    </w:pPr>
    <w:rPr>
      <w:sz w:val="22"/>
      <w:szCs w:val="20"/>
    </w:rPr>
  </w:style>
  <w:style w:type="character" w:customStyle="1" w:styleId="TekstprzypisudolnegoZnak">
    <w:name w:val="Tekst przypisu dolnego Znak"/>
    <w:aliases w:val="Podrozdział Znak,Footnote Znak,Podrozdzia3 Znak,Tekst przypisu Znak Znak Znak Znak Znak1,Tekst przypisu Znak Znak Znak Znak Znak Znak,Tekst przypisu Znak Znak Znak Znak Znak Znak Znak Znak,fn Znak,single spac Znak"/>
    <w:basedOn w:val="Domylnaczcionkaakapitu"/>
    <w:link w:val="Tekstprzypisudolnego"/>
    <w:uiPriority w:val="99"/>
    <w:qFormat/>
    <w:rsid w:val="00A2453F"/>
    <w:rPr>
      <w:rFonts w:ascii="Tahoma" w:hAnsi="Tahoma"/>
      <w:szCs w:val="20"/>
    </w:rPr>
  </w:style>
  <w:style w:type="character" w:styleId="Odwoanieprzypisudolnego">
    <w:name w:val="footnote reference"/>
    <w:aliases w:val="Footnote Reference Number,Footnote Reference Superscript,Odwołanie przypisu,ftref, BVI fnr,BVI fnr,Footnote symbol,EN Footnote Reference,Times 10 Point,Exposant 3 Point,Footnote reference number,note TESI,stylish,SUPE,SUPERS,R"/>
    <w:basedOn w:val="Domylnaczcionkaakapitu"/>
    <w:link w:val="FootnotesymbolCarZchn"/>
    <w:uiPriority w:val="99"/>
    <w:unhideWhenUsed/>
    <w:qFormat/>
    <w:rsid w:val="00E84727"/>
    <w:rPr>
      <w:vertAlign w:val="superscript"/>
    </w:rPr>
  </w:style>
  <w:style w:type="character" w:customStyle="1" w:styleId="Nagwek4Znak">
    <w:name w:val="Nagłówek 4 Znak"/>
    <w:basedOn w:val="Domylnaczcionkaakapitu"/>
    <w:link w:val="Nagwek4"/>
    <w:uiPriority w:val="9"/>
    <w:rsid w:val="00BD1601"/>
    <w:rPr>
      <w:rFonts w:ascii="Tahoma" w:eastAsiaTheme="majorEastAsia" w:hAnsi="Tahoma" w:cstheme="majorBidi"/>
      <w:iCs/>
      <w:color w:val="0B0E9D" w:themeColor="accent1" w:themeShade="BF"/>
      <w:sz w:val="24"/>
    </w:rPr>
  </w:style>
  <w:style w:type="character" w:customStyle="1" w:styleId="Nagwek5Znak">
    <w:name w:val="Nagłówek 5 Znak"/>
    <w:basedOn w:val="Domylnaczcionkaakapitu"/>
    <w:link w:val="Nagwek5"/>
    <w:uiPriority w:val="9"/>
    <w:semiHidden/>
    <w:rsid w:val="00BD1601"/>
    <w:rPr>
      <w:rFonts w:ascii="Tahoma" w:eastAsiaTheme="majorEastAsia" w:hAnsi="Tahoma" w:cstheme="majorBidi"/>
      <w:color w:val="0B0E9D" w:themeColor="accent1" w:themeShade="BF"/>
      <w:sz w:val="24"/>
    </w:rPr>
  </w:style>
  <w:style w:type="character" w:customStyle="1" w:styleId="Nagwek6Znak">
    <w:name w:val="Nagłówek 6 Znak"/>
    <w:basedOn w:val="Domylnaczcionkaakapitu"/>
    <w:link w:val="Nagwek6"/>
    <w:uiPriority w:val="9"/>
    <w:semiHidden/>
    <w:rsid w:val="00A40060"/>
    <w:rPr>
      <w:rFonts w:asciiTheme="majorHAnsi" w:eastAsiaTheme="majorEastAsia" w:hAnsiTheme="majorHAnsi" w:cstheme="majorBidi"/>
      <w:color w:val="070968" w:themeColor="accent1" w:themeShade="7F"/>
    </w:rPr>
  </w:style>
  <w:style w:type="character" w:customStyle="1" w:styleId="Nagwek7Znak">
    <w:name w:val="Nagłówek 7 Znak"/>
    <w:basedOn w:val="Domylnaczcionkaakapitu"/>
    <w:link w:val="Nagwek7"/>
    <w:uiPriority w:val="9"/>
    <w:semiHidden/>
    <w:rsid w:val="00A40060"/>
    <w:rPr>
      <w:rFonts w:asciiTheme="majorHAnsi" w:eastAsiaTheme="majorEastAsia" w:hAnsiTheme="majorHAnsi" w:cstheme="majorBidi"/>
      <w:i/>
      <w:iCs/>
      <w:color w:val="070968" w:themeColor="accent1" w:themeShade="7F"/>
    </w:rPr>
  </w:style>
  <w:style w:type="character" w:customStyle="1" w:styleId="Nagwek8Znak">
    <w:name w:val="Nagłówek 8 Znak"/>
    <w:basedOn w:val="Domylnaczcionkaakapitu"/>
    <w:link w:val="Nagwek8"/>
    <w:uiPriority w:val="9"/>
    <w:semiHidden/>
    <w:rsid w:val="00A40060"/>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A40060"/>
    <w:rPr>
      <w:rFonts w:asciiTheme="majorHAnsi" w:eastAsiaTheme="majorEastAsia" w:hAnsiTheme="majorHAnsi" w:cstheme="majorBidi"/>
      <w:i/>
      <w:iCs/>
      <w:color w:val="272727" w:themeColor="text1" w:themeTint="D8"/>
      <w:sz w:val="21"/>
      <w:szCs w:val="21"/>
    </w:rPr>
  </w:style>
  <w:style w:type="paragraph" w:styleId="Nagwek">
    <w:name w:val="header"/>
    <w:basedOn w:val="Normalny"/>
    <w:link w:val="NagwekZnak"/>
    <w:uiPriority w:val="99"/>
    <w:unhideWhenUsed/>
    <w:rsid w:val="00DD2D20"/>
    <w:pPr>
      <w:tabs>
        <w:tab w:val="center" w:pos="4536"/>
        <w:tab w:val="right" w:pos="9072"/>
      </w:tabs>
      <w:spacing w:before="0" w:after="0"/>
    </w:pPr>
  </w:style>
  <w:style w:type="character" w:customStyle="1" w:styleId="NagwekZnak">
    <w:name w:val="Nagłówek Znak"/>
    <w:basedOn w:val="Domylnaczcionkaakapitu"/>
    <w:link w:val="Nagwek"/>
    <w:uiPriority w:val="99"/>
    <w:rsid w:val="00DD2D20"/>
  </w:style>
  <w:style w:type="paragraph" w:styleId="Stopka">
    <w:name w:val="footer"/>
    <w:basedOn w:val="Normalny"/>
    <w:link w:val="StopkaZnak"/>
    <w:uiPriority w:val="99"/>
    <w:unhideWhenUsed/>
    <w:rsid w:val="00DD2D20"/>
    <w:pPr>
      <w:tabs>
        <w:tab w:val="center" w:pos="4536"/>
        <w:tab w:val="right" w:pos="9072"/>
      </w:tabs>
      <w:spacing w:before="0" w:after="0"/>
    </w:pPr>
  </w:style>
  <w:style w:type="character" w:customStyle="1" w:styleId="StopkaZnak">
    <w:name w:val="Stopka Znak"/>
    <w:basedOn w:val="Domylnaczcionkaakapitu"/>
    <w:link w:val="Stopka"/>
    <w:uiPriority w:val="99"/>
    <w:rsid w:val="00DD2D20"/>
  </w:style>
  <w:style w:type="character" w:styleId="Hipercze">
    <w:name w:val="Hyperlink"/>
    <w:basedOn w:val="Domylnaczcionkaakapitu"/>
    <w:uiPriority w:val="99"/>
    <w:unhideWhenUsed/>
    <w:rsid w:val="00203AF2"/>
    <w:rPr>
      <w:color w:val="0563C1" w:themeColor="hyperlink"/>
      <w:u w:val="single"/>
    </w:rPr>
  </w:style>
  <w:style w:type="character" w:styleId="Nierozpoznanawzmianka">
    <w:name w:val="Unresolved Mention"/>
    <w:basedOn w:val="Domylnaczcionkaakapitu"/>
    <w:uiPriority w:val="99"/>
    <w:semiHidden/>
    <w:unhideWhenUsed/>
    <w:rsid w:val="00203AF2"/>
    <w:rPr>
      <w:color w:val="605E5C"/>
      <w:shd w:val="clear" w:color="auto" w:fill="E1DFDD"/>
    </w:rPr>
  </w:style>
  <w:style w:type="character" w:styleId="Pogrubienie">
    <w:name w:val="Strong"/>
    <w:basedOn w:val="Domylnaczcionkaakapitu"/>
    <w:uiPriority w:val="22"/>
    <w:qFormat/>
    <w:rsid w:val="00A2453F"/>
    <w:rPr>
      <w:rFonts w:ascii="Tahoma" w:hAnsi="Tahoma"/>
      <w:b/>
      <w:bCs/>
      <w:sz w:val="24"/>
    </w:rPr>
  </w:style>
  <w:style w:type="paragraph" w:styleId="Legenda">
    <w:name w:val="caption"/>
    <w:aliases w:val="Tytuł tabeli,Podpis rys,EPL Tytuł wykresu/tabeli,A_podpis_tab_rys,podpis_tabel,Legenda Znak Znak Znak,Legenda Znak Znak Znak Znak,Legenda Znak Znak Znak Znak Znak Znak,Legenda Znak Znak Znak Znak Znak Znak Znak,Legenda Znak Znak Z,Żródło"/>
    <w:basedOn w:val="Normalny"/>
    <w:next w:val="Normalny"/>
    <w:link w:val="LegendaZnak"/>
    <w:autoRedefine/>
    <w:uiPriority w:val="35"/>
    <w:unhideWhenUsed/>
    <w:qFormat/>
    <w:rsid w:val="00A2453F"/>
    <w:pPr>
      <w:keepNext/>
      <w:keepLines/>
      <w:spacing w:after="0"/>
    </w:pPr>
    <w:rPr>
      <w:rFonts w:cstheme="minorHAnsi"/>
      <w:b/>
      <w:iCs/>
      <w:color w:val="070969" w:themeColor="accent1" w:themeShade="80"/>
      <w:lang w:eastAsia="pl-PL"/>
    </w:rPr>
  </w:style>
  <w:style w:type="paragraph" w:customStyle="1" w:styleId="Rysunekpodpis">
    <w:name w:val="Rysunek podpis"/>
    <w:basedOn w:val="Legenda"/>
    <w:link w:val="RysunekpodpisZnak"/>
    <w:autoRedefine/>
    <w:qFormat/>
    <w:rsid w:val="00AD6F46"/>
  </w:style>
  <w:style w:type="character" w:customStyle="1" w:styleId="LegendaZnak">
    <w:name w:val="Legenda Znak"/>
    <w:aliases w:val="Tytuł tabeli Znak,Podpis rys Znak,EPL Tytuł wykresu/tabeli Znak,A_podpis_tab_rys Znak,podpis_tabel Znak,Legenda Znak Znak Znak Znak1,Legenda Znak Znak Znak Znak Znak,Legenda Znak Znak Znak Znak Znak Znak Znak1,Legenda Znak Znak Z Znak"/>
    <w:basedOn w:val="Domylnaczcionkaakapitu"/>
    <w:link w:val="Legenda"/>
    <w:uiPriority w:val="35"/>
    <w:qFormat/>
    <w:rsid w:val="00A2453F"/>
    <w:rPr>
      <w:rFonts w:ascii="Tahoma" w:hAnsi="Tahoma" w:cstheme="minorHAnsi"/>
      <w:b/>
      <w:iCs/>
      <w:color w:val="070969" w:themeColor="accent1" w:themeShade="80"/>
      <w:sz w:val="24"/>
      <w:lang w:eastAsia="pl-PL"/>
    </w:rPr>
  </w:style>
  <w:style w:type="character" w:customStyle="1" w:styleId="RysunekpodpisZnak">
    <w:name w:val="Rysunek podpis Znak"/>
    <w:basedOn w:val="LegendaZnak"/>
    <w:link w:val="Rysunekpodpis"/>
    <w:rsid w:val="00AD6F46"/>
    <w:rPr>
      <w:rFonts w:ascii="Tahoma" w:hAnsi="Tahoma" w:cstheme="minorHAnsi"/>
      <w:b/>
      <w:iCs/>
      <w:color w:val="070969" w:themeColor="accent1" w:themeShade="80"/>
      <w:sz w:val="24"/>
      <w:lang w:eastAsia="pl-PL"/>
    </w:rPr>
  </w:style>
  <w:style w:type="character" w:styleId="Odwoanieintensywne">
    <w:name w:val="Intense Reference"/>
    <w:basedOn w:val="Domylnaczcionkaakapitu"/>
    <w:uiPriority w:val="32"/>
    <w:qFormat/>
    <w:rsid w:val="00A2453F"/>
    <w:rPr>
      <w:rFonts w:ascii="Tahoma" w:hAnsi="Tahoma"/>
      <w:b/>
      <w:bCs/>
      <w:smallCaps/>
      <w:color w:val="0F14D2" w:themeColor="accent1"/>
      <w:spacing w:val="5"/>
      <w:sz w:val="24"/>
    </w:rPr>
  </w:style>
  <w:style w:type="paragraph" w:customStyle="1" w:styleId="rdo">
    <w:name w:val="Źródło"/>
    <w:basedOn w:val="paragraph"/>
    <w:link w:val="rdoZnak"/>
    <w:autoRedefine/>
    <w:qFormat/>
    <w:rsid w:val="005A2787"/>
    <w:pPr>
      <w:spacing w:before="0" w:beforeAutospacing="0" w:after="120" w:afterAutospacing="0"/>
      <w:textAlignment w:val="baseline"/>
    </w:pPr>
    <w:rPr>
      <w:rFonts w:ascii="Tahoma" w:hAnsi="Tahoma" w:cs="Segoe UI"/>
      <w:iCs/>
      <w:szCs w:val="22"/>
    </w:rPr>
  </w:style>
  <w:style w:type="character" w:customStyle="1" w:styleId="paragraphZnak">
    <w:name w:val="paragraph Znak"/>
    <w:basedOn w:val="Domylnaczcionkaakapitu"/>
    <w:link w:val="paragraph"/>
    <w:rsid w:val="00067463"/>
    <w:rPr>
      <w:rFonts w:ascii="Times New Roman" w:eastAsia="Times New Roman" w:hAnsi="Times New Roman" w:cs="Times New Roman"/>
      <w:sz w:val="24"/>
      <w:szCs w:val="24"/>
      <w:lang w:eastAsia="pl-PL"/>
    </w:rPr>
  </w:style>
  <w:style w:type="character" w:customStyle="1" w:styleId="rdoZnak">
    <w:name w:val="Źródło Znak"/>
    <w:basedOn w:val="paragraphZnak"/>
    <w:link w:val="rdo"/>
    <w:rsid w:val="005A2787"/>
    <w:rPr>
      <w:rFonts w:ascii="Tahoma" w:eastAsia="Times New Roman" w:hAnsi="Tahoma" w:cs="Segoe UI"/>
      <w:iCs/>
      <w:sz w:val="24"/>
      <w:szCs w:val="24"/>
      <w:lang w:eastAsia="pl-PL"/>
    </w:rPr>
  </w:style>
  <w:style w:type="character" w:customStyle="1" w:styleId="AkapitzlistZnak">
    <w:name w:val="Akapit z listą Znak"/>
    <w:aliases w:val="maz_wyliczenie Znak,opis dzialania Znak,K-P_odwolanie Znak,A_wyliczenie Znak,Akapit z listą5CxSpLast Znak,Akapit z listą5 Znak,Numerowanie Znak,Tekst punktowanie Znak,BulletC Znak,Akapit z listą 1 Znak,Table of contents numbered Znak"/>
    <w:basedOn w:val="Domylnaczcionkaakapitu"/>
    <w:link w:val="Akapitzlist"/>
    <w:uiPriority w:val="34"/>
    <w:qFormat/>
    <w:rsid w:val="00067463"/>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ny"/>
    <w:link w:val="Odwoanieprzypisudolnego"/>
    <w:uiPriority w:val="99"/>
    <w:qFormat/>
    <w:rsid w:val="00067463"/>
    <w:pPr>
      <w:spacing w:before="0" w:after="160" w:line="240" w:lineRule="exact"/>
      <w:jc w:val="both"/>
    </w:pPr>
    <w:rPr>
      <w:vertAlign w:val="superscript"/>
    </w:rPr>
  </w:style>
  <w:style w:type="character" w:customStyle="1" w:styleId="DefaultZnak">
    <w:name w:val="Default Znak"/>
    <w:link w:val="Default"/>
    <w:locked/>
    <w:rsid w:val="00BD1601"/>
    <w:rPr>
      <w:rFonts w:ascii="Tahoma" w:hAnsi="Tahoma"/>
      <w:color w:val="000000"/>
      <w:sz w:val="24"/>
      <w:szCs w:val="24"/>
    </w:rPr>
  </w:style>
  <w:style w:type="table" w:styleId="Tabela-Siatka">
    <w:name w:val="Table Grid"/>
    <w:aliases w:val="ECORYS Tabela"/>
    <w:basedOn w:val="Standardowy"/>
    <w:uiPriority w:val="39"/>
    <w:rsid w:val="00D00660"/>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Zwykatabela3">
    <w:name w:val="Plain Table 3"/>
    <w:basedOn w:val="Standardowy"/>
    <w:uiPriority w:val="43"/>
    <w:rsid w:val="00C078C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Siatkatabelijasna1">
    <w:name w:val="Siatka tabeli — jasna1"/>
    <w:basedOn w:val="Standardowy"/>
    <w:next w:val="Siatkatabelijasna"/>
    <w:uiPriority w:val="40"/>
    <w:rsid w:val="008171B8"/>
    <w:pPr>
      <w:spacing w:before="0" w:after="0" w:line="240" w:lineRule="auto"/>
    </w:pPr>
    <w:rPr>
      <w:kern w:val="2"/>
      <w:szCs w:val="24"/>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atkatabelijasna">
    <w:name w:val="Grid Table Light"/>
    <w:basedOn w:val="Standardowy"/>
    <w:uiPriority w:val="40"/>
    <w:rsid w:val="008171B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yteHipercze">
    <w:name w:val="FollowedHyperlink"/>
    <w:basedOn w:val="Domylnaczcionkaakapitu"/>
    <w:uiPriority w:val="99"/>
    <w:semiHidden/>
    <w:unhideWhenUsed/>
    <w:rsid w:val="000416A6"/>
    <w:rPr>
      <w:color w:val="954F72"/>
      <w:u w:val="single"/>
    </w:rPr>
  </w:style>
  <w:style w:type="paragraph" w:customStyle="1" w:styleId="msonormal0">
    <w:name w:val="msonormal"/>
    <w:basedOn w:val="Normalny"/>
    <w:rsid w:val="000416A6"/>
    <w:pPr>
      <w:spacing w:before="100" w:beforeAutospacing="1" w:after="100" w:afterAutospacing="1" w:line="240" w:lineRule="auto"/>
    </w:pPr>
    <w:rPr>
      <w:rFonts w:ascii="Times New Roman" w:eastAsia="Times New Roman" w:hAnsi="Times New Roman" w:cs="Times New Roman"/>
      <w:szCs w:val="24"/>
      <w:lang w:eastAsia="pl-PL"/>
    </w:rPr>
  </w:style>
  <w:style w:type="paragraph" w:customStyle="1" w:styleId="font5">
    <w:name w:val="font5"/>
    <w:basedOn w:val="Normalny"/>
    <w:rsid w:val="000416A6"/>
    <w:pPr>
      <w:spacing w:before="100" w:beforeAutospacing="1" w:after="100" w:afterAutospacing="1" w:line="240" w:lineRule="auto"/>
    </w:pPr>
    <w:rPr>
      <w:rFonts w:ascii="Aptos" w:eastAsia="Times New Roman" w:hAnsi="Aptos" w:cs="Times New Roman"/>
      <w:i/>
      <w:iCs/>
      <w:color w:val="000000"/>
      <w:sz w:val="18"/>
      <w:szCs w:val="18"/>
      <w:lang w:eastAsia="pl-PL"/>
    </w:rPr>
  </w:style>
  <w:style w:type="paragraph" w:customStyle="1" w:styleId="xl63">
    <w:name w:val="xl63"/>
    <w:basedOn w:val="Normalny"/>
    <w:rsid w:val="000416A6"/>
    <w:pPr>
      <w:pBdr>
        <w:top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2F2F2"/>
      <w:sz w:val="20"/>
      <w:szCs w:val="20"/>
      <w:lang w:eastAsia="pl-PL"/>
    </w:rPr>
  </w:style>
  <w:style w:type="paragraph" w:customStyle="1" w:styleId="xl64">
    <w:name w:val="xl64"/>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5">
    <w:name w:val="xl65"/>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66">
    <w:name w:val="xl66"/>
    <w:basedOn w:val="Normalny"/>
    <w:rsid w:val="000416A6"/>
    <w:pPr>
      <w:pBdr>
        <w:top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7">
    <w:name w:val="xl67"/>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68">
    <w:name w:val="xl68"/>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69">
    <w:name w:val="xl69"/>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sz w:val="20"/>
      <w:szCs w:val="20"/>
      <w:lang w:eastAsia="pl-PL"/>
    </w:rPr>
  </w:style>
  <w:style w:type="paragraph" w:customStyle="1" w:styleId="xl70">
    <w:name w:val="xl70"/>
    <w:basedOn w:val="Normalny"/>
    <w:rsid w:val="000416A6"/>
    <w:pPr>
      <w:pBdr>
        <w:lef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008000"/>
      <w:sz w:val="20"/>
      <w:szCs w:val="20"/>
      <w:lang w:eastAsia="pl-PL"/>
    </w:rPr>
  </w:style>
  <w:style w:type="paragraph" w:customStyle="1" w:styleId="xl71">
    <w:name w:val="xl71"/>
    <w:basedOn w:val="Normalny"/>
    <w:rsid w:val="000416A6"/>
    <w:pPr>
      <w:pBdr>
        <w:top w:val="single" w:sz="8" w:space="0" w:color="FFFFFF"/>
        <w:bottom w:val="single" w:sz="8" w:space="0" w:color="FFFFFF"/>
      </w:pBdr>
      <w:shd w:val="clear" w:color="000000" w:fill="D9D9D9"/>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72">
    <w:name w:val="xl72"/>
    <w:basedOn w:val="Normalny"/>
    <w:rsid w:val="000416A6"/>
    <w:pPr>
      <w:pBdr>
        <w:top w:val="single" w:sz="8" w:space="0" w:color="FFFFFF"/>
        <w:bottom w:val="single" w:sz="8" w:space="0" w:color="FFFFFF"/>
      </w:pBdr>
      <w:shd w:val="clear" w:color="000000" w:fill="D9D9D9"/>
      <w:spacing w:before="100" w:beforeAutospacing="1" w:after="100" w:afterAutospacing="1" w:line="240" w:lineRule="auto"/>
      <w:textAlignment w:val="center"/>
    </w:pPr>
    <w:rPr>
      <w:rFonts w:ascii="Aptos" w:eastAsia="Times New Roman" w:hAnsi="Aptos" w:cs="Times New Roman"/>
      <w:b/>
      <w:bCs/>
      <w:sz w:val="20"/>
      <w:szCs w:val="20"/>
      <w:lang w:eastAsia="pl-PL"/>
    </w:rPr>
  </w:style>
  <w:style w:type="paragraph" w:customStyle="1" w:styleId="xl73">
    <w:name w:val="xl73"/>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4">
    <w:name w:val="xl74"/>
    <w:basedOn w:val="Normalny"/>
    <w:rsid w:val="000416A6"/>
    <w:pPr>
      <w:pBdr>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5">
    <w:name w:val="xl75"/>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76">
    <w:name w:val="xl76"/>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7">
    <w:name w:val="xl77"/>
    <w:basedOn w:val="Normalny"/>
    <w:rsid w:val="000416A6"/>
    <w:pPr>
      <w:pBdr>
        <w:left w:val="single" w:sz="4" w:space="0" w:color="F2F2F2"/>
        <w:bottom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78">
    <w:name w:val="xl78"/>
    <w:basedOn w:val="Normalny"/>
    <w:rsid w:val="000416A6"/>
    <w:pPr>
      <w:pBdr>
        <w:top w:val="single" w:sz="4" w:space="0" w:color="F2F2F2"/>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79">
    <w:name w:val="xl79"/>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80">
    <w:name w:val="xl80"/>
    <w:basedOn w:val="Normalny"/>
    <w:rsid w:val="000416A6"/>
    <w:pPr>
      <w:pBdr>
        <w:top w:val="single" w:sz="4" w:space="0" w:color="F2F2F2"/>
        <w:left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81">
    <w:name w:val="xl81"/>
    <w:basedOn w:val="Normalny"/>
    <w:rsid w:val="000416A6"/>
    <w:pPr>
      <w:pBdr>
        <w:left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82">
    <w:name w:val="xl82"/>
    <w:basedOn w:val="Normalny"/>
    <w:rsid w:val="000416A6"/>
    <w:pPr>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83">
    <w:name w:val="xl83"/>
    <w:basedOn w:val="Normalny"/>
    <w:rsid w:val="000416A6"/>
    <w:pP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4">
    <w:name w:val="xl84"/>
    <w:basedOn w:val="Normalny"/>
    <w:rsid w:val="000416A6"/>
    <w:pPr>
      <w:pBdr>
        <w:left w:val="single" w:sz="4" w:space="0" w:color="F2F2F2"/>
        <w:bottom w:val="single" w:sz="4" w:space="0" w:color="F2F2F2"/>
      </w:pBd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5">
    <w:name w:val="xl85"/>
    <w:basedOn w:val="Normalny"/>
    <w:rsid w:val="000416A6"/>
    <w:pPr>
      <w:spacing w:before="100" w:beforeAutospacing="1" w:after="100" w:afterAutospacing="1" w:line="240" w:lineRule="auto"/>
    </w:pPr>
    <w:rPr>
      <w:rFonts w:ascii="Aptos" w:eastAsia="Times New Roman" w:hAnsi="Aptos" w:cs="Times New Roman"/>
      <w:sz w:val="20"/>
      <w:szCs w:val="20"/>
      <w:lang w:eastAsia="pl-PL"/>
    </w:rPr>
  </w:style>
  <w:style w:type="paragraph" w:customStyle="1" w:styleId="xl86">
    <w:name w:val="xl86"/>
    <w:basedOn w:val="Normalny"/>
    <w:rsid w:val="000416A6"/>
    <w:pPr>
      <w:pBdr>
        <w:bottom w:val="single" w:sz="8" w:space="0" w:color="FFFFFF"/>
      </w:pBdr>
      <w:shd w:val="clear" w:color="000000" w:fill="D9D9D9"/>
      <w:spacing w:before="100" w:beforeAutospacing="1" w:after="100" w:afterAutospacing="1" w:line="240" w:lineRule="auto"/>
      <w:textAlignment w:val="center"/>
    </w:pPr>
    <w:rPr>
      <w:rFonts w:ascii="Aptos" w:eastAsia="Times New Roman" w:hAnsi="Aptos" w:cs="Times New Roman"/>
      <w:b/>
      <w:bCs/>
      <w:sz w:val="20"/>
      <w:szCs w:val="20"/>
      <w:lang w:eastAsia="pl-PL"/>
    </w:rPr>
  </w:style>
  <w:style w:type="paragraph" w:customStyle="1" w:styleId="xl87">
    <w:name w:val="xl87"/>
    <w:basedOn w:val="Normalny"/>
    <w:rsid w:val="000416A6"/>
    <w:pPr>
      <w:pBdr>
        <w:top w:val="single" w:sz="4" w:space="0" w:color="F2F2F2"/>
        <w:bottom w:val="single" w:sz="4" w:space="0" w:color="F2F2F2"/>
        <w:right w:val="single" w:sz="4" w:space="0" w:color="F2F2F2"/>
      </w:pBdr>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88">
    <w:name w:val="xl88"/>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89">
    <w:name w:val="xl89"/>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0">
    <w:name w:val="xl90"/>
    <w:basedOn w:val="Normalny"/>
    <w:rsid w:val="000416A6"/>
    <w:pPr>
      <w:pBdr>
        <w:top w:val="single" w:sz="8" w:space="0" w:color="FFFFFF"/>
        <w:left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1">
    <w:name w:val="xl91"/>
    <w:basedOn w:val="Normalny"/>
    <w:rsid w:val="000416A6"/>
    <w:pPr>
      <w:pBdr>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92">
    <w:name w:val="xl92"/>
    <w:basedOn w:val="Normalny"/>
    <w:rsid w:val="000416A6"/>
    <w:pPr>
      <w:pBdr>
        <w:top w:val="single" w:sz="8" w:space="0" w:color="FFFFFF"/>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18"/>
      <w:szCs w:val="18"/>
      <w:lang w:eastAsia="pl-PL"/>
    </w:rPr>
  </w:style>
  <w:style w:type="paragraph" w:customStyle="1" w:styleId="xl93">
    <w:name w:val="xl93"/>
    <w:basedOn w:val="Normalny"/>
    <w:rsid w:val="000416A6"/>
    <w:pPr>
      <w:pBdr>
        <w:top w:val="single" w:sz="8" w:space="0" w:color="FFFFFF"/>
        <w:left w:val="single" w:sz="8" w:space="0" w:color="FFFFFF"/>
        <w:bottom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4">
    <w:name w:val="xl94"/>
    <w:basedOn w:val="Normalny"/>
    <w:rsid w:val="000416A6"/>
    <w:pPr>
      <w:pBdr>
        <w:top w:val="single" w:sz="8" w:space="0" w:color="FFFFFF"/>
        <w:left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5">
    <w:name w:val="xl95"/>
    <w:basedOn w:val="Normalny"/>
    <w:rsid w:val="000416A6"/>
    <w:pPr>
      <w:pBdr>
        <w:left w:val="single" w:sz="8" w:space="0" w:color="FFFFFF"/>
        <w:bottom w:val="single" w:sz="8" w:space="0" w:color="FFFFFF"/>
        <w:right w:val="single" w:sz="8" w:space="0" w:color="FFFFFF"/>
      </w:pBdr>
      <w:shd w:val="clear" w:color="000000" w:fill="BFBFBF"/>
      <w:spacing w:before="100" w:beforeAutospacing="1" w:after="100" w:afterAutospacing="1" w:line="240" w:lineRule="auto"/>
      <w:jc w:val="center"/>
      <w:textAlignment w:val="center"/>
    </w:pPr>
    <w:rPr>
      <w:rFonts w:ascii="Aptos" w:eastAsia="Times New Roman" w:hAnsi="Aptos" w:cs="Times New Roman"/>
      <w:b/>
      <w:bCs/>
      <w:color w:val="000000"/>
      <w:sz w:val="18"/>
      <w:szCs w:val="18"/>
      <w:lang w:eastAsia="pl-PL"/>
    </w:rPr>
  </w:style>
  <w:style w:type="paragraph" w:customStyle="1" w:styleId="xl96">
    <w:name w:val="xl96"/>
    <w:basedOn w:val="Normalny"/>
    <w:rsid w:val="000416A6"/>
    <w:pPr>
      <w:pBdr>
        <w:left w:val="single" w:sz="8" w:space="0" w:color="FFFFFF"/>
        <w:bottom w:val="single" w:sz="8" w:space="0" w:color="FFFFFF"/>
        <w:right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b/>
      <w:bCs/>
      <w:color w:val="99CC00"/>
      <w:sz w:val="20"/>
      <w:szCs w:val="20"/>
      <w:lang w:eastAsia="pl-PL"/>
    </w:rPr>
  </w:style>
  <w:style w:type="paragraph" w:customStyle="1" w:styleId="xl97">
    <w:name w:val="xl97"/>
    <w:basedOn w:val="Normalny"/>
    <w:rsid w:val="000416A6"/>
    <w:pPr>
      <w:pBdr>
        <w:top w:val="single" w:sz="8" w:space="0" w:color="FFFFFF"/>
        <w:left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98">
    <w:name w:val="xl98"/>
    <w:basedOn w:val="Normalny"/>
    <w:rsid w:val="000416A6"/>
    <w:pPr>
      <w:pBdr>
        <w:top w:val="single" w:sz="8" w:space="0" w:color="FFFFFF"/>
        <w:left w:val="single" w:sz="8" w:space="0" w:color="FFFFFF"/>
        <w:bottom w:val="single" w:sz="8" w:space="0" w:color="FFFFFF"/>
        <w:right w:val="single" w:sz="8" w:space="0" w:color="FFFFFF"/>
      </w:pBdr>
      <w:shd w:val="clear" w:color="000000" w:fill="FF0032"/>
      <w:spacing w:before="100" w:beforeAutospacing="1" w:after="100" w:afterAutospacing="1" w:line="240" w:lineRule="auto"/>
      <w:textAlignment w:val="center"/>
    </w:pPr>
    <w:rPr>
      <w:rFonts w:ascii="Aptos" w:eastAsia="Times New Roman" w:hAnsi="Aptos" w:cs="Times New Roman"/>
      <w:b/>
      <w:bCs/>
      <w:color w:val="92D050"/>
      <w:sz w:val="20"/>
      <w:szCs w:val="20"/>
      <w:lang w:eastAsia="pl-PL"/>
    </w:rPr>
  </w:style>
  <w:style w:type="paragraph" w:customStyle="1" w:styleId="xl99">
    <w:name w:val="xl99"/>
    <w:basedOn w:val="Normalny"/>
    <w:rsid w:val="000416A6"/>
    <w:pPr>
      <w:pBdr>
        <w:top w:val="single" w:sz="8" w:space="0" w:color="FFFFFF"/>
        <w:left w:val="single" w:sz="8" w:space="0" w:color="FFFFFF"/>
        <w:bottom w:val="single" w:sz="8" w:space="0" w:color="FFFFFF"/>
        <w:right w:val="single" w:sz="8" w:space="0" w:color="FFFFFF"/>
      </w:pBdr>
      <w:shd w:val="clear" w:color="000000" w:fill="0F14D2"/>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00">
    <w:name w:val="xl100"/>
    <w:basedOn w:val="Normalny"/>
    <w:rsid w:val="000416A6"/>
    <w:pPr>
      <w:pBdr>
        <w:top w:val="single" w:sz="8" w:space="0" w:color="FFFFFF"/>
        <w:left w:val="single" w:sz="8" w:space="0" w:color="FFFFFF"/>
        <w:bottom w:val="single" w:sz="8" w:space="0" w:color="FFFFFF"/>
        <w:right w:val="single" w:sz="8" w:space="0" w:color="FFFFFF"/>
      </w:pBdr>
      <w:shd w:val="clear" w:color="000000" w:fill="0FCDBE"/>
      <w:spacing w:before="100" w:beforeAutospacing="1" w:after="100" w:afterAutospacing="1" w:line="240" w:lineRule="auto"/>
      <w:jc w:val="center"/>
      <w:textAlignment w:val="center"/>
    </w:pPr>
    <w:rPr>
      <w:rFonts w:ascii="Aptos" w:eastAsia="Times New Roman" w:hAnsi="Aptos" w:cs="Times New Roman"/>
      <w:b/>
      <w:bCs/>
      <w:color w:val="FF6600"/>
      <w:sz w:val="20"/>
      <w:szCs w:val="20"/>
      <w:lang w:eastAsia="pl-PL"/>
    </w:rPr>
  </w:style>
  <w:style w:type="paragraph" w:customStyle="1" w:styleId="xl101">
    <w:name w:val="xl101"/>
    <w:basedOn w:val="Normalny"/>
    <w:rsid w:val="000416A6"/>
    <w:pPr>
      <w:pBdr>
        <w:top w:val="single" w:sz="8" w:space="0" w:color="FFFFFF"/>
        <w:left w:val="single" w:sz="8" w:space="0" w:color="FFFFFF"/>
        <w:bottom w:val="single" w:sz="8" w:space="0" w:color="FFFFFF"/>
        <w:right w:val="single" w:sz="8" w:space="0" w:color="FFFFFF"/>
      </w:pBdr>
      <w:shd w:val="clear" w:color="000000" w:fill="808080"/>
      <w:spacing w:before="100" w:beforeAutospacing="1" w:after="100" w:afterAutospacing="1" w:line="240" w:lineRule="auto"/>
      <w:jc w:val="center"/>
      <w:textAlignment w:val="center"/>
    </w:pPr>
    <w:rPr>
      <w:rFonts w:ascii="Aptos" w:eastAsia="Times New Roman" w:hAnsi="Aptos" w:cs="Times New Roman"/>
      <w:b/>
      <w:bCs/>
      <w:color w:val="99CC00"/>
      <w:sz w:val="20"/>
      <w:szCs w:val="20"/>
      <w:lang w:eastAsia="pl-PL"/>
    </w:rPr>
  </w:style>
  <w:style w:type="paragraph" w:customStyle="1" w:styleId="xl102">
    <w:name w:val="xl102"/>
    <w:basedOn w:val="Normalny"/>
    <w:rsid w:val="000416A6"/>
    <w:pPr>
      <w:pBdr>
        <w:top w:val="single" w:sz="8" w:space="0" w:color="FFFFFF"/>
        <w:left w:val="single" w:sz="8" w:space="0" w:color="FFFFFF"/>
        <w:bottom w:val="single" w:sz="8" w:space="0" w:color="FFFFFF"/>
        <w:right w:val="single" w:sz="8" w:space="0" w:color="FFFFFF"/>
      </w:pBdr>
      <w:shd w:val="clear" w:color="000000" w:fill="0FCDBE"/>
      <w:spacing w:before="100" w:beforeAutospacing="1" w:after="100" w:afterAutospacing="1" w:line="240" w:lineRule="auto"/>
      <w:jc w:val="center"/>
      <w:textAlignment w:val="center"/>
    </w:pPr>
    <w:rPr>
      <w:rFonts w:ascii="Aptos" w:eastAsia="Times New Roman" w:hAnsi="Aptos" w:cs="Times New Roman"/>
      <w:b/>
      <w:bCs/>
      <w:color w:val="FFCC00"/>
      <w:sz w:val="20"/>
      <w:szCs w:val="20"/>
      <w:lang w:eastAsia="pl-PL"/>
    </w:rPr>
  </w:style>
  <w:style w:type="paragraph" w:customStyle="1" w:styleId="xl103">
    <w:name w:val="xl103"/>
    <w:basedOn w:val="Normalny"/>
    <w:rsid w:val="000416A6"/>
    <w:pPr>
      <w:pBdr>
        <w:top w:val="single" w:sz="8" w:space="0" w:color="FFFFFF"/>
        <w:left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color w:val="000000"/>
      <w:sz w:val="20"/>
      <w:szCs w:val="20"/>
      <w:lang w:eastAsia="pl-PL"/>
    </w:rPr>
  </w:style>
  <w:style w:type="paragraph" w:customStyle="1" w:styleId="xl104">
    <w:name w:val="xl104"/>
    <w:basedOn w:val="Normalny"/>
    <w:rsid w:val="000416A6"/>
    <w:pP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05">
    <w:name w:val="xl105"/>
    <w:basedOn w:val="Normalny"/>
    <w:rsid w:val="000416A6"/>
    <w:pPr>
      <w:pBdr>
        <w:top w:val="single" w:sz="4" w:space="0" w:color="F2F2F2"/>
        <w:left w:val="single" w:sz="4" w:space="0" w:color="F2F2F2"/>
        <w:bottom w:val="single" w:sz="4" w:space="0" w:color="F2F2F2"/>
      </w:pBdr>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06">
    <w:name w:val="xl106"/>
    <w:basedOn w:val="Normalny"/>
    <w:rsid w:val="000416A6"/>
    <w:pPr>
      <w:pBdr>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107">
    <w:name w:val="xl107"/>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textAlignment w:val="center"/>
    </w:pPr>
    <w:rPr>
      <w:rFonts w:ascii="Aptos" w:eastAsia="Times New Roman" w:hAnsi="Aptos" w:cs="Times New Roman"/>
      <w:sz w:val="18"/>
      <w:szCs w:val="18"/>
      <w:lang w:eastAsia="pl-PL"/>
    </w:rPr>
  </w:style>
  <w:style w:type="paragraph" w:customStyle="1" w:styleId="xl108">
    <w:name w:val="xl108"/>
    <w:basedOn w:val="Normalny"/>
    <w:rsid w:val="000416A6"/>
    <w:pPr>
      <w:pBdr>
        <w:top w:val="single" w:sz="8" w:space="0" w:color="FFFFFF"/>
        <w:left w:val="single" w:sz="8" w:space="0" w:color="FFFFFF"/>
        <w:bottom w:val="single" w:sz="8" w:space="0" w:color="FFFFFF"/>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customStyle="1" w:styleId="xl109">
    <w:name w:val="xl109"/>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color w:val="FFFFFF"/>
      <w:sz w:val="16"/>
      <w:szCs w:val="16"/>
      <w:lang w:eastAsia="pl-PL"/>
    </w:rPr>
  </w:style>
  <w:style w:type="paragraph" w:customStyle="1" w:styleId="xl110">
    <w:name w:val="xl110"/>
    <w:basedOn w:val="Normalny"/>
    <w:rsid w:val="000416A6"/>
    <w:pPr>
      <w:pBdr>
        <w:top w:val="single" w:sz="8" w:space="0" w:color="FFFFFF"/>
        <w:left w:val="single" w:sz="8" w:space="0" w:color="FFFFFF"/>
        <w:bottom w:val="single" w:sz="8" w:space="0" w:color="FFFFFF"/>
      </w:pBdr>
      <w:shd w:val="clear" w:color="000000" w:fill="D9D9D9"/>
      <w:spacing w:before="100" w:beforeAutospacing="1" w:after="100" w:afterAutospacing="1" w:line="240" w:lineRule="auto"/>
      <w:jc w:val="center"/>
      <w:textAlignment w:val="center"/>
    </w:pPr>
    <w:rPr>
      <w:rFonts w:ascii="Aptos" w:eastAsia="Times New Roman" w:hAnsi="Aptos" w:cs="Times New Roman"/>
      <w:b/>
      <w:bCs/>
      <w:sz w:val="20"/>
      <w:szCs w:val="20"/>
      <w:lang w:eastAsia="pl-PL"/>
    </w:rPr>
  </w:style>
  <w:style w:type="paragraph" w:customStyle="1" w:styleId="xl111">
    <w:name w:val="xl111"/>
    <w:basedOn w:val="Normalny"/>
    <w:rsid w:val="000416A6"/>
    <w:pPr>
      <w:pBdr>
        <w:top w:val="single" w:sz="8" w:space="0" w:color="FFFFFF"/>
        <w:left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2">
    <w:name w:val="xl112"/>
    <w:basedOn w:val="Normalny"/>
    <w:rsid w:val="000416A6"/>
    <w:pPr>
      <w:pBdr>
        <w:top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3">
    <w:name w:val="xl113"/>
    <w:basedOn w:val="Normalny"/>
    <w:rsid w:val="000416A6"/>
    <w:pPr>
      <w:pBdr>
        <w:top w:val="single" w:sz="8" w:space="0" w:color="FFFFFF"/>
        <w:bottom w:val="single" w:sz="8" w:space="0" w:color="FFFFFF"/>
        <w:right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4">
    <w:name w:val="xl114"/>
    <w:basedOn w:val="Normalny"/>
    <w:rsid w:val="000416A6"/>
    <w:pPr>
      <w:pBdr>
        <w:top w:val="single" w:sz="8" w:space="0" w:color="FFFFFF"/>
        <w:left w:val="single" w:sz="8" w:space="0" w:color="FFFFFF"/>
        <w:bottom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5">
    <w:name w:val="xl115"/>
    <w:basedOn w:val="Normalny"/>
    <w:rsid w:val="000416A6"/>
    <w:pPr>
      <w:pBdr>
        <w:top w:val="single" w:sz="8" w:space="0" w:color="FFFFFF"/>
        <w:bottom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6">
    <w:name w:val="xl116"/>
    <w:basedOn w:val="Normalny"/>
    <w:rsid w:val="000416A6"/>
    <w:pPr>
      <w:pBdr>
        <w:top w:val="single" w:sz="8" w:space="0" w:color="FFFFFF"/>
        <w:bottom w:val="single" w:sz="8" w:space="0" w:color="FFFFFF"/>
        <w:right w:val="single" w:sz="8" w:space="0" w:color="FFFFFF"/>
      </w:pBdr>
      <w:shd w:val="clear" w:color="000000" w:fill="00AFFF"/>
      <w:spacing w:before="100" w:beforeAutospacing="1" w:after="100" w:afterAutospacing="1" w:line="240" w:lineRule="auto"/>
      <w:jc w:val="center"/>
      <w:textAlignment w:val="center"/>
    </w:pPr>
    <w:rPr>
      <w:rFonts w:ascii="Aptos" w:eastAsia="Times New Roman" w:hAnsi="Aptos" w:cs="Times New Roman"/>
      <w:sz w:val="16"/>
      <w:szCs w:val="16"/>
      <w:lang w:eastAsia="pl-PL"/>
    </w:rPr>
  </w:style>
  <w:style w:type="paragraph" w:customStyle="1" w:styleId="xl117">
    <w:name w:val="xl117"/>
    <w:basedOn w:val="Normalny"/>
    <w:rsid w:val="000416A6"/>
    <w:pPr>
      <w:pBdr>
        <w:top w:val="single" w:sz="8" w:space="0" w:color="FFFFFF"/>
        <w:left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18">
    <w:name w:val="xl118"/>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19">
    <w:name w:val="xl119"/>
    <w:basedOn w:val="Normalny"/>
    <w:rsid w:val="000416A6"/>
    <w:pPr>
      <w:pBdr>
        <w:top w:val="single" w:sz="8" w:space="0" w:color="FFFFFF"/>
        <w:left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0">
    <w:name w:val="xl120"/>
    <w:basedOn w:val="Normalny"/>
    <w:rsid w:val="000416A6"/>
    <w:pPr>
      <w:pBdr>
        <w:left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1">
    <w:name w:val="xl121"/>
    <w:basedOn w:val="Normalny"/>
    <w:rsid w:val="000416A6"/>
    <w:pPr>
      <w:pBdr>
        <w:top w:val="single" w:sz="8" w:space="0" w:color="FFFFFF"/>
        <w:left w:val="single" w:sz="8" w:space="0" w:color="FFFFFF"/>
        <w:bottom w:val="single" w:sz="8" w:space="0" w:color="FFFFFF"/>
      </w:pBdr>
      <w:shd w:val="clear" w:color="000000" w:fill="4868E5"/>
      <w:spacing w:before="100" w:beforeAutospacing="1" w:after="100" w:afterAutospacing="1" w:line="240" w:lineRule="auto"/>
      <w:jc w:val="center"/>
    </w:pPr>
    <w:rPr>
      <w:rFonts w:ascii="Aptos" w:eastAsia="Times New Roman" w:hAnsi="Aptos" w:cs="Times New Roman"/>
      <w:b/>
      <w:bCs/>
      <w:color w:val="FFFFFF"/>
      <w:sz w:val="20"/>
      <w:szCs w:val="20"/>
      <w:lang w:eastAsia="pl-PL"/>
    </w:rPr>
  </w:style>
  <w:style w:type="paragraph" w:customStyle="1" w:styleId="xl122">
    <w:name w:val="xl122"/>
    <w:basedOn w:val="Normalny"/>
    <w:rsid w:val="000416A6"/>
    <w:pPr>
      <w:pBdr>
        <w:top w:val="single" w:sz="8" w:space="0" w:color="FFFFFF"/>
        <w:bottom w:val="single" w:sz="8" w:space="0" w:color="FFFFFF"/>
      </w:pBdr>
      <w:shd w:val="clear" w:color="000000" w:fill="4868E5"/>
      <w:spacing w:before="100" w:beforeAutospacing="1" w:after="100" w:afterAutospacing="1" w:line="240" w:lineRule="auto"/>
      <w:jc w:val="center"/>
    </w:pPr>
    <w:rPr>
      <w:rFonts w:ascii="Aptos" w:eastAsia="Times New Roman" w:hAnsi="Aptos" w:cs="Times New Roman"/>
      <w:b/>
      <w:bCs/>
      <w:color w:val="FFFFFF"/>
      <w:sz w:val="20"/>
      <w:szCs w:val="20"/>
      <w:lang w:eastAsia="pl-PL"/>
    </w:rPr>
  </w:style>
  <w:style w:type="paragraph" w:customStyle="1" w:styleId="xl123">
    <w:name w:val="xl123"/>
    <w:basedOn w:val="Normalny"/>
    <w:rsid w:val="000416A6"/>
    <w:pPr>
      <w:pBdr>
        <w:top w:val="single" w:sz="8" w:space="0" w:color="FFFFFF"/>
        <w:left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color w:val="FFFFFF"/>
      <w:sz w:val="20"/>
      <w:szCs w:val="20"/>
      <w:lang w:eastAsia="pl-PL"/>
    </w:rPr>
  </w:style>
  <w:style w:type="paragraph" w:customStyle="1" w:styleId="xl124">
    <w:name w:val="xl124"/>
    <w:basedOn w:val="Normalny"/>
    <w:rsid w:val="000416A6"/>
    <w:pPr>
      <w:pBdr>
        <w:top w:val="single" w:sz="8" w:space="0" w:color="FFFFFF"/>
        <w:bottom w:val="single" w:sz="8" w:space="0" w:color="FFFFFF"/>
      </w:pBdr>
      <w:shd w:val="clear" w:color="000000" w:fill="FF0032"/>
      <w:spacing w:before="100" w:beforeAutospacing="1" w:after="100" w:afterAutospacing="1" w:line="240" w:lineRule="auto"/>
      <w:jc w:val="center"/>
      <w:textAlignment w:val="center"/>
    </w:pPr>
    <w:rPr>
      <w:rFonts w:ascii="Aptos" w:eastAsia="Times New Roman" w:hAnsi="Aptos" w:cs="Times New Roman"/>
      <w:color w:val="FFFFFF"/>
      <w:sz w:val="20"/>
      <w:szCs w:val="20"/>
      <w:lang w:eastAsia="pl-PL"/>
    </w:rPr>
  </w:style>
  <w:style w:type="paragraph" w:customStyle="1" w:styleId="xl125">
    <w:name w:val="xl125"/>
    <w:basedOn w:val="Normalny"/>
    <w:rsid w:val="000416A6"/>
    <w:pPr>
      <w:pBdr>
        <w:top w:val="single" w:sz="8" w:space="0" w:color="FFFFFF"/>
        <w:left w:val="single" w:sz="8" w:space="0" w:color="FFFFFF"/>
        <w:bottom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6">
    <w:name w:val="xl126"/>
    <w:basedOn w:val="Normalny"/>
    <w:rsid w:val="000416A6"/>
    <w:pPr>
      <w:pBdr>
        <w:top w:val="single" w:sz="8" w:space="0" w:color="FFFFFF"/>
        <w:bottom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7">
    <w:name w:val="xl127"/>
    <w:basedOn w:val="Normalny"/>
    <w:rsid w:val="000416A6"/>
    <w:pPr>
      <w:pBdr>
        <w:top w:val="single" w:sz="8" w:space="0" w:color="FFFFFF"/>
        <w:bottom w:val="single" w:sz="8" w:space="0" w:color="FFFFFF"/>
        <w:right w:val="single" w:sz="8" w:space="0" w:color="FFFFFF"/>
      </w:pBdr>
      <w:shd w:val="clear" w:color="000000" w:fill="4868E5"/>
      <w:spacing w:before="100" w:beforeAutospacing="1" w:after="100" w:afterAutospacing="1" w:line="240" w:lineRule="auto"/>
      <w:jc w:val="center"/>
      <w:textAlignment w:val="center"/>
    </w:pPr>
    <w:rPr>
      <w:rFonts w:ascii="Aptos" w:eastAsia="Times New Roman" w:hAnsi="Aptos" w:cs="Times New Roman"/>
      <w:b/>
      <w:bCs/>
      <w:color w:val="FFFFFF"/>
      <w:sz w:val="20"/>
      <w:szCs w:val="20"/>
      <w:lang w:eastAsia="pl-PL"/>
    </w:rPr>
  </w:style>
  <w:style w:type="paragraph" w:customStyle="1" w:styleId="xl128">
    <w:name w:val="xl128"/>
    <w:basedOn w:val="Normalny"/>
    <w:rsid w:val="000416A6"/>
    <w:pPr>
      <w:pBdr>
        <w:top w:val="single" w:sz="8" w:space="0" w:color="FFFFFF"/>
        <w:bottom w:val="single" w:sz="8" w:space="0" w:color="FFFFFF"/>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customStyle="1" w:styleId="xl129">
    <w:name w:val="xl129"/>
    <w:basedOn w:val="Normalny"/>
    <w:rsid w:val="000416A6"/>
    <w:pPr>
      <w:pBdr>
        <w:top w:val="single" w:sz="8" w:space="0" w:color="FFFFFF"/>
        <w:bottom w:val="single" w:sz="8" w:space="0" w:color="FFFFFF"/>
        <w:right w:val="single" w:sz="4" w:space="0" w:color="F2F2F2"/>
      </w:pBdr>
      <w:shd w:val="clear" w:color="000000" w:fill="F2F2F2"/>
      <w:spacing w:before="100" w:beforeAutospacing="1" w:after="100" w:afterAutospacing="1" w:line="240" w:lineRule="auto"/>
      <w:jc w:val="center"/>
      <w:textAlignment w:val="center"/>
    </w:pPr>
    <w:rPr>
      <w:rFonts w:ascii="Aptos" w:eastAsia="Times New Roman" w:hAnsi="Aptos" w:cs="Times New Roman"/>
      <w:sz w:val="18"/>
      <w:szCs w:val="18"/>
      <w:lang w:eastAsia="pl-PL"/>
    </w:rPr>
  </w:style>
  <w:style w:type="paragraph" w:styleId="Tekstprzypisukocowego">
    <w:name w:val="endnote text"/>
    <w:basedOn w:val="Normalny"/>
    <w:link w:val="TekstprzypisukocowegoZnak"/>
    <w:uiPriority w:val="99"/>
    <w:semiHidden/>
    <w:unhideWhenUsed/>
    <w:rsid w:val="00B56513"/>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56513"/>
    <w:rPr>
      <w:rFonts w:asciiTheme="minorHAnsi" w:hAnsiTheme="minorHAnsi"/>
      <w:sz w:val="20"/>
      <w:szCs w:val="20"/>
    </w:rPr>
  </w:style>
  <w:style w:type="character" w:styleId="Odwoanieprzypisukocowego">
    <w:name w:val="endnote reference"/>
    <w:basedOn w:val="Domylnaczcionkaakapitu"/>
    <w:uiPriority w:val="99"/>
    <w:semiHidden/>
    <w:unhideWhenUsed/>
    <w:rsid w:val="00B56513"/>
    <w:rPr>
      <w:vertAlign w:val="superscript"/>
    </w:rPr>
  </w:style>
  <w:style w:type="paragraph" w:styleId="NormalnyWeb">
    <w:name w:val="Normal (Web)"/>
    <w:basedOn w:val="Normalny"/>
    <w:uiPriority w:val="99"/>
    <w:semiHidden/>
    <w:unhideWhenUsed/>
    <w:rsid w:val="00763105"/>
    <w:pPr>
      <w:spacing w:before="100" w:beforeAutospacing="1" w:after="100" w:afterAutospacing="1" w:line="240" w:lineRule="auto"/>
    </w:pPr>
    <w:rPr>
      <w:rFonts w:ascii="Times New Roman" w:eastAsia="Times New Roman" w:hAnsi="Times New Roman" w:cs="Times New Roman"/>
      <w:szCs w:val="24"/>
      <w:lang w:eastAsia="pl-PL"/>
    </w:rPr>
  </w:style>
  <w:style w:type="table" w:styleId="Tabelasiatki4akcent1">
    <w:name w:val="Grid Table 4 Accent 1"/>
    <w:basedOn w:val="Standardowy"/>
    <w:uiPriority w:val="49"/>
    <w:rsid w:val="00E13A52"/>
    <w:pPr>
      <w:spacing w:after="0" w:line="240" w:lineRule="auto"/>
    </w:pPr>
    <w:tblPr>
      <w:tblStyleRowBandSize w:val="1"/>
      <w:tblStyleColBandSize w:val="1"/>
      <w:tblBorders>
        <w:top w:val="single" w:sz="4" w:space="0" w:color="5F62F3" w:themeColor="accent1" w:themeTint="99"/>
        <w:left w:val="single" w:sz="4" w:space="0" w:color="5F62F3" w:themeColor="accent1" w:themeTint="99"/>
        <w:bottom w:val="single" w:sz="4" w:space="0" w:color="5F62F3" w:themeColor="accent1" w:themeTint="99"/>
        <w:right w:val="single" w:sz="4" w:space="0" w:color="5F62F3" w:themeColor="accent1" w:themeTint="99"/>
        <w:insideH w:val="single" w:sz="4" w:space="0" w:color="5F62F3" w:themeColor="accent1" w:themeTint="99"/>
        <w:insideV w:val="single" w:sz="4" w:space="0" w:color="5F62F3" w:themeColor="accent1" w:themeTint="99"/>
      </w:tblBorders>
    </w:tblPr>
    <w:tblStylePr w:type="firstRow">
      <w:rPr>
        <w:b/>
        <w:bCs/>
        <w:color w:val="FFFFFF" w:themeColor="background1"/>
      </w:rPr>
      <w:tblPr/>
      <w:tcPr>
        <w:tcBorders>
          <w:top w:val="single" w:sz="4" w:space="0" w:color="0F14D2" w:themeColor="accent1"/>
          <w:left w:val="single" w:sz="4" w:space="0" w:color="0F14D2" w:themeColor="accent1"/>
          <w:bottom w:val="single" w:sz="4" w:space="0" w:color="0F14D2" w:themeColor="accent1"/>
          <w:right w:val="single" w:sz="4" w:space="0" w:color="0F14D2" w:themeColor="accent1"/>
          <w:insideH w:val="nil"/>
          <w:insideV w:val="nil"/>
        </w:tcBorders>
        <w:shd w:val="clear" w:color="auto" w:fill="0F14D2" w:themeFill="accent1"/>
      </w:tcPr>
    </w:tblStylePr>
    <w:tblStylePr w:type="lastRow">
      <w:rPr>
        <w:b/>
        <w:bCs/>
      </w:rPr>
      <w:tblPr/>
      <w:tcPr>
        <w:tcBorders>
          <w:top w:val="double" w:sz="4" w:space="0" w:color="0F14D2" w:themeColor="accent1"/>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styleId="Tabelasiatki1jasnaakcent1">
    <w:name w:val="Grid Table 1 Light Accent 1"/>
    <w:basedOn w:val="Standardowy"/>
    <w:uiPriority w:val="46"/>
    <w:rsid w:val="00E13A52"/>
    <w:pPr>
      <w:spacing w:after="0" w:line="240" w:lineRule="auto"/>
    </w:pPr>
    <w:tblPr>
      <w:tblStyleRowBandSize w:val="1"/>
      <w:tblStyleColBandSize w:val="1"/>
      <w:tblBorders>
        <w:top w:val="single" w:sz="4" w:space="0" w:color="9496F7" w:themeColor="accent1" w:themeTint="66"/>
        <w:left w:val="single" w:sz="4" w:space="0" w:color="9496F7" w:themeColor="accent1" w:themeTint="66"/>
        <w:bottom w:val="single" w:sz="4" w:space="0" w:color="9496F7" w:themeColor="accent1" w:themeTint="66"/>
        <w:right w:val="single" w:sz="4" w:space="0" w:color="9496F7" w:themeColor="accent1" w:themeTint="66"/>
        <w:insideH w:val="single" w:sz="4" w:space="0" w:color="9496F7" w:themeColor="accent1" w:themeTint="66"/>
        <w:insideV w:val="single" w:sz="4" w:space="0" w:color="9496F7" w:themeColor="accent1" w:themeTint="66"/>
      </w:tblBorders>
    </w:tblPr>
    <w:tblStylePr w:type="firstRow">
      <w:rPr>
        <w:b/>
        <w:bCs/>
      </w:rPr>
      <w:tblPr/>
      <w:tcPr>
        <w:tcBorders>
          <w:bottom w:val="single" w:sz="12" w:space="0" w:color="5F62F3" w:themeColor="accent1" w:themeTint="99"/>
        </w:tcBorders>
      </w:tcPr>
    </w:tblStylePr>
    <w:tblStylePr w:type="lastRow">
      <w:rPr>
        <w:b/>
        <w:bCs/>
      </w:rPr>
      <w:tblPr/>
      <w:tcPr>
        <w:tcBorders>
          <w:top w:val="double" w:sz="2" w:space="0" w:color="5F62F3" w:themeColor="accent1" w:themeTint="99"/>
        </w:tcBorders>
      </w:tcPr>
    </w:tblStylePr>
    <w:tblStylePr w:type="firstCol">
      <w:rPr>
        <w:b/>
        <w:bCs/>
      </w:rPr>
    </w:tblStylePr>
    <w:tblStylePr w:type="lastCol">
      <w:rPr>
        <w:b/>
        <w:bCs/>
      </w:rPr>
    </w:tblStylePr>
  </w:style>
  <w:style w:type="table" w:styleId="Tabelasiatki3akcent3">
    <w:name w:val="Grid Table 3 Accent 3"/>
    <w:basedOn w:val="Standardowy"/>
    <w:uiPriority w:val="48"/>
    <w:rsid w:val="00E13A52"/>
    <w:pPr>
      <w:spacing w:after="0" w:line="240" w:lineRule="auto"/>
    </w:pPr>
    <w:tblPr>
      <w:tblStyleRowBandSize w:val="1"/>
      <w:tblStyleColBandSize w:val="1"/>
      <w:tblBorders>
        <w:top w:val="single" w:sz="4" w:space="0" w:color="E23EEA" w:themeColor="accent3" w:themeTint="99"/>
        <w:left w:val="single" w:sz="4" w:space="0" w:color="E23EEA" w:themeColor="accent3" w:themeTint="99"/>
        <w:bottom w:val="single" w:sz="4" w:space="0" w:color="E23EEA" w:themeColor="accent3" w:themeTint="99"/>
        <w:right w:val="single" w:sz="4" w:space="0" w:color="E23EEA" w:themeColor="accent3" w:themeTint="99"/>
        <w:insideH w:val="single" w:sz="4" w:space="0" w:color="E23EEA" w:themeColor="accent3" w:themeTint="99"/>
        <w:insideV w:val="single" w:sz="4" w:space="0" w:color="E23EE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5BEF8" w:themeFill="accent3" w:themeFillTint="33"/>
      </w:tcPr>
    </w:tblStylePr>
    <w:tblStylePr w:type="band1Horz">
      <w:tblPr/>
      <w:tcPr>
        <w:shd w:val="clear" w:color="auto" w:fill="F5BEF8" w:themeFill="accent3" w:themeFillTint="33"/>
      </w:tcPr>
    </w:tblStylePr>
    <w:tblStylePr w:type="neCell">
      <w:tblPr/>
      <w:tcPr>
        <w:tcBorders>
          <w:bottom w:val="single" w:sz="4" w:space="0" w:color="E23EEA" w:themeColor="accent3" w:themeTint="99"/>
        </w:tcBorders>
      </w:tcPr>
    </w:tblStylePr>
    <w:tblStylePr w:type="nwCell">
      <w:tblPr/>
      <w:tcPr>
        <w:tcBorders>
          <w:bottom w:val="single" w:sz="4" w:space="0" w:color="E23EEA" w:themeColor="accent3" w:themeTint="99"/>
        </w:tcBorders>
      </w:tcPr>
    </w:tblStylePr>
    <w:tblStylePr w:type="seCell">
      <w:tblPr/>
      <w:tcPr>
        <w:tcBorders>
          <w:top w:val="single" w:sz="4" w:space="0" w:color="E23EEA" w:themeColor="accent3" w:themeTint="99"/>
        </w:tcBorders>
      </w:tcPr>
    </w:tblStylePr>
    <w:tblStylePr w:type="swCell">
      <w:tblPr/>
      <w:tcPr>
        <w:tcBorders>
          <w:top w:val="single" w:sz="4" w:space="0" w:color="E23EEA" w:themeColor="accent3" w:themeTint="99"/>
        </w:tcBorders>
      </w:tcPr>
    </w:tblStylePr>
  </w:style>
  <w:style w:type="table" w:styleId="Tabelasiatki5ciemnaakcent4">
    <w:name w:val="Grid Table 5 Dark Accent 4"/>
    <w:basedOn w:val="Standardowy"/>
    <w:uiPriority w:val="50"/>
    <w:rsid w:val="00E13A5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FF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AFF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AFF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AFF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AFFF" w:themeFill="accent4"/>
      </w:tcPr>
    </w:tblStylePr>
    <w:tblStylePr w:type="band1Vert">
      <w:tblPr/>
      <w:tcPr>
        <w:shd w:val="clear" w:color="auto" w:fill="99DFFF" w:themeFill="accent4" w:themeFillTint="66"/>
      </w:tcPr>
    </w:tblStylePr>
    <w:tblStylePr w:type="band1Horz">
      <w:tblPr/>
      <w:tcPr>
        <w:shd w:val="clear" w:color="auto" w:fill="99DFFF" w:themeFill="accent4" w:themeFillTint="66"/>
      </w:tcPr>
    </w:tblStylePr>
  </w:style>
  <w:style w:type="table" w:styleId="Tabelalisty6kolorowaakcent1">
    <w:name w:val="List Table 6 Colorful Accent 1"/>
    <w:basedOn w:val="Standardowy"/>
    <w:uiPriority w:val="51"/>
    <w:rsid w:val="00E13A52"/>
    <w:pPr>
      <w:spacing w:after="0" w:line="240" w:lineRule="auto"/>
    </w:pPr>
    <w:rPr>
      <w:color w:val="0B0E9D" w:themeColor="accent1" w:themeShade="BF"/>
    </w:rPr>
    <w:tblPr>
      <w:tblStyleRowBandSize w:val="1"/>
      <w:tblStyleColBandSize w:val="1"/>
      <w:tblBorders>
        <w:top w:val="single" w:sz="4" w:space="0" w:color="0F14D2" w:themeColor="accent1"/>
        <w:bottom w:val="single" w:sz="4" w:space="0" w:color="0F14D2" w:themeColor="accent1"/>
      </w:tblBorders>
    </w:tblPr>
    <w:tblStylePr w:type="firstRow">
      <w:rPr>
        <w:b/>
        <w:bCs/>
      </w:rPr>
      <w:tblPr/>
      <w:tcPr>
        <w:tcBorders>
          <w:bottom w:val="single" w:sz="4" w:space="0" w:color="0F14D2" w:themeColor="accent1"/>
        </w:tcBorders>
      </w:tcPr>
    </w:tblStylePr>
    <w:tblStylePr w:type="lastRow">
      <w:rPr>
        <w:b/>
        <w:bCs/>
      </w:rPr>
      <w:tblPr/>
      <w:tcPr>
        <w:tcBorders>
          <w:top w:val="double" w:sz="4" w:space="0" w:color="0F14D2" w:themeColor="accent1"/>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styleId="Tabelalisty4akcent4">
    <w:name w:val="List Table 4 Accent 4"/>
    <w:basedOn w:val="Standardowy"/>
    <w:uiPriority w:val="49"/>
    <w:rsid w:val="00E13A52"/>
    <w:pPr>
      <w:spacing w:after="0" w:line="240" w:lineRule="auto"/>
    </w:pPr>
    <w:tblPr>
      <w:tblStyleRowBandSize w:val="1"/>
      <w:tblStyleColBandSize w:val="1"/>
      <w:tblBorders>
        <w:top w:val="single" w:sz="4" w:space="0" w:color="66CFFF" w:themeColor="accent4" w:themeTint="99"/>
        <w:left w:val="single" w:sz="4" w:space="0" w:color="66CFFF" w:themeColor="accent4" w:themeTint="99"/>
        <w:bottom w:val="single" w:sz="4" w:space="0" w:color="66CFFF" w:themeColor="accent4" w:themeTint="99"/>
        <w:right w:val="single" w:sz="4" w:space="0" w:color="66CFFF" w:themeColor="accent4" w:themeTint="99"/>
        <w:insideH w:val="single" w:sz="4" w:space="0" w:color="66CFFF" w:themeColor="accent4" w:themeTint="99"/>
      </w:tblBorders>
    </w:tblPr>
    <w:tblStylePr w:type="firstRow">
      <w:rPr>
        <w:b/>
        <w:bCs/>
        <w:color w:val="FFFFFF" w:themeColor="background1"/>
      </w:rPr>
      <w:tblPr/>
      <w:tcPr>
        <w:tcBorders>
          <w:top w:val="single" w:sz="4" w:space="0" w:color="00AFFF" w:themeColor="accent4"/>
          <w:left w:val="single" w:sz="4" w:space="0" w:color="00AFFF" w:themeColor="accent4"/>
          <w:bottom w:val="single" w:sz="4" w:space="0" w:color="00AFFF" w:themeColor="accent4"/>
          <w:right w:val="single" w:sz="4" w:space="0" w:color="00AFFF" w:themeColor="accent4"/>
          <w:insideH w:val="nil"/>
        </w:tcBorders>
        <w:shd w:val="clear" w:color="auto" w:fill="00AFFF" w:themeFill="accent4"/>
      </w:tcPr>
    </w:tblStylePr>
    <w:tblStylePr w:type="lastRow">
      <w:rPr>
        <w:b/>
        <w:bCs/>
      </w:rPr>
      <w:tblPr/>
      <w:tcPr>
        <w:tcBorders>
          <w:top w:val="double" w:sz="4" w:space="0" w:color="66CFFF" w:themeColor="accent4" w:themeTint="99"/>
        </w:tcBorders>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4akcent4">
    <w:name w:val="Grid Table 4 Accent 4"/>
    <w:basedOn w:val="Standardowy"/>
    <w:uiPriority w:val="49"/>
    <w:rsid w:val="00E13A52"/>
    <w:pPr>
      <w:spacing w:after="0" w:line="240" w:lineRule="auto"/>
    </w:pPr>
    <w:tblPr>
      <w:tblStyleRowBandSize w:val="1"/>
      <w:tblStyleColBandSize w:val="1"/>
      <w:tblBorders>
        <w:top w:val="single" w:sz="4" w:space="0" w:color="66CFFF" w:themeColor="accent4" w:themeTint="99"/>
        <w:left w:val="single" w:sz="4" w:space="0" w:color="66CFFF" w:themeColor="accent4" w:themeTint="99"/>
        <w:bottom w:val="single" w:sz="4" w:space="0" w:color="66CFFF" w:themeColor="accent4" w:themeTint="99"/>
        <w:right w:val="single" w:sz="4" w:space="0" w:color="66CFFF" w:themeColor="accent4" w:themeTint="99"/>
        <w:insideH w:val="single" w:sz="4" w:space="0" w:color="66CFFF" w:themeColor="accent4" w:themeTint="99"/>
        <w:insideV w:val="single" w:sz="4" w:space="0" w:color="66CFFF" w:themeColor="accent4" w:themeTint="99"/>
      </w:tblBorders>
    </w:tblPr>
    <w:tblStylePr w:type="firstRow">
      <w:rPr>
        <w:b/>
        <w:bCs/>
        <w:color w:val="FFFFFF" w:themeColor="background1"/>
      </w:rPr>
      <w:tblPr/>
      <w:tcPr>
        <w:tcBorders>
          <w:top w:val="single" w:sz="4" w:space="0" w:color="00AFFF" w:themeColor="accent4"/>
          <w:left w:val="single" w:sz="4" w:space="0" w:color="00AFFF" w:themeColor="accent4"/>
          <w:bottom w:val="single" w:sz="4" w:space="0" w:color="00AFFF" w:themeColor="accent4"/>
          <w:right w:val="single" w:sz="4" w:space="0" w:color="00AFFF" w:themeColor="accent4"/>
          <w:insideH w:val="nil"/>
          <w:insideV w:val="nil"/>
        </w:tcBorders>
        <w:shd w:val="clear" w:color="auto" w:fill="00AFFF" w:themeFill="accent4"/>
      </w:tcPr>
    </w:tblStylePr>
    <w:tblStylePr w:type="lastRow">
      <w:rPr>
        <w:b/>
        <w:bCs/>
      </w:rPr>
      <w:tblPr/>
      <w:tcPr>
        <w:tcBorders>
          <w:top w:val="double" w:sz="4" w:space="0" w:color="00AFFF" w:themeColor="accent4"/>
        </w:tcBorders>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2akcent4">
    <w:name w:val="Grid Table 2 Accent 4"/>
    <w:basedOn w:val="Standardowy"/>
    <w:uiPriority w:val="47"/>
    <w:rsid w:val="00E13A52"/>
    <w:pPr>
      <w:spacing w:after="0" w:line="240" w:lineRule="auto"/>
    </w:pPr>
    <w:tblPr>
      <w:tblStyleRowBandSize w:val="1"/>
      <w:tblStyleColBandSize w:val="1"/>
      <w:tblBorders>
        <w:top w:val="single" w:sz="2" w:space="0" w:color="66CFFF" w:themeColor="accent4" w:themeTint="99"/>
        <w:bottom w:val="single" w:sz="2" w:space="0" w:color="66CFFF" w:themeColor="accent4" w:themeTint="99"/>
        <w:insideH w:val="single" w:sz="2" w:space="0" w:color="66CFFF" w:themeColor="accent4" w:themeTint="99"/>
        <w:insideV w:val="single" w:sz="2" w:space="0" w:color="66CFFF" w:themeColor="accent4" w:themeTint="99"/>
      </w:tblBorders>
    </w:tblPr>
    <w:tblStylePr w:type="firstRow">
      <w:rPr>
        <w:b/>
        <w:bCs/>
      </w:rPr>
      <w:tblPr/>
      <w:tcPr>
        <w:tcBorders>
          <w:top w:val="nil"/>
          <w:bottom w:val="single" w:sz="12" w:space="0" w:color="66CFFF" w:themeColor="accent4" w:themeTint="99"/>
          <w:insideH w:val="nil"/>
          <w:insideV w:val="nil"/>
        </w:tcBorders>
        <w:shd w:val="clear" w:color="auto" w:fill="FFFFFF" w:themeFill="background1"/>
      </w:tcPr>
    </w:tblStylePr>
    <w:tblStylePr w:type="lastRow">
      <w:rPr>
        <w:b/>
        <w:bCs/>
      </w:rPr>
      <w:tblPr/>
      <w:tcPr>
        <w:tcBorders>
          <w:top w:val="double" w:sz="2" w:space="0" w:color="66CFF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EFFF" w:themeFill="accent4" w:themeFillTint="33"/>
      </w:tcPr>
    </w:tblStylePr>
    <w:tblStylePr w:type="band1Horz">
      <w:tblPr/>
      <w:tcPr>
        <w:shd w:val="clear" w:color="auto" w:fill="CCEFFF" w:themeFill="accent4" w:themeFillTint="33"/>
      </w:tcPr>
    </w:tblStylePr>
  </w:style>
  <w:style w:type="table" w:styleId="Tabelasiatki1jasnaakcent4">
    <w:name w:val="Grid Table 1 Light Accent 4"/>
    <w:basedOn w:val="Standardowy"/>
    <w:uiPriority w:val="46"/>
    <w:rsid w:val="00E13A52"/>
    <w:pPr>
      <w:spacing w:after="0" w:line="240" w:lineRule="auto"/>
    </w:pPr>
    <w:tblPr>
      <w:tblStyleRowBandSize w:val="1"/>
      <w:tblStyleColBandSize w:val="1"/>
      <w:tblBorders>
        <w:top w:val="single" w:sz="4" w:space="0" w:color="99DFFF" w:themeColor="accent4" w:themeTint="66"/>
        <w:left w:val="single" w:sz="4" w:space="0" w:color="99DFFF" w:themeColor="accent4" w:themeTint="66"/>
        <w:bottom w:val="single" w:sz="4" w:space="0" w:color="99DFFF" w:themeColor="accent4" w:themeTint="66"/>
        <w:right w:val="single" w:sz="4" w:space="0" w:color="99DFFF" w:themeColor="accent4" w:themeTint="66"/>
        <w:insideH w:val="single" w:sz="4" w:space="0" w:color="99DFFF" w:themeColor="accent4" w:themeTint="66"/>
        <w:insideV w:val="single" w:sz="4" w:space="0" w:color="99DFFF" w:themeColor="accent4" w:themeTint="66"/>
      </w:tblBorders>
    </w:tblPr>
    <w:tblStylePr w:type="firstRow">
      <w:rPr>
        <w:b/>
        <w:bCs/>
      </w:rPr>
      <w:tblPr/>
      <w:tcPr>
        <w:tcBorders>
          <w:bottom w:val="single" w:sz="12" w:space="0" w:color="66CFFF" w:themeColor="accent4" w:themeTint="99"/>
        </w:tcBorders>
      </w:tcPr>
    </w:tblStylePr>
    <w:tblStylePr w:type="lastRow">
      <w:rPr>
        <w:b/>
        <w:bCs/>
      </w:rPr>
      <w:tblPr/>
      <w:tcPr>
        <w:tcBorders>
          <w:top w:val="double" w:sz="2" w:space="0" w:color="66CFFF" w:themeColor="accent4" w:themeTint="99"/>
        </w:tcBorders>
      </w:tcPr>
    </w:tblStylePr>
    <w:tblStylePr w:type="firstCol">
      <w:rPr>
        <w:b/>
        <w:bCs/>
      </w:rPr>
    </w:tblStylePr>
    <w:tblStylePr w:type="lastCol">
      <w:rPr>
        <w:b/>
        <w:bCs/>
      </w:rPr>
    </w:tblStylePr>
  </w:style>
  <w:style w:type="paragraph" w:styleId="Spistreci1">
    <w:name w:val="toc 1"/>
    <w:basedOn w:val="Normalny"/>
    <w:next w:val="Normalny"/>
    <w:autoRedefine/>
    <w:uiPriority w:val="39"/>
    <w:unhideWhenUsed/>
    <w:rsid w:val="003F1D5B"/>
    <w:pPr>
      <w:spacing w:after="100"/>
    </w:pPr>
  </w:style>
  <w:style w:type="paragraph" w:styleId="Spistreci2">
    <w:name w:val="toc 2"/>
    <w:basedOn w:val="Normalny"/>
    <w:next w:val="Normalny"/>
    <w:autoRedefine/>
    <w:uiPriority w:val="39"/>
    <w:unhideWhenUsed/>
    <w:rsid w:val="003F1D5B"/>
    <w:pPr>
      <w:spacing w:after="100"/>
      <w:ind w:left="220"/>
    </w:pPr>
  </w:style>
  <w:style w:type="paragraph" w:styleId="Spistreci3">
    <w:name w:val="toc 3"/>
    <w:basedOn w:val="Normalny"/>
    <w:next w:val="Normalny"/>
    <w:autoRedefine/>
    <w:uiPriority w:val="39"/>
    <w:unhideWhenUsed/>
    <w:rsid w:val="003F1D5B"/>
    <w:pPr>
      <w:spacing w:after="100"/>
      <w:ind w:left="440"/>
    </w:pPr>
  </w:style>
  <w:style w:type="character" w:customStyle="1" w:styleId="spellingerror">
    <w:name w:val="spellingerror"/>
    <w:basedOn w:val="Domylnaczcionkaakapitu"/>
    <w:rsid w:val="00FA5645"/>
  </w:style>
  <w:style w:type="character" w:styleId="Wyrnienieintensywne">
    <w:name w:val="Intense Emphasis"/>
    <w:basedOn w:val="Domylnaczcionkaakapitu"/>
    <w:uiPriority w:val="21"/>
    <w:qFormat/>
    <w:rsid w:val="00A2453F"/>
    <w:rPr>
      <w:rFonts w:ascii="Tahoma" w:hAnsi="Tahoma"/>
      <w:i w:val="0"/>
      <w:iCs/>
      <w:color w:val="0F14D2" w:themeColor="accent1"/>
      <w:sz w:val="24"/>
    </w:rPr>
  </w:style>
  <w:style w:type="table" w:styleId="Tabelalisty3akcent1">
    <w:name w:val="List Table 3 Accent 1"/>
    <w:basedOn w:val="Standardowy"/>
    <w:uiPriority w:val="48"/>
    <w:rsid w:val="0037714A"/>
    <w:pPr>
      <w:spacing w:after="0" w:line="240" w:lineRule="auto"/>
    </w:pPr>
    <w:tblPr>
      <w:tblStyleRowBandSize w:val="1"/>
      <w:tblStyleColBandSize w:val="1"/>
      <w:tblBorders>
        <w:top w:val="single" w:sz="4" w:space="0" w:color="0F14D2" w:themeColor="accent1"/>
        <w:left w:val="single" w:sz="4" w:space="0" w:color="0F14D2" w:themeColor="accent1"/>
        <w:bottom w:val="single" w:sz="4" w:space="0" w:color="0F14D2" w:themeColor="accent1"/>
        <w:right w:val="single" w:sz="4" w:space="0" w:color="0F14D2" w:themeColor="accent1"/>
      </w:tblBorders>
    </w:tblPr>
    <w:tblStylePr w:type="firstRow">
      <w:rPr>
        <w:b/>
        <w:bCs/>
        <w:color w:val="FFFFFF" w:themeColor="background1"/>
      </w:rPr>
      <w:tblPr/>
      <w:tcPr>
        <w:shd w:val="clear" w:color="auto" w:fill="0F14D2" w:themeFill="accent1"/>
      </w:tcPr>
    </w:tblStylePr>
    <w:tblStylePr w:type="lastRow">
      <w:rPr>
        <w:b/>
        <w:bCs/>
      </w:rPr>
      <w:tblPr/>
      <w:tcPr>
        <w:tcBorders>
          <w:top w:val="double" w:sz="4" w:space="0" w:color="0F14D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14D2" w:themeColor="accent1"/>
          <w:right w:val="single" w:sz="4" w:space="0" w:color="0F14D2" w:themeColor="accent1"/>
        </w:tcBorders>
      </w:tcPr>
    </w:tblStylePr>
    <w:tblStylePr w:type="band1Horz">
      <w:tblPr/>
      <w:tcPr>
        <w:tcBorders>
          <w:top w:val="single" w:sz="4" w:space="0" w:color="0F14D2" w:themeColor="accent1"/>
          <w:bottom w:val="single" w:sz="4" w:space="0" w:color="0F14D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14D2" w:themeColor="accent1"/>
          <w:left w:val="nil"/>
        </w:tcBorders>
      </w:tcPr>
    </w:tblStylePr>
    <w:tblStylePr w:type="swCell">
      <w:tblPr/>
      <w:tcPr>
        <w:tcBorders>
          <w:top w:val="double" w:sz="4" w:space="0" w:color="0F14D2" w:themeColor="accent1"/>
          <w:right w:val="nil"/>
        </w:tcBorders>
      </w:tcPr>
    </w:tblStylePr>
  </w:style>
  <w:style w:type="paragraph" w:styleId="Poprawka">
    <w:name w:val="Revision"/>
    <w:hidden/>
    <w:uiPriority w:val="99"/>
    <w:semiHidden/>
    <w:rsid w:val="000364B6"/>
    <w:pPr>
      <w:spacing w:before="0" w:after="0" w:line="240" w:lineRule="auto"/>
    </w:pPr>
    <w:rPr>
      <w:rFonts w:asciiTheme="minorHAnsi" w:hAnsiTheme="minorHAnsi"/>
    </w:rPr>
  </w:style>
  <w:style w:type="paragraph" w:styleId="Tekstdymka">
    <w:name w:val="Balloon Text"/>
    <w:basedOn w:val="Normalny"/>
    <w:link w:val="TekstdymkaZnak"/>
    <w:uiPriority w:val="99"/>
    <w:semiHidden/>
    <w:unhideWhenUsed/>
    <w:rsid w:val="001E329D"/>
    <w:pPr>
      <w:spacing w:before="0"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E329D"/>
    <w:rPr>
      <w:rFonts w:ascii="Segoe UI" w:hAnsi="Segoe UI" w:cs="Segoe UI"/>
      <w:sz w:val="18"/>
      <w:szCs w:val="18"/>
    </w:rPr>
  </w:style>
  <w:style w:type="table" w:styleId="Tabelalisty4akcent1">
    <w:name w:val="List Table 4 Accent 1"/>
    <w:basedOn w:val="Standardowy"/>
    <w:uiPriority w:val="49"/>
    <w:rsid w:val="00427E28"/>
    <w:pPr>
      <w:spacing w:after="0" w:line="240" w:lineRule="auto"/>
    </w:pPr>
    <w:tblPr>
      <w:tblStyleRowBandSize w:val="1"/>
      <w:tblStyleColBandSize w:val="1"/>
      <w:tblBorders>
        <w:top w:val="single" w:sz="4" w:space="0" w:color="5F62F3" w:themeColor="accent1" w:themeTint="99"/>
        <w:left w:val="single" w:sz="4" w:space="0" w:color="5F62F3" w:themeColor="accent1" w:themeTint="99"/>
        <w:bottom w:val="single" w:sz="4" w:space="0" w:color="5F62F3" w:themeColor="accent1" w:themeTint="99"/>
        <w:right w:val="single" w:sz="4" w:space="0" w:color="5F62F3" w:themeColor="accent1" w:themeTint="99"/>
        <w:insideH w:val="single" w:sz="4" w:space="0" w:color="5F62F3" w:themeColor="accent1" w:themeTint="99"/>
      </w:tblBorders>
    </w:tblPr>
    <w:tblStylePr w:type="firstRow">
      <w:rPr>
        <w:b/>
        <w:bCs/>
        <w:color w:val="FFFFFF" w:themeColor="background1"/>
      </w:rPr>
      <w:tblPr/>
      <w:tcPr>
        <w:tcBorders>
          <w:top w:val="single" w:sz="4" w:space="0" w:color="0F14D2" w:themeColor="accent1"/>
          <w:left w:val="single" w:sz="4" w:space="0" w:color="0F14D2" w:themeColor="accent1"/>
          <w:bottom w:val="single" w:sz="4" w:space="0" w:color="0F14D2" w:themeColor="accent1"/>
          <w:right w:val="single" w:sz="4" w:space="0" w:color="0F14D2" w:themeColor="accent1"/>
          <w:insideH w:val="nil"/>
        </w:tcBorders>
        <w:shd w:val="clear" w:color="auto" w:fill="0F14D2" w:themeFill="accent1"/>
      </w:tcPr>
    </w:tblStylePr>
    <w:tblStylePr w:type="lastRow">
      <w:rPr>
        <w:b/>
        <w:bCs/>
      </w:rPr>
      <w:tblPr/>
      <w:tcPr>
        <w:tcBorders>
          <w:top w:val="double" w:sz="4" w:space="0" w:color="5F62F3" w:themeColor="accent1" w:themeTint="99"/>
        </w:tcBorders>
      </w:tcPr>
    </w:tblStylePr>
    <w:tblStylePr w:type="firstCol">
      <w:rPr>
        <w:b/>
        <w:bCs/>
      </w:rPr>
    </w:tblStylePr>
    <w:tblStylePr w:type="lastCol">
      <w:rPr>
        <w:b/>
        <w:bCs/>
      </w:rPr>
    </w:tblStylePr>
    <w:tblStylePr w:type="band1Vert">
      <w:tblPr/>
      <w:tcPr>
        <w:shd w:val="clear" w:color="auto" w:fill="C9CAFB" w:themeFill="accent1" w:themeFillTint="33"/>
      </w:tcPr>
    </w:tblStylePr>
    <w:tblStylePr w:type="band1Horz">
      <w:tblPr/>
      <w:tcPr>
        <w:shd w:val="clear" w:color="auto" w:fill="C9CAFB" w:themeFill="accent1" w:themeFillTint="33"/>
      </w:tcPr>
    </w:tblStylePr>
  </w:style>
  <w:style w:type="table" w:customStyle="1" w:styleId="Tabelasiatki4akcent11">
    <w:name w:val="Tabela siatki 4 — akcent 11"/>
    <w:basedOn w:val="Standardowy"/>
    <w:next w:val="Tabelasiatki4akcent1"/>
    <w:uiPriority w:val="49"/>
    <w:rsid w:val="006735E8"/>
    <w:pPr>
      <w:spacing w:after="0" w:line="240" w:lineRule="auto"/>
    </w:pPr>
    <w:tblPr>
      <w:tblStyleRowBandSize w:val="1"/>
      <w:tblStyleColBandSize w:val="1"/>
      <w:tblBorders>
        <w:top w:val="single" w:sz="4" w:space="0" w:color="5F62F3"/>
        <w:left w:val="single" w:sz="4" w:space="0" w:color="5F62F3"/>
        <w:bottom w:val="single" w:sz="4" w:space="0" w:color="5F62F3"/>
        <w:right w:val="single" w:sz="4" w:space="0" w:color="5F62F3"/>
        <w:insideH w:val="single" w:sz="4" w:space="0" w:color="5F62F3"/>
        <w:insideV w:val="single" w:sz="4" w:space="0" w:color="5F62F3"/>
      </w:tblBorders>
    </w:tblPr>
    <w:tblStylePr w:type="firstRow">
      <w:rPr>
        <w:b/>
        <w:bCs/>
        <w:color w:val="FFFFFF"/>
      </w:rPr>
      <w:tblPr/>
      <w:tcPr>
        <w:tcBorders>
          <w:top w:val="single" w:sz="4" w:space="0" w:color="0F14D2"/>
          <w:left w:val="single" w:sz="4" w:space="0" w:color="0F14D2"/>
          <w:bottom w:val="single" w:sz="4" w:space="0" w:color="0F14D2"/>
          <w:right w:val="single" w:sz="4" w:space="0" w:color="0F14D2"/>
          <w:insideH w:val="nil"/>
          <w:insideV w:val="nil"/>
        </w:tcBorders>
        <w:shd w:val="clear" w:color="auto" w:fill="0F14D2"/>
      </w:tcPr>
    </w:tblStylePr>
    <w:tblStylePr w:type="lastRow">
      <w:rPr>
        <w:b/>
        <w:bCs/>
      </w:rPr>
      <w:tblPr/>
      <w:tcPr>
        <w:tcBorders>
          <w:top w:val="double" w:sz="4" w:space="0" w:color="0F14D2"/>
        </w:tcBorders>
      </w:tcPr>
    </w:tblStylePr>
    <w:tblStylePr w:type="firstCol">
      <w:rPr>
        <w:b/>
        <w:bCs/>
      </w:rPr>
    </w:tblStylePr>
    <w:tblStylePr w:type="lastCol">
      <w:rPr>
        <w:b/>
        <w:bCs/>
      </w:rPr>
    </w:tblStylePr>
    <w:tblStylePr w:type="band1Vert">
      <w:tblPr/>
      <w:tcPr>
        <w:shd w:val="clear" w:color="auto" w:fill="C9CAFB"/>
      </w:tcPr>
    </w:tblStylePr>
    <w:tblStylePr w:type="band1Horz">
      <w:tblPr/>
      <w:tcPr>
        <w:shd w:val="clear" w:color="auto" w:fill="C9CAFB"/>
      </w:tcPr>
    </w:tblStylePr>
  </w:style>
  <w:style w:type="table" w:customStyle="1" w:styleId="Tabelalisty3akcent11">
    <w:name w:val="Tabela listy 3 — akcent 11"/>
    <w:basedOn w:val="Standardowy"/>
    <w:next w:val="Tabelalisty3akcent1"/>
    <w:uiPriority w:val="48"/>
    <w:rsid w:val="008148D2"/>
    <w:pPr>
      <w:spacing w:after="0" w:line="240" w:lineRule="auto"/>
    </w:pPr>
    <w:tblPr>
      <w:tblStyleRowBandSize w:val="1"/>
      <w:tblStyleColBandSize w:val="1"/>
      <w:tblBorders>
        <w:top w:val="single" w:sz="4" w:space="0" w:color="0F14D2"/>
        <w:left w:val="single" w:sz="4" w:space="0" w:color="0F14D2"/>
        <w:bottom w:val="single" w:sz="4" w:space="0" w:color="0F14D2"/>
        <w:right w:val="single" w:sz="4" w:space="0" w:color="0F14D2"/>
      </w:tblBorders>
    </w:tblPr>
    <w:tblStylePr w:type="firstRow">
      <w:rPr>
        <w:b/>
        <w:bCs/>
        <w:color w:val="FFFFFF"/>
      </w:rPr>
      <w:tblPr/>
      <w:tcPr>
        <w:shd w:val="clear" w:color="auto" w:fill="0F14D2"/>
      </w:tcPr>
    </w:tblStylePr>
    <w:tblStylePr w:type="lastRow">
      <w:rPr>
        <w:b/>
        <w:bCs/>
      </w:rPr>
      <w:tblPr/>
      <w:tcPr>
        <w:tcBorders>
          <w:top w:val="double" w:sz="4" w:space="0" w:color="0F14D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F14D2"/>
          <w:right w:val="single" w:sz="4" w:space="0" w:color="0F14D2"/>
        </w:tcBorders>
      </w:tcPr>
    </w:tblStylePr>
    <w:tblStylePr w:type="band1Horz">
      <w:tblPr/>
      <w:tcPr>
        <w:tcBorders>
          <w:top w:val="single" w:sz="4" w:space="0" w:color="0F14D2"/>
          <w:bottom w:val="single" w:sz="4" w:space="0" w:color="0F14D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14D2"/>
          <w:left w:val="nil"/>
        </w:tcBorders>
      </w:tcPr>
    </w:tblStylePr>
    <w:tblStylePr w:type="swCell">
      <w:tblPr/>
      <w:tcPr>
        <w:tcBorders>
          <w:top w:val="double" w:sz="4" w:space="0" w:color="0F14D2"/>
          <w:right w:val="nil"/>
        </w:tcBorders>
      </w:tcPr>
    </w:tblStylePr>
  </w:style>
  <w:style w:type="table" w:styleId="Jasnasiatkaakcent5">
    <w:name w:val="Light Grid Accent 5"/>
    <w:basedOn w:val="Standardowy"/>
    <w:uiPriority w:val="62"/>
    <w:rsid w:val="00F640D7"/>
    <w:pPr>
      <w:spacing w:before="0" w:after="0" w:line="240" w:lineRule="auto"/>
    </w:pPr>
    <w:rPr>
      <w:rFonts w:eastAsia="Calibri" w:cs="Times New Roman"/>
      <w:sz w:val="20"/>
      <w:szCs w:val="20"/>
      <w:lang w:eastAsia="pl-PL"/>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pPr>
      <w:rPr>
        <w:rFonts w:ascii="Yu Gothic UI" w:eastAsia="Times New Roman" w:hAnsi="Yu Gothic UI"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pPr>
      <w:rPr>
        <w:rFonts w:ascii="Yu Gothic UI" w:eastAsia="Times New Roman" w:hAnsi="Yu Gothic UI"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Yu Gothic UI" w:eastAsia="Times New Roman" w:hAnsi="Yu Gothic UI" w:cs="Times New Roman"/>
        <w:b/>
        <w:bCs/>
      </w:rPr>
    </w:tblStylePr>
    <w:tblStylePr w:type="lastCol">
      <w:rPr>
        <w:rFonts w:ascii="Yu Gothic UI" w:eastAsia="Times New Roman" w:hAnsi="Yu Gothic UI"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rPr>
        <w:rFonts w:cs="Times New Roman"/>
      </w:rPr>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paragraph" w:styleId="Bezodstpw">
    <w:name w:val="No Spacing"/>
    <w:uiPriority w:val="1"/>
    <w:qFormat/>
    <w:rsid w:val="00BD1601"/>
    <w:pPr>
      <w:spacing w:line="276" w:lineRule="auto"/>
    </w:pPr>
    <w:rPr>
      <w:rFonts w:ascii="Tahoma" w:hAnsi="Tahoma"/>
      <w:sz w:val="24"/>
    </w:rPr>
  </w:style>
  <w:style w:type="paragraph" w:styleId="Podtytu">
    <w:name w:val="Subtitle"/>
    <w:basedOn w:val="Normalny"/>
    <w:next w:val="Normalny"/>
    <w:link w:val="PodtytuZnak"/>
    <w:uiPriority w:val="11"/>
    <w:qFormat/>
    <w:rsid w:val="00A2453F"/>
    <w:pPr>
      <w:numPr>
        <w:ilvl w:val="1"/>
      </w:numPr>
      <w:spacing w:after="160"/>
    </w:pPr>
    <w:rPr>
      <w:rFonts w:eastAsiaTheme="minorEastAsia" w:cstheme="minorBidi"/>
      <w:color w:val="5A5A5A" w:themeColor="text1" w:themeTint="A5"/>
      <w:spacing w:val="15"/>
    </w:rPr>
  </w:style>
  <w:style w:type="character" w:customStyle="1" w:styleId="PodtytuZnak">
    <w:name w:val="Podtytuł Znak"/>
    <w:basedOn w:val="Domylnaczcionkaakapitu"/>
    <w:link w:val="Podtytu"/>
    <w:uiPriority w:val="11"/>
    <w:rsid w:val="00A2453F"/>
    <w:rPr>
      <w:rFonts w:ascii="Tahoma" w:eastAsiaTheme="minorEastAsia" w:hAnsi="Tahoma" w:cstheme="minorBidi"/>
      <w:color w:val="5A5A5A" w:themeColor="text1" w:themeTint="A5"/>
      <w:spacing w:val="15"/>
      <w:sz w:val="24"/>
    </w:rPr>
  </w:style>
  <w:style w:type="character" w:styleId="Wyrnieniedelikatne">
    <w:name w:val="Subtle Emphasis"/>
    <w:basedOn w:val="Domylnaczcionkaakapitu"/>
    <w:uiPriority w:val="19"/>
    <w:qFormat/>
    <w:rsid w:val="00A2453F"/>
    <w:rPr>
      <w:rFonts w:ascii="Tahoma" w:hAnsi="Tahoma"/>
      <w:i/>
      <w:iCs/>
      <w:color w:val="404040" w:themeColor="text1" w:themeTint="BF"/>
      <w:sz w:val="24"/>
    </w:rPr>
  </w:style>
  <w:style w:type="character" w:styleId="Uwydatnienie">
    <w:name w:val="Emphasis"/>
    <w:basedOn w:val="Domylnaczcionkaakapitu"/>
    <w:uiPriority w:val="20"/>
    <w:qFormat/>
    <w:rsid w:val="00A2453F"/>
    <w:rPr>
      <w:rFonts w:ascii="Tahoma" w:hAnsi="Tahoma"/>
      <w:i/>
      <w:iCs/>
      <w:sz w:val="24"/>
    </w:rPr>
  </w:style>
  <w:style w:type="paragraph" w:styleId="Cytat">
    <w:name w:val="Quote"/>
    <w:basedOn w:val="Normalny"/>
    <w:next w:val="Normalny"/>
    <w:link w:val="CytatZnak"/>
    <w:uiPriority w:val="29"/>
    <w:qFormat/>
    <w:rsid w:val="00A2453F"/>
    <w:pPr>
      <w:spacing w:before="200" w:after="160"/>
      <w:ind w:left="864" w:right="864"/>
      <w:jc w:val="center"/>
    </w:pPr>
    <w:rPr>
      <w:i/>
      <w:iCs/>
      <w:color w:val="404040" w:themeColor="text1" w:themeTint="BF"/>
    </w:rPr>
  </w:style>
  <w:style w:type="character" w:customStyle="1" w:styleId="CytatZnak">
    <w:name w:val="Cytat Znak"/>
    <w:basedOn w:val="Domylnaczcionkaakapitu"/>
    <w:link w:val="Cytat"/>
    <w:uiPriority w:val="29"/>
    <w:rsid w:val="00A2453F"/>
    <w:rPr>
      <w:rFonts w:ascii="Tahoma" w:hAnsi="Tahoma"/>
      <w:i/>
      <w:iCs/>
      <w:color w:val="404040" w:themeColor="text1" w:themeTint="BF"/>
      <w:sz w:val="24"/>
    </w:rPr>
  </w:style>
  <w:style w:type="paragraph" w:styleId="Cytatintensywny">
    <w:name w:val="Intense Quote"/>
    <w:basedOn w:val="Normalny"/>
    <w:next w:val="Normalny"/>
    <w:link w:val="CytatintensywnyZnak"/>
    <w:uiPriority w:val="30"/>
    <w:qFormat/>
    <w:rsid w:val="00A2453F"/>
    <w:pPr>
      <w:pBdr>
        <w:top w:val="single" w:sz="4" w:space="10" w:color="0F14D2" w:themeColor="accent1"/>
        <w:bottom w:val="single" w:sz="4" w:space="10" w:color="0F14D2" w:themeColor="accent1"/>
      </w:pBdr>
      <w:spacing w:before="360" w:after="360"/>
      <w:ind w:left="864" w:right="864"/>
      <w:jc w:val="center"/>
    </w:pPr>
    <w:rPr>
      <w:i/>
      <w:iCs/>
      <w:color w:val="0F14D2" w:themeColor="accent1"/>
    </w:rPr>
  </w:style>
  <w:style w:type="character" w:customStyle="1" w:styleId="CytatintensywnyZnak">
    <w:name w:val="Cytat intensywny Znak"/>
    <w:basedOn w:val="Domylnaczcionkaakapitu"/>
    <w:link w:val="Cytatintensywny"/>
    <w:uiPriority w:val="30"/>
    <w:rsid w:val="00A2453F"/>
    <w:rPr>
      <w:rFonts w:ascii="Tahoma" w:hAnsi="Tahoma"/>
      <w:i/>
      <w:iCs/>
      <w:color w:val="0F14D2" w:themeColor="accent1"/>
      <w:sz w:val="24"/>
    </w:rPr>
  </w:style>
  <w:style w:type="character" w:styleId="Odwoaniedelikatne">
    <w:name w:val="Subtle Reference"/>
    <w:basedOn w:val="Domylnaczcionkaakapitu"/>
    <w:uiPriority w:val="31"/>
    <w:qFormat/>
    <w:rsid w:val="00A2453F"/>
    <w:rPr>
      <w:rFonts w:ascii="Tahoma" w:hAnsi="Tahoma"/>
      <w:smallCaps/>
      <w:color w:val="5A5A5A" w:themeColor="text1" w:themeTint="A5"/>
      <w:sz w:val="24"/>
    </w:rPr>
  </w:style>
  <w:style w:type="character" w:styleId="Tytuksiki">
    <w:name w:val="Book Title"/>
    <w:basedOn w:val="Domylnaczcionkaakapitu"/>
    <w:uiPriority w:val="33"/>
    <w:qFormat/>
    <w:rsid w:val="00A2453F"/>
    <w:rPr>
      <w:rFonts w:ascii="Tahoma" w:hAnsi="Tahoma"/>
      <w:b/>
      <w:bCs/>
      <w:i/>
      <w:iCs/>
      <w:spacing w:val="5"/>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63879">
      <w:bodyDiv w:val="1"/>
      <w:marLeft w:val="0"/>
      <w:marRight w:val="0"/>
      <w:marTop w:val="0"/>
      <w:marBottom w:val="0"/>
      <w:divBdr>
        <w:top w:val="none" w:sz="0" w:space="0" w:color="auto"/>
        <w:left w:val="none" w:sz="0" w:space="0" w:color="auto"/>
        <w:bottom w:val="none" w:sz="0" w:space="0" w:color="auto"/>
        <w:right w:val="none" w:sz="0" w:space="0" w:color="auto"/>
      </w:divBdr>
    </w:div>
    <w:div w:id="89280748">
      <w:bodyDiv w:val="1"/>
      <w:marLeft w:val="0"/>
      <w:marRight w:val="0"/>
      <w:marTop w:val="0"/>
      <w:marBottom w:val="0"/>
      <w:divBdr>
        <w:top w:val="none" w:sz="0" w:space="0" w:color="auto"/>
        <w:left w:val="none" w:sz="0" w:space="0" w:color="auto"/>
        <w:bottom w:val="none" w:sz="0" w:space="0" w:color="auto"/>
        <w:right w:val="none" w:sz="0" w:space="0" w:color="auto"/>
      </w:divBdr>
      <w:divsChild>
        <w:div w:id="88354153">
          <w:marLeft w:val="0"/>
          <w:marRight w:val="0"/>
          <w:marTop w:val="0"/>
          <w:marBottom w:val="0"/>
          <w:divBdr>
            <w:top w:val="none" w:sz="0" w:space="0" w:color="auto"/>
            <w:left w:val="none" w:sz="0" w:space="0" w:color="auto"/>
            <w:bottom w:val="none" w:sz="0" w:space="0" w:color="auto"/>
            <w:right w:val="none" w:sz="0" w:space="0" w:color="auto"/>
          </w:divBdr>
          <w:divsChild>
            <w:div w:id="123888347">
              <w:marLeft w:val="0"/>
              <w:marRight w:val="0"/>
              <w:marTop w:val="0"/>
              <w:marBottom w:val="0"/>
              <w:divBdr>
                <w:top w:val="none" w:sz="0" w:space="0" w:color="auto"/>
                <w:left w:val="none" w:sz="0" w:space="0" w:color="auto"/>
                <w:bottom w:val="none" w:sz="0" w:space="0" w:color="auto"/>
                <w:right w:val="none" w:sz="0" w:space="0" w:color="auto"/>
              </w:divBdr>
            </w:div>
            <w:div w:id="1313870982">
              <w:marLeft w:val="0"/>
              <w:marRight w:val="0"/>
              <w:marTop w:val="0"/>
              <w:marBottom w:val="0"/>
              <w:divBdr>
                <w:top w:val="none" w:sz="0" w:space="0" w:color="auto"/>
                <w:left w:val="none" w:sz="0" w:space="0" w:color="auto"/>
                <w:bottom w:val="none" w:sz="0" w:space="0" w:color="auto"/>
                <w:right w:val="none" w:sz="0" w:space="0" w:color="auto"/>
              </w:divBdr>
            </w:div>
            <w:div w:id="1751001746">
              <w:marLeft w:val="0"/>
              <w:marRight w:val="0"/>
              <w:marTop w:val="0"/>
              <w:marBottom w:val="0"/>
              <w:divBdr>
                <w:top w:val="none" w:sz="0" w:space="0" w:color="auto"/>
                <w:left w:val="none" w:sz="0" w:space="0" w:color="auto"/>
                <w:bottom w:val="none" w:sz="0" w:space="0" w:color="auto"/>
                <w:right w:val="none" w:sz="0" w:space="0" w:color="auto"/>
              </w:divBdr>
            </w:div>
            <w:div w:id="2074890441">
              <w:marLeft w:val="0"/>
              <w:marRight w:val="0"/>
              <w:marTop w:val="0"/>
              <w:marBottom w:val="0"/>
              <w:divBdr>
                <w:top w:val="none" w:sz="0" w:space="0" w:color="auto"/>
                <w:left w:val="none" w:sz="0" w:space="0" w:color="auto"/>
                <w:bottom w:val="none" w:sz="0" w:space="0" w:color="auto"/>
                <w:right w:val="none" w:sz="0" w:space="0" w:color="auto"/>
              </w:divBdr>
            </w:div>
          </w:divsChild>
        </w:div>
        <w:div w:id="1377512972">
          <w:marLeft w:val="0"/>
          <w:marRight w:val="0"/>
          <w:marTop w:val="0"/>
          <w:marBottom w:val="0"/>
          <w:divBdr>
            <w:top w:val="none" w:sz="0" w:space="0" w:color="auto"/>
            <w:left w:val="none" w:sz="0" w:space="0" w:color="auto"/>
            <w:bottom w:val="none" w:sz="0" w:space="0" w:color="auto"/>
            <w:right w:val="none" w:sz="0" w:space="0" w:color="auto"/>
          </w:divBdr>
          <w:divsChild>
            <w:div w:id="225262743">
              <w:marLeft w:val="0"/>
              <w:marRight w:val="0"/>
              <w:marTop w:val="0"/>
              <w:marBottom w:val="0"/>
              <w:divBdr>
                <w:top w:val="none" w:sz="0" w:space="0" w:color="auto"/>
                <w:left w:val="none" w:sz="0" w:space="0" w:color="auto"/>
                <w:bottom w:val="none" w:sz="0" w:space="0" w:color="auto"/>
                <w:right w:val="none" w:sz="0" w:space="0" w:color="auto"/>
              </w:divBdr>
            </w:div>
            <w:div w:id="239020995">
              <w:marLeft w:val="0"/>
              <w:marRight w:val="0"/>
              <w:marTop w:val="0"/>
              <w:marBottom w:val="0"/>
              <w:divBdr>
                <w:top w:val="none" w:sz="0" w:space="0" w:color="auto"/>
                <w:left w:val="none" w:sz="0" w:space="0" w:color="auto"/>
                <w:bottom w:val="none" w:sz="0" w:space="0" w:color="auto"/>
                <w:right w:val="none" w:sz="0" w:space="0" w:color="auto"/>
              </w:divBdr>
            </w:div>
            <w:div w:id="449590961">
              <w:marLeft w:val="0"/>
              <w:marRight w:val="0"/>
              <w:marTop w:val="0"/>
              <w:marBottom w:val="0"/>
              <w:divBdr>
                <w:top w:val="none" w:sz="0" w:space="0" w:color="auto"/>
                <w:left w:val="none" w:sz="0" w:space="0" w:color="auto"/>
                <w:bottom w:val="none" w:sz="0" w:space="0" w:color="auto"/>
                <w:right w:val="none" w:sz="0" w:space="0" w:color="auto"/>
              </w:divBdr>
            </w:div>
            <w:div w:id="716590563">
              <w:marLeft w:val="0"/>
              <w:marRight w:val="0"/>
              <w:marTop w:val="0"/>
              <w:marBottom w:val="0"/>
              <w:divBdr>
                <w:top w:val="none" w:sz="0" w:space="0" w:color="auto"/>
                <w:left w:val="none" w:sz="0" w:space="0" w:color="auto"/>
                <w:bottom w:val="none" w:sz="0" w:space="0" w:color="auto"/>
                <w:right w:val="none" w:sz="0" w:space="0" w:color="auto"/>
              </w:divBdr>
            </w:div>
            <w:div w:id="821502397">
              <w:marLeft w:val="0"/>
              <w:marRight w:val="0"/>
              <w:marTop w:val="0"/>
              <w:marBottom w:val="0"/>
              <w:divBdr>
                <w:top w:val="none" w:sz="0" w:space="0" w:color="auto"/>
                <w:left w:val="none" w:sz="0" w:space="0" w:color="auto"/>
                <w:bottom w:val="none" w:sz="0" w:space="0" w:color="auto"/>
                <w:right w:val="none" w:sz="0" w:space="0" w:color="auto"/>
              </w:divBdr>
            </w:div>
            <w:div w:id="838696497">
              <w:marLeft w:val="0"/>
              <w:marRight w:val="0"/>
              <w:marTop w:val="0"/>
              <w:marBottom w:val="0"/>
              <w:divBdr>
                <w:top w:val="none" w:sz="0" w:space="0" w:color="auto"/>
                <w:left w:val="none" w:sz="0" w:space="0" w:color="auto"/>
                <w:bottom w:val="none" w:sz="0" w:space="0" w:color="auto"/>
                <w:right w:val="none" w:sz="0" w:space="0" w:color="auto"/>
              </w:divBdr>
            </w:div>
            <w:div w:id="872766080">
              <w:marLeft w:val="0"/>
              <w:marRight w:val="0"/>
              <w:marTop w:val="0"/>
              <w:marBottom w:val="0"/>
              <w:divBdr>
                <w:top w:val="none" w:sz="0" w:space="0" w:color="auto"/>
                <w:left w:val="none" w:sz="0" w:space="0" w:color="auto"/>
                <w:bottom w:val="none" w:sz="0" w:space="0" w:color="auto"/>
                <w:right w:val="none" w:sz="0" w:space="0" w:color="auto"/>
              </w:divBdr>
            </w:div>
            <w:div w:id="1326133359">
              <w:marLeft w:val="0"/>
              <w:marRight w:val="0"/>
              <w:marTop w:val="0"/>
              <w:marBottom w:val="0"/>
              <w:divBdr>
                <w:top w:val="none" w:sz="0" w:space="0" w:color="auto"/>
                <w:left w:val="none" w:sz="0" w:space="0" w:color="auto"/>
                <w:bottom w:val="none" w:sz="0" w:space="0" w:color="auto"/>
                <w:right w:val="none" w:sz="0" w:space="0" w:color="auto"/>
              </w:divBdr>
            </w:div>
            <w:div w:id="1353802337">
              <w:marLeft w:val="0"/>
              <w:marRight w:val="0"/>
              <w:marTop w:val="0"/>
              <w:marBottom w:val="0"/>
              <w:divBdr>
                <w:top w:val="none" w:sz="0" w:space="0" w:color="auto"/>
                <w:left w:val="none" w:sz="0" w:space="0" w:color="auto"/>
                <w:bottom w:val="none" w:sz="0" w:space="0" w:color="auto"/>
                <w:right w:val="none" w:sz="0" w:space="0" w:color="auto"/>
              </w:divBdr>
            </w:div>
            <w:div w:id="1454861742">
              <w:marLeft w:val="0"/>
              <w:marRight w:val="0"/>
              <w:marTop w:val="0"/>
              <w:marBottom w:val="0"/>
              <w:divBdr>
                <w:top w:val="none" w:sz="0" w:space="0" w:color="auto"/>
                <w:left w:val="none" w:sz="0" w:space="0" w:color="auto"/>
                <w:bottom w:val="none" w:sz="0" w:space="0" w:color="auto"/>
                <w:right w:val="none" w:sz="0" w:space="0" w:color="auto"/>
              </w:divBdr>
            </w:div>
            <w:div w:id="1506945255">
              <w:marLeft w:val="0"/>
              <w:marRight w:val="0"/>
              <w:marTop w:val="0"/>
              <w:marBottom w:val="0"/>
              <w:divBdr>
                <w:top w:val="none" w:sz="0" w:space="0" w:color="auto"/>
                <w:left w:val="none" w:sz="0" w:space="0" w:color="auto"/>
                <w:bottom w:val="none" w:sz="0" w:space="0" w:color="auto"/>
                <w:right w:val="none" w:sz="0" w:space="0" w:color="auto"/>
              </w:divBdr>
            </w:div>
            <w:div w:id="188108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816">
      <w:bodyDiv w:val="1"/>
      <w:marLeft w:val="0"/>
      <w:marRight w:val="0"/>
      <w:marTop w:val="0"/>
      <w:marBottom w:val="0"/>
      <w:divBdr>
        <w:top w:val="none" w:sz="0" w:space="0" w:color="auto"/>
        <w:left w:val="none" w:sz="0" w:space="0" w:color="auto"/>
        <w:bottom w:val="none" w:sz="0" w:space="0" w:color="auto"/>
        <w:right w:val="none" w:sz="0" w:space="0" w:color="auto"/>
      </w:divBdr>
    </w:div>
    <w:div w:id="115488507">
      <w:bodyDiv w:val="1"/>
      <w:marLeft w:val="0"/>
      <w:marRight w:val="0"/>
      <w:marTop w:val="0"/>
      <w:marBottom w:val="0"/>
      <w:divBdr>
        <w:top w:val="none" w:sz="0" w:space="0" w:color="auto"/>
        <w:left w:val="none" w:sz="0" w:space="0" w:color="auto"/>
        <w:bottom w:val="none" w:sz="0" w:space="0" w:color="auto"/>
        <w:right w:val="none" w:sz="0" w:space="0" w:color="auto"/>
      </w:divBdr>
    </w:div>
    <w:div w:id="154616478">
      <w:bodyDiv w:val="1"/>
      <w:marLeft w:val="0"/>
      <w:marRight w:val="0"/>
      <w:marTop w:val="0"/>
      <w:marBottom w:val="0"/>
      <w:divBdr>
        <w:top w:val="none" w:sz="0" w:space="0" w:color="auto"/>
        <w:left w:val="none" w:sz="0" w:space="0" w:color="auto"/>
        <w:bottom w:val="none" w:sz="0" w:space="0" w:color="auto"/>
        <w:right w:val="none" w:sz="0" w:space="0" w:color="auto"/>
      </w:divBdr>
    </w:div>
    <w:div w:id="163129148">
      <w:bodyDiv w:val="1"/>
      <w:marLeft w:val="0"/>
      <w:marRight w:val="0"/>
      <w:marTop w:val="0"/>
      <w:marBottom w:val="0"/>
      <w:divBdr>
        <w:top w:val="none" w:sz="0" w:space="0" w:color="auto"/>
        <w:left w:val="none" w:sz="0" w:space="0" w:color="auto"/>
        <w:bottom w:val="none" w:sz="0" w:space="0" w:color="auto"/>
        <w:right w:val="none" w:sz="0" w:space="0" w:color="auto"/>
      </w:divBdr>
    </w:div>
    <w:div w:id="175266403">
      <w:bodyDiv w:val="1"/>
      <w:marLeft w:val="0"/>
      <w:marRight w:val="0"/>
      <w:marTop w:val="0"/>
      <w:marBottom w:val="0"/>
      <w:divBdr>
        <w:top w:val="none" w:sz="0" w:space="0" w:color="auto"/>
        <w:left w:val="none" w:sz="0" w:space="0" w:color="auto"/>
        <w:bottom w:val="none" w:sz="0" w:space="0" w:color="auto"/>
        <w:right w:val="none" w:sz="0" w:space="0" w:color="auto"/>
      </w:divBdr>
    </w:div>
    <w:div w:id="197203714">
      <w:bodyDiv w:val="1"/>
      <w:marLeft w:val="0"/>
      <w:marRight w:val="0"/>
      <w:marTop w:val="0"/>
      <w:marBottom w:val="0"/>
      <w:divBdr>
        <w:top w:val="none" w:sz="0" w:space="0" w:color="auto"/>
        <w:left w:val="none" w:sz="0" w:space="0" w:color="auto"/>
        <w:bottom w:val="none" w:sz="0" w:space="0" w:color="auto"/>
        <w:right w:val="none" w:sz="0" w:space="0" w:color="auto"/>
      </w:divBdr>
    </w:div>
    <w:div w:id="198593003">
      <w:bodyDiv w:val="1"/>
      <w:marLeft w:val="0"/>
      <w:marRight w:val="0"/>
      <w:marTop w:val="0"/>
      <w:marBottom w:val="0"/>
      <w:divBdr>
        <w:top w:val="none" w:sz="0" w:space="0" w:color="auto"/>
        <w:left w:val="none" w:sz="0" w:space="0" w:color="auto"/>
        <w:bottom w:val="none" w:sz="0" w:space="0" w:color="auto"/>
        <w:right w:val="none" w:sz="0" w:space="0" w:color="auto"/>
      </w:divBdr>
    </w:div>
    <w:div w:id="229073539">
      <w:bodyDiv w:val="1"/>
      <w:marLeft w:val="0"/>
      <w:marRight w:val="0"/>
      <w:marTop w:val="0"/>
      <w:marBottom w:val="0"/>
      <w:divBdr>
        <w:top w:val="none" w:sz="0" w:space="0" w:color="auto"/>
        <w:left w:val="none" w:sz="0" w:space="0" w:color="auto"/>
        <w:bottom w:val="none" w:sz="0" w:space="0" w:color="auto"/>
        <w:right w:val="none" w:sz="0" w:space="0" w:color="auto"/>
      </w:divBdr>
    </w:div>
    <w:div w:id="250163306">
      <w:bodyDiv w:val="1"/>
      <w:marLeft w:val="0"/>
      <w:marRight w:val="0"/>
      <w:marTop w:val="0"/>
      <w:marBottom w:val="0"/>
      <w:divBdr>
        <w:top w:val="none" w:sz="0" w:space="0" w:color="auto"/>
        <w:left w:val="none" w:sz="0" w:space="0" w:color="auto"/>
        <w:bottom w:val="none" w:sz="0" w:space="0" w:color="auto"/>
        <w:right w:val="none" w:sz="0" w:space="0" w:color="auto"/>
      </w:divBdr>
    </w:div>
    <w:div w:id="270625901">
      <w:bodyDiv w:val="1"/>
      <w:marLeft w:val="0"/>
      <w:marRight w:val="0"/>
      <w:marTop w:val="0"/>
      <w:marBottom w:val="0"/>
      <w:divBdr>
        <w:top w:val="none" w:sz="0" w:space="0" w:color="auto"/>
        <w:left w:val="none" w:sz="0" w:space="0" w:color="auto"/>
        <w:bottom w:val="none" w:sz="0" w:space="0" w:color="auto"/>
        <w:right w:val="none" w:sz="0" w:space="0" w:color="auto"/>
      </w:divBdr>
    </w:div>
    <w:div w:id="341277385">
      <w:bodyDiv w:val="1"/>
      <w:marLeft w:val="0"/>
      <w:marRight w:val="0"/>
      <w:marTop w:val="0"/>
      <w:marBottom w:val="0"/>
      <w:divBdr>
        <w:top w:val="none" w:sz="0" w:space="0" w:color="auto"/>
        <w:left w:val="none" w:sz="0" w:space="0" w:color="auto"/>
        <w:bottom w:val="none" w:sz="0" w:space="0" w:color="auto"/>
        <w:right w:val="none" w:sz="0" w:space="0" w:color="auto"/>
      </w:divBdr>
    </w:div>
    <w:div w:id="391395109">
      <w:bodyDiv w:val="1"/>
      <w:marLeft w:val="0"/>
      <w:marRight w:val="0"/>
      <w:marTop w:val="0"/>
      <w:marBottom w:val="0"/>
      <w:divBdr>
        <w:top w:val="none" w:sz="0" w:space="0" w:color="auto"/>
        <w:left w:val="none" w:sz="0" w:space="0" w:color="auto"/>
        <w:bottom w:val="none" w:sz="0" w:space="0" w:color="auto"/>
        <w:right w:val="none" w:sz="0" w:space="0" w:color="auto"/>
      </w:divBdr>
    </w:div>
    <w:div w:id="393164826">
      <w:bodyDiv w:val="1"/>
      <w:marLeft w:val="0"/>
      <w:marRight w:val="0"/>
      <w:marTop w:val="0"/>
      <w:marBottom w:val="0"/>
      <w:divBdr>
        <w:top w:val="none" w:sz="0" w:space="0" w:color="auto"/>
        <w:left w:val="none" w:sz="0" w:space="0" w:color="auto"/>
        <w:bottom w:val="none" w:sz="0" w:space="0" w:color="auto"/>
        <w:right w:val="none" w:sz="0" w:space="0" w:color="auto"/>
      </w:divBdr>
    </w:div>
    <w:div w:id="405956292">
      <w:bodyDiv w:val="1"/>
      <w:marLeft w:val="0"/>
      <w:marRight w:val="0"/>
      <w:marTop w:val="0"/>
      <w:marBottom w:val="0"/>
      <w:divBdr>
        <w:top w:val="none" w:sz="0" w:space="0" w:color="auto"/>
        <w:left w:val="none" w:sz="0" w:space="0" w:color="auto"/>
        <w:bottom w:val="none" w:sz="0" w:space="0" w:color="auto"/>
        <w:right w:val="none" w:sz="0" w:space="0" w:color="auto"/>
      </w:divBdr>
    </w:div>
    <w:div w:id="407772165">
      <w:bodyDiv w:val="1"/>
      <w:marLeft w:val="0"/>
      <w:marRight w:val="0"/>
      <w:marTop w:val="0"/>
      <w:marBottom w:val="0"/>
      <w:divBdr>
        <w:top w:val="none" w:sz="0" w:space="0" w:color="auto"/>
        <w:left w:val="none" w:sz="0" w:space="0" w:color="auto"/>
        <w:bottom w:val="none" w:sz="0" w:space="0" w:color="auto"/>
        <w:right w:val="none" w:sz="0" w:space="0" w:color="auto"/>
      </w:divBdr>
    </w:div>
    <w:div w:id="425462298">
      <w:bodyDiv w:val="1"/>
      <w:marLeft w:val="0"/>
      <w:marRight w:val="0"/>
      <w:marTop w:val="0"/>
      <w:marBottom w:val="0"/>
      <w:divBdr>
        <w:top w:val="none" w:sz="0" w:space="0" w:color="auto"/>
        <w:left w:val="none" w:sz="0" w:space="0" w:color="auto"/>
        <w:bottom w:val="none" w:sz="0" w:space="0" w:color="auto"/>
        <w:right w:val="none" w:sz="0" w:space="0" w:color="auto"/>
      </w:divBdr>
    </w:div>
    <w:div w:id="520431557">
      <w:bodyDiv w:val="1"/>
      <w:marLeft w:val="0"/>
      <w:marRight w:val="0"/>
      <w:marTop w:val="0"/>
      <w:marBottom w:val="0"/>
      <w:divBdr>
        <w:top w:val="none" w:sz="0" w:space="0" w:color="auto"/>
        <w:left w:val="none" w:sz="0" w:space="0" w:color="auto"/>
        <w:bottom w:val="none" w:sz="0" w:space="0" w:color="auto"/>
        <w:right w:val="none" w:sz="0" w:space="0" w:color="auto"/>
      </w:divBdr>
    </w:div>
    <w:div w:id="533545246">
      <w:bodyDiv w:val="1"/>
      <w:marLeft w:val="0"/>
      <w:marRight w:val="0"/>
      <w:marTop w:val="0"/>
      <w:marBottom w:val="0"/>
      <w:divBdr>
        <w:top w:val="none" w:sz="0" w:space="0" w:color="auto"/>
        <w:left w:val="none" w:sz="0" w:space="0" w:color="auto"/>
        <w:bottom w:val="none" w:sz="0" w:space="0" w:color="auto"/>
        <w:right w:val="none" w:sz="0" w:space="0" w:color="auto"/>
      </w:divBdr>
    </w:div>
    <w:div w:id="550307444">
      <w:bodyDiv w:val="1"/>
      <w:marLeft w:val="0"/>
      <w:marRight w:val="0"/>
      <w:marTop w:val="0"/>
      <w:marBottom w:val="0"/>
      <w:divBdr>
        <w:top w:val="none" w:sz="0" w:space="0" w:color="auto"/>
        <w:left w:val="none" w:sz="0" w:space="0" w:color="auto"/>
        <w:bottom w:val="none" w:sz="0" w:space="0" w:color="auto"/>
        <w:right w:val="none" w:sz="0" w:space="0" w:color="auto"/>
      </w:divBdr>
    </w:div>
    <w:div w:id="552234613">
      <w:bodyDiv w:val="1"/>
      <w:marLeft w:val="0"/>
      <w:marRight w:val="0"/>
      <w:marTop w:val="0"/>
      <w:marBottom w:val="0"/>
      <w:divBdr>
        <w:top w:val="none" w:sz="0" w:space="0" w:color="auto"/>
        <w:left w:val="none" w:sz="0" w:space="0" w:color="auto"/>
        <w:bottom w:val="none" w:sz="0" w:space="0" w:color="auto"/>
        <w:right w:val="none" w:sz="0" w:space="0" w:color="auto"/>
      </w:divBdr>
    </w:div>
    <w:div w:id="619798989">
      <w:bodyDiv w:val="1"/>
      <w:marLeft w:val="0"/>
      <w:marRight w:val="0"/>
      <w:marTop w:val="0"/>
      <w:marBottom w:val="0"/>
      <w:divBdr>
        <w:top w:val="none" w:sz="0" w:space="0" w:color="auto"/>
        <w:left w:val="none" w:sz="0" w:space="0" w:color="auto"/>
        <w:bottom w:val="none" w:sz="0" w:space="0" w:color="auto"/>
        <w:right w:val="none" w:sz="0" w:space="0" w:color="auto"/>
      </w:divBdr>
    </w:div>
    <w:div w:id="627781174">
      <w:bodyDiv w:val="1"/>
      <w:marLeft w:val="0"/>
      <w:marRight w:val="0"/>
      <w:marTop w:val="0"/>
      <w:marBottom w:val="0"/>
      <w:divBdr>
        <w:top w:val="none" w:sz="0" w:space="0" w:color="auto"/>
        <w:left w:val="none" w:sz="0" w:space="0" w:color="auto"/>
        <w:bottom w:val="none" w:sz="0" w:space="0" w:color="auto"/>
        <w:right w:val="none" w:sz="0" w:space="0" w:color="auto"/>
      </w:divBdr>
    </w:div>
    <w:div w:id="631864671">
      <w:bodyDiv w:val="1"/>
      <w:marLeft w:val="0"/>
      <w:marRight w:val="0"/>
      <w:marTop w:val="0"/>
      <w:marBottom w:val="0"/>
      <w:divBdr>
        <w:top w:val="none" w:sz="0" w:space="0" w:color="auto"/>
        <w:left w:val="none" w:sz="0" w:space="0" w:color="auto"/>
        <w:bottom w:val="none" w:sz="0" w:space="0" w:color="auto"/>
        <w:right w:val="none" w:sz="0" w:space="0" w:color="auto"/>
      </w:divBdr>
    </w:div>
    <w:div w:id="638345251">
      <w:bodyDiv w:val="1"/>
      <w:marLeft w:val="0"/>
      <w:marRight w:val="0"/>
      <w:marTop w:val="0"/>
      <w:marBottom w:val="0"/>
      <w:divBdr>
        <w:top w:val="none" w:sz="0" w:space="0" w:color="auto"/>
        <w:left w:val="none" w:sz="0" w:space="0" w:color="auto"/>
        <w:bottom w:val="none" w:sz="0" w:space="0" w:color="auto"/>
        <w:right w:val="none" w:sz="0" w:space="0" w:color="auto"/>
      </w:divBdr>
    </w:div>
    <w:div w:id="664669500">
      <w:bodyDiv w:val="1"/>
      <w:marLeft w:val="0"/>
      <w:marRight w:val="0"/>
      <w:marTop w:val="0"/>
      <w:marBottom w:val="0"/>
      <w:divBdr>
        <w:top w:val="none" w:sz="0" w:space="0" w:color="auto"/>
        <w:left w:val="none" w:sz="0" w:space="0" w:color="auto"/>
        <w:bottom w:val="none" w:sz="0" w:space="0" w:color="auto"/>
        <w:right w:val="none" w:sz="0" w:space="0" w:color="auto"/>
      </w:divBdr>
    </w:div>
    <w:div w:id="689381809">
      <w:bodyDiv w:val="1"/>
      <w:marLeft w:val="0"/>
      <w:marRight w:val="0"/>
      <w:marTop w:val="0"/>
      <w:marBottom w:val="0"/>
      <w:divBdr>
        <w:top w:val="none" w:sz="0" w:space="0" w:color="auto"/>
        <w:left w:val="none" w:sz="0" w:space="0" w:color="auto"/>
        <w:bottom w:val="none" w:sz="0" w:space="0" w:color="auto"/>
        <w:right w:val="none" w:sz="0" w:space="0" w:color="auto"/>
      </w:divBdr>
    </w:div>
    <w:div w:id="723336921">
      <w:bodyDiv w:val="1"/>
      <w:marLeft w:val="0"/>
      <w:marRight w:val="0"/>
      <w:marTop w:val="0"/>
      <w:marBottom w:val="0"/>
      <w:divBdr>
        <w:top w:val="none" w:sz="0" w:space="0" w:color="auto"/>
        <w:left w:val="none" w:sz="0" w:space="0" w:color="auto"/>
        <w:bottom w:val="none" w:sz="0" w:space="0" w:color="auto"/>
        <w:right w:val="none" w:sz="0" w:space="0" w:color="auto"/>
      </w:divBdr>
    </w:div>
    <w:div w:id="761298637">
      <w:bodyDiv w:val="1"/>
      <w:marLeft w:val="0"/>
      <w:marRight w:val="0"/>
      <w:marTop w:val="0"/>
      <w:marBottom w:val="0"/>
      <w:divBdr>
        <w:top w:val="none" w:sz="0" w:space="0" w:color="auto"/>
        <w:left w:val="none" w:sz="0" w:space="0" w:color="auto"/>
        <w:bottom w:val="none" w:sz="0" w:space="0" w:color="auto"/>
        <w:right w:val="none" w:sz="0" w:space="0" w:color="auto"/>
      </w:divBdr>
    </w:div>
    <w:div w:id="778569116">
      <w:bodyDiv w:val="1"/>
      <w:marLeft w:val="0"/>
      <w:marRight w:val="0"/>
      <w:marTop w:val="0"/>
      <w:marBottom w:val="0"/>
      <w:divBdr>
        <w:top w:val="none" w:sz="0" w:space="0" w:color="auto"/>
        <w:left w:val="none" w:sz="0" w:space="0" w:color="auto"/>
        <w:bottom w:val="none" w:sz="0" w:space="0" w:color="auto"/>
        <w:right w:val="none" w:sz="0" w:space="0" w:color="auto"/>
      </w:divBdr>
    </w:div>
    <w:div w:id="802306042">
      <w:bodyDiv w:val="1"/>
      <w:marLeft w:val="0"/>
      <w:marRight w:val="0"/>
      <w:marTop w:val="0"/>
      <w:marBottom w:val="0"/>
      <w:divBdr>
        <w:top w:val="none" w:sz="0" w:space="0" w:color="auto"/>
        <w:left w:val="none" w:sz="0" w:space="0" w:color="auto"/>
        <w:bottom w:val="none" w:sz="0" w:space="0" w:color="auto"/>
        <w:right w:val="none" w:sz="0" w:space="0" w:color="auto"/>
      </w:divBdr>
    </w:div>
    <w:div w:id="930432426">
      <w:bodyDiv w:val="1"/>
      <w:marLeft w:val="0"/>
      <w:marRight w:val="0"/>
      <w:marTop w:val="0"/>
      <w:marBottom w:val="0"/>
      <w:divBdr>
        <w:top w:val="none" w:sz="0" w:space="0" w:color="auto"/>
        <w:left w:val="none" w:sz="0" w:space="0" w:color="auto"/>
        <w:bottom w:val="none" w:sz="0" w:space="0" w:color="auto"/>
        <w:right w:val="none" w:sz="0" w:space="0" w:color="auto"/>
      </w:divBdr>
    </w:div>
    <w:div w:id="944843720">
      <w:bodyDiv w:val="1"/>
      <w:marLeft w:val="0"/>
      <w:marRight w:val="0"/>
      <w:marTop w:val="0"/>
      <w:marBottom w:val="0"/>
      <w:divBdr>
        <w:top w:val="none" w:sz="0" w:space="0" w:color="auto"/>
        <w:left w:val="none" w:sz="0" w:space="0" w:color="auto"/>
        <w:bottom w:val="none" w:sz="0" w:space="0" w:color="auto"/>
        <w:right w:val="none" w:sz="0" w:space="0" w:color="auto"/>
      </w:divBdr>
    </w:div>
    <w:div w:id="1007172265">
      <w:bodyDiv w:val="1"/>
      <w:marLeft w:val="0"/>
      <w:marRight w:val="0"/>
      <w:marTop w:val="0"/>
      <w:marBottom w:val="0"/>
      <w:divBdr>
        <w:top w:val="none" w:sz="0" w:space="0" w:color="auto"/>
        <w:left w:val="none" w:sz="0" w:space="0" w:color="auto"/>
        <w:bottom w:val="none" w:sz="0" w:space="0" w:color="auto"/>
        <w:right w:val="none" w:sz="0" w:space="0" w:color="auto"/>
      </w:divBdr>
    </w:div>
    <w:div w:id="1015839909">
      <w:bodyDiv w:val="1"/>
      <w:marLeft w:val="0"/>
      <w:marRight w:val="0"/>
      <w:marTop w:val="0"/>
      <w:marBottom w:val="0"/>
      <w:divBdr>
        <w:top w:val="none" w:sz="0" w:space="0" w:color="auto"/>
        <w:left w:val="none" w:sz="0" w:space="0" w:color="auto"/>
        <w:bottom w:val="none" w:sz="0" w:space="0" w:color="auto"/>
        <w:right w:val="none" w:sz="0" w:space="0" w:color="auto"/>
      </w:divBdr>
    </w:div>
    <w:div w:id="1045182079">
      <w:bodyDiv w:val="1"/>
      <w:marLeft w:val="0"/>
      <w:marRight w:val="0"/>
      <w:marTop w:val="0"/>
      <w:marBottom w:val="0"/>
      <w:divBdr>
        <w:top w:val="none" w:sz="0" w:space="0" w:color="auto"/>
        <w:left w:val="none" w:sz="0" w:space="0" w:color="auto"/>
        <w:bottom w:val="none" w:sz="0" w:space="0" w:color="auto"/>
        <w:right w:val="none" w:sz="0" w:space="0" w:color="auto"/>
      </w:divBdr>
    </w:div>
    <w:div w:id="1186820607">
      <w:bodyDiv w:val="1"/>
      <w:marLeft w:val="0"/>
      <w:marRight w:val="0"/>
      <w:marTop w:val="0"/>
      <w:marBottom w:val="0"/>
      <w:divBdr>
        <w:top w:val="none" w:sz="0" w:space="0" w:color="auto"/>
        <w:left w:val="none" w:sz="0" w:space="0" w:color="auto"/>
        <w:bottom w:val="none" w:sz="0" w:space="0" w:color="auto"/>
        <w:right w:val="none" w:sz="0" w:space="0" w:color="auto"/>
      </w:divBdr>
    </w:div>
    <w:div w:id="1214081264">
      <w:bodyDiv w:val="1"/>
      <w:marLeft w:val="0"/>
      <w:marRight w:val="0"/>
      <w:marTop w:val="0"/>
      <w:marBottom w:val="0"/>
      <w:divBdr>
        <w:top w:val="none" w:sz="0" w:space="0" w:color="auto"/>
        <w:left w:val="none" w:sz="0" w:space="0" w:color="auto"/>
        <w:bottom w:val="none" w:sz="0" w:space="0" w:color="auto"/>
        <w:right w:val="none" w:sz="0" w:space="0" w:color="auto"/>
      </w:divBdr>
    </w:div>
    <w:div w:id="1334334996">
      <w:bodyDiv w:val="1"/>
      <w:marLeft w:val="0"/>
      <w:marRight w:val="0"/>
      <w:marTop w:val="0"/>
      <w:marBottom w:val="0"/>
      <w:divBdr>
        <w:top w:val="none" w:sz="0" w:space="0" w:color="auto"/>
        <w:left w:val="none" w:sz="0" w:space="0" w:color="auto"/>
        <w:bottom w:val="none" w:sz="0" w:space="0" w:color="auto"/>
        <w:right w:val="none" w:sz="0" w:space="0" w:color="auto"/>
      </w:divBdr>
    </w:div>
    <w:div w:id="1350720661">
      <w:bodyDiv w:val="1"/>
      <w:marLeft w:val="0"/>
      <w:marRight w:val="0"/>
      <w:marTop w:val="0"/>
      <w:marBottom w:val="0"/>
      <w:divBdr>
        <w:top w:val="none" w:sz="0" w:space="0" w:color="auto"/>
        <w:left w:val="none" w:sz="0" w:space="0" w:color="auto"/>
        <w:bottom w:val="none" w:sz="0" w:space="0" w:color="auto"/>
        <w:right w:val="none" w:sz="0" w:space="0" w:color="auto"/>
      </w:divBdr>
    </w:div>
    <w:div w:id="1367757890">
      <w:bodyDiv w:val="1"/>
      <w:marLeft w:val="0"/>
      <w:marRight w:val="0"/>
      <w:marTop w:val="0"/>
      <w:marBottom w:val="0"/>
      <w:divBdr>
        <w:top w:val="none" w:sz="0" w:space="0" w:color="auto"/>
        <w:left w:val="none" w:sz="0" w:space="0" w:color="auto"/>
        <w:bottom w:val="none" w:sz="0" w:space="0" w:color="auto"/>
        <w:right w:val="none" w:sz="0" w:space="0" w:color="auto"/>
      </w:divBdr>
    </w:div>
    <w:div w:id="1382751192">
      <w:bodyDiv w:val="1"/>
      <w:marLeft w:val="0"/>
      <w:marRight w:val="0"/>
      <w:marTop w:val="0"/>
      <w:marBottom w:val="0"/>
      <w:divBdr>
        <w:top w:val="none" w:sz="0" w:space="0" w:color="auto"/>
        <w:left w:val="none" w:sz="0" w:space="0" w:color="auto"/>
        <w:bottom w:val="none" w:sz="0" w:space="0" w:color="auto"/>
        <w:right w:val="none" w:sz="0" w:space="0" w:color="auto"/>
      </w:divBdr>
    </w:div>
    <w:div w:id="1408841850">
      <w:bodyDiv w:val="1"/>
      <w:marLeft w:val="0"/>
      <w:marRight w:val="0"/>
      <w:marTop w:val="0"/>
      <w:marBottom w:val="0"/>
      <w:divBdr>
        <w:top w:val="none" w:sz="0" w:space="0" w:color="auto"/>
        <w:left w:val="none" w:sz="0" w:space="0" w:color="auto"/>
        <w:bottom w:val="none" w:sz="0" w:space="0" w:color="auto"/>
        <w:right w:val="none" w:sz="0" w:space="0" w:color="auto"/>
      </w:divBdr>
    </w:div>
    <w:div w:id="1436319400">
      <w:bodyDiv w:val="1"/>
      <w:marLeft w:val="0"/>
      <w:marRight w:val="0"/>
      <w:marTop w:val="0"/>
      <w:marBottom w:val="0"/>
      <w:divBdr>
        <w:top w:val="none" w:sz="0" w:space="0" w:color="auto"/>
        <w:left w:val="none" w:sz="0" w:space="0" w:color="auto"/>
        <w:bottom w:val="none" w:sz="0" w:space="0" w:color="auto"/>
        <w:right w:val="none" w:sz="0" w:space="0" w:color="auto"/>
      </w:divBdr>
    </w:div>
    <w:div w:id="1445416397">
      <w:bodyDiv w:val="1"/>
      <w:marLeft w:val="0"/>
      <w:marRight w:val="0"/>
      <w:marTop w:val="0"/>
      <w:marBottom w:val="0"/>
      <w:divBdr>
        <w:top w:val="none" w:sz="0" w:space="0" w:color="auto"/>
        <w:left w:val="none" w:sz="0" w:space="0" w:color="auto"/>
        <w:bottom w:val="none" w:sz="0" w:space="0" w:color="auto"/>
        <w:right w:val="none" w:sz="0" w:space="0" w:color="auto"/>
      </w:divBdr>
    </w:div>
    <w:div w:id="1463496955">
      <w:bodyDiv w:val="1"/>
      <w:marLeft w:val="0"/>
      <w:marRight w:val="0"/>
      <w:marTop w:val="0"/>
      <w:marBottom w:val="0"/>
      <w:divBdr>
        <w:top w:val="none" w:sz="0" w:space="0" w:color="auto"/>
        <w:left w:val="none" w:sz="0" w:space="0" w:color="auto"/>
        <w:bottom w:val="none" w:sz="0" w:space="0" w:color="auto"/>
        <w:right w:val="none" w:sz="0" w:space="0" w:color="auto"/>
      </w:divBdr>
    </w:div>
    <w:div w:id="1503276504">
      <w:bodyDiv w:val="1"/>
      <w:marLeft w:val="0"/>
      <w:marRight w:val="0"/>
      <w:marTop w:val="0"/>
      <w:marBottom w:val="0"/>
      <w:divBdr>
        <w:top w:val="none" w:sz="0" w:space="0" w:color="auto"/>
        <w:left w:val="none" w:sz="0" w:space="0" w:color="auto"/>
        <w:bottom w:val="none" w:sz="0" w:space="0" w:color="auto"/>
        <w:right w:val="none" w:sz="0" w:space="0" w:color="auto"/>
      </w:divBdr>
    </w:div>
    <w:div w:id="1517307993">
      <w:bodyDiv w:val="1"/>
      <w:marLeft w:val="0"/>
      <w:marRight w:val="0"/>
      <w:marTop w:val="0"/>
      <w:marBottom w:val="0"/>
      <w:divBdr>
        <w:top w:val="none" w:sz="0" w:space="0" w:color="auto"/>
        <w:left w:val="none" w:sz="0" w:space="0" w:color="auto"/>
        <w:bottom w:val="none" w:sz="0" w:space="0" w:color="auto"/>
        <w:right w:val="none" w:sz="0" w:space="0" w:color="auto"/>
      </w:divBdr>
    </w:div>
    <w:div w:id="1546912093">
      <w:bodyDiv w:val="1"/>
      <w:marLeft w:val="0"/>
      <w:marRight w:val="0"/>
      <w:marTop w:val="0"/>
      <w:marBottom w:val="0"/>
      <w:divBdr>
        <w:top w:val="none" w:sz="0" w:space="0" w:color="auto"/>
        <w:left w:val="none" w:sz="0" w:space="0" w:color="auto"/>
        <w:bottom w:val="none" w:sz="0" w:space="0" w:color="auto"/>
        <w:right w:val="none" w:sz="0" w:space="0" w:color="auto"/>
      </w:divBdr>
    </w:div>
    <w:div w:id="1594777783">
      <w:bodyDiv w:val="1"/>
      <w:marLeft w:val="0"/>
      <w:marRight w:val="0"/>
      <w:marTop w:val="0"/>
      <w:marBottom w:val="0"/>
      <w:divBdr>
        <w:top w:val="none" w:sz="0" w:space="0" w:color="auto"/>
        <w:left w:val="none" w:sz="0" w:space="0" w:color="auto"/>
        <w:bottom w:val="none" w:sz="0" w:space="0" w:color="auto"/>
        <w:right w:val="none" w:sz="0" w:space="0" w:color="auto"/>
      </w:divBdr>
    </w:div>
    <w:div w:id="1637102169">
      <w:bodyDiv w:val="1"/>
      <w:marLeft w:val="0"/>
      <w:marRight w:val="0"/>
      <w:marTop w:val="0"/>
      <w:marBottom w:val="0"/>
      <w:divBdr>
        <w:top w:val="none" w:sz="0" w:space="0" w:color="auto"/>
        <w:left w:val="none" w:sz="0" w:space="0" w:color="auto"/>
        <w:bottom w:val="none" w:sz="0" w:space="0" w:color="auto"/>
        <w:right w:val="none" w:sz="0" w:space="0" w:color="auto"/>
      </w:divBdr>
    </w:div>
    <w:div w:id="1637837482">
      <w:bodyDiv w:val="1"/>
      <w:marLeft w:val="0"/>
      <w:marRight w:val="0"/>
      <w:marTop w:val="0"/>
      <w:marBottom w:val="0"/>
      <w:divBdr>
        <w:top w:val="none" w:sz="0" w:space="0" w:color="auto"/>
        <w:left w:val="none" w:sz="0" w:space="0" w:color="auto"/>
        <w:bottom w:val="none" w:sz="0" w:space="0" w:color="auto"/>
        <w:right w:val="none" w:sz="0" w:space="0" w:color="auto"/>
      </w:divBdr>
    </w:div>
    <w:div w:id="1724788334">
      <w:bodyDiv w:val="1"/>
      <w:marLeft w:val="0"/>
      <w:marRight w:val="0"/>
      <w:marTop w:val="0"/>
      <w:marBottom w:val="0"/>
      <w:divBdr>
        <w:top w:val="none" w:sz="0" w:space="0" w:color="auto"/>
        <w:left w:val="none" w:sz="0" w:space="0" w:color="auto"/>
        <w:bottom w:val="none" w:sz="0" w:space="0" w:color="auto"/>
        <w:right w:val="none" w:sz="0" w:space="0" w:color="auto"/>
      </w:divBdr>
    </w:div>
    <w:div w:id="1754008391">
      <w:bodyDiv w:val="1"/>
      <w:marLeft w:val="0"/>
      <w:marRight w:val="0"/>
      <w:marTop w:val="0"/>
      <w:marBottom w:val="0"/>
      <w:divBdr>
        <w:top w:val="none" w:sz="0" w:space="0" w:color="auto"/>
        <w:left w:val="none" w:sz="0" w:space="0" w:color="auto"/>
        <w:bottom w:val="none" w:sz="0" w:space="0" w:color="auto"/>
        <w:right w:val="none" w:sz="0" w:space="0" w:color="auto"/>
      </w:divBdr>
    </w:div>
    <w:div w:id="1802577674">
      <w:bodyDiv w:val="1"/>
      <w:marLeft w:val="0"/>
      <w:marRight w:val="0"/>
      <w:marTop w:val="0"/>
      <w:marBottom w:val="0"/>
      <w:divBdr>
        <w:top w:val="none" w:sz="0" w:space="0" w:color="auto"/>
        <w:left w:val="none" w:sz="0" w:space="0" w:color="auto"/>
        <w:bottom w:val="none" w:sz="0" w:space="0" w:color="auto"/>
        <w:right w:val="none" w:sz="0" w:space="0" w:color="auto"/>
      </w:divBdr>
    </w:div>
    <w:div w:id="1833327623">
      <w:bodyDiv w:val="1"/>
      <w:marLeft w:val="0"/>
      <w:marRight w:val="0"/>
      <w:marTop w:val="0"/>
      <w:marBottom w:val="0"/>
      <w:divBdr>
        <w:top w:val="none" w:sz="0" w:space="0" w:color="auto"/>
        <w:left w:val="none" w:sz="0" w:space="0" w:color="auto"/>
        <w:bottom w:val="none" w:sz="0" w:space="0" w:color="auto"/>
        <w:right w:val="none" w:sz="0" w:space="0" w:color="auto"/>
      </w:divBdr>
    </w:div>
    <w:div w:id="1937051793">
      <w:bodyDiv w:val="1"/>
      <w:marLeft w:val="0"/>
      <w:marRight w:val="0"/>
      <w:marTop w:val="0"/>
      <w:marBottom w:val="0"/>
      <w:divBdr>
        <w:top w:val="none" w:sz="0" w:space="0" w:color="auto"/>
        <w:left w:val="none" w:sz="0" w:space="0" w:color="auto"/>
        <w:bottom w:val="none" w:sz="0" w:space="0" w:color="auto"/>
        <w:right w:val="none" w:sz="0" w:space="0" w:color="auto"/>
      </w:divBdr>
    </w:div>
    <w:div w:id="1979843370">
      <w:bodyDiv w:val="1"/>
      <w:marLeft w:val="0"/>
      <w:marRight w:val="0"/>
      <w:marTop w:val="0"/>
      <w:marBottom w:val="0"/>
      <w:divBdr>
        <w:top w:val="none" w:sz="0" w:space="0" w:color="auto"/>
        <w:left w:val="none" w:sz="0" w:space="0" w:color="auto"/>
        <w:bottom w:val="none" w:sz="0" w:space="0" w:color="auto"/>
        <w:right w:val="none" w:sz="0" w:space="0" w:color="auto"/>
      </w:divBdr>
    </w:div>
    <w:div w:id="2013800838">
      <w:bodyDiv w:val="1"/>
      <w:marLeft w:val="0"/>
      <w:marRight w:val="0"/>
      <w:marTop w:val="0"/>
      <w:marBottom w:val="0"/>
      <w:divBdr>
        <w:top w:val="none" w:sz="0" w:space="0" w:color="auto"/>
        <w:left w:val="none" w:sz="0" w:space="0" w:color="auto"/>
        <w:bottom w:val="none" w:sz="0" w:space="0" w:color="auto"/>
        <w:right w:val="none" w:sz="0" w:space="0" w:color="auto"/>
      </w:divBdr>
    </w:div>
    <w:div w:id="2024359895">
      <w:bodyDiv w:val="1"/>
      <w:marLeft w:val="0"/>
      <w:marRight w:val="0"/>
      <w:marTop w:val="0"/>
      <w:marBottom w:val="0"/>
      <w:divBdr>
        <w:top w:val="none" w:sz="0" w:space="0" w:color="auto"/>
        <w:left w:val="none" w:sz="0" w:space="0" w:color="auto"/>
        <w:bottom w:val="none" w:sz="0" w:space="0" w:color="auto"/>
        <w:right w:val="none" w:sz="0" w:space="0" w:color="auto"/>
      </w:divBdr>
    </w:div>
    <w:div w:id="2048606683">
      <w:bodyDiv w:val="1"/>
      <w:marLeft w:val="0"/>
      <w:marRight w:val="0"/>
      <w:marTop w:val="0"/>
      <w:marBottom w:val="0"/>
      <w:divBdr>
        <w:top w:val="none" w:sz="0" w:space="0" w:color="auto"/>
        <w:left w:val="none" w:sz="0" w:space="0" w:color="auto"/>
        <w:bottom w:val="none" w:sz="0" w:space="0" w:color="auto"/>
        <w:right w:val="none" w:sz="0" w:space="0" w:color="auto"/>
      </w:divBdr>
    </w:div>
    <w:div w:id="2062291750">
      <w:bodyDiv w:val="1"/>
      <w:marLeft w:val="0"/>
      <w:marRight w:val="0"/>
      <w:marTop w:val="0"/>
      <w:marBottom w:val="0"/>
      <w:divBdr>
        <w:top w:val="none" w:sz="0" w:space="0" w:color="auto"/>
        <w:left w:val="none" w:sz="0" w:space="0" w:color="auto"/>
        <w:bottom w:val="none" w:sz="0" w:space="0" w:color="auto"/>
        <w:right w:val="none" w:sz="0" w:space="0" w:color="auto"/>
      </w:divBdr>
    </w:div>
    <w:div w:id="2140612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chart" Target="charts/chart2.xml"/><Relationship Id="rId26" Type="http://schemas.openxmlformats.org/officeDocument/2006/relationships/chart" Target="charts/chart8.xml"/><Relationship Id="rId39" Type="http://schemas.openxmlformats.org/officeDocument/2006/relationships/image" Target="media/image5.png"/><Relationship Id="rId21" Type="http://schemas.openxmlformats.org/officeDocument/2006/relationships/hyperlink" Target="https://funduszeue.kujawsko-pomorskie.pl/instrumenty-terytorialne/" TargetMode="External"/><Relationship Id="rId34" Type="http://schemas.openxmlformats.org/officeDocument/2006/relationships/hyperlink" Target="http://www.funduszeeuropejskie.gov.pl/" TargetMode="External"/><Relationship Id="rId42" Type="http://schemas.openxmlformats.org/officeDocument/2006/relationships/chart" Target="charts/chart19.xml"/><Relationship Id="rId47" Type="http://schemas.openxmlformats.org/officeDocument/2006/relationships/chart" Target="charts/chart2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evalu@evalu.pl" TargetMode="External"/><Relationship Id="rId29" Type="http://schemas.openxmlformats.org/officeDocument/2006/relationships/chart" Target="charts/chart11.xml"/><Relationship Id="rId11" Type="http://schemas.openxmlformats.org/officeDocument/2006/relationships/image" Target="media/image1.jpeg"/><Relationship Id="rId24" Type="http://schemas.openxmlformats.org/officeDocument/2006/relationships/chart" Target="charts/chart6.xml"/><Relationship Id="rId32" Type="http://schemas.openxmlformats.org/officeDocument/2006/relationships/chart" Target="charts/chart14.xml"/><Relationship Id="rId37" Type="http://schemas.openxmlformats.org/officeDocument/2006/relationships/chart" Target="charts/chart17.xml"/><Relationship Id="rId40" Type="http://schemas.openxmlformats.org/officeDocument/2006/relationships/image" Target="media/image6.png"/><Relationship Id="rId45" Type="http://schemas.openxmlformats.org/officeDocument/2006/relationships/chart" Target="charts/chart22.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chart" Target="charts/chart5.xml"/><Relationship Id="rId28" Type="http://schemas.openxmlformats.org/officeDocument/2006/relationships/chart" Target="charts/chart10.xml"/><Relationship Id="rId36" Type="http://schemas.openxmlformats.org/officeDocument/2006/relationships/chart" Target="charts/chart16.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chart" Target="charts/chart3.xml"/><Relationship Id="rId31" Type="http://schemas.openxmlformats.org/officeDocument/2006/relationships/chart" Target="charts/chart13.xml"/><Relationship Id="rId44" Type="http://schemas.openxmlformats.org/officeDocument/2006/relationships/chart" Target="charts/chart2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chart" Target="charts/chart4.xml"/><Relationship Id="rId27" Type="http://schemas.openxmlformats.org/officeDocument/2006/relationships/chart" Target="charts/chart9.xml"/><Relationship Id="rId30" Type="http://schemas.openxmlformats.org/officeDocument/2006/relationships/chart" Target="charts/chart12.xml"/><Relationship Id="rId35" Type="http://schemas.openxmlformats.org/officeDocument/2006/relationships/chart" Target="charts/chart15.xml"/><Relationship Id="rId43" Type="http://schemas.openxmlformats.org/officeDocument/2006/relationships/chart" Target="charts/chart20.xml"/><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chart" Target="charts/chart1.xml"/><Relationship Id="rId25" Type="http://schemas.openxmlformats.org/officeDocument/2006/relationships/chart" Target="charts/chart7.xml"/><Relationship Id="rId33" Type="http://schemas.openxmlformats.org/officeDocument/2006/relationships/hyperlink" Target="https://funduszeue.kujawsko-pomorskie.pl/" TargetMode="External"/><Relationship Id="rId38" Type="http://schemas.openxmlformats.org/officeDocument/2006/relationships/image" Target="media/image4.png"/><Relationship Id="rId46" Type="http://schemas.openxmlformats.org/officeDocument/2006/relationships/chart" Target="charts/chart23.xml"/><Relationship Id="rId20" Type="http://schemas.openxmlformats.org/officeDocument/2006/relationships/hyperlink" Target="https://funduszeue.kujawsko-pomorskie.pl/instrumenty-terytorialne/" TargetMode="External"/><Relationship Id="rId41" Type="http://schemas.openxmlformats.org/officeDocument/2006/relationships/chart" Target="charts/chart18.xml"/><Relationship Id="rId1" Type="http://schemas.openxmlformats.org/officeDocument/2006/relationships/customXml" Target="../customXml/item1.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3" Type="http://schemas.openxmlformats.org/officeDocument/2006/relationships/hyperlink" Target="https://funduszeue.kujawsko-pomorskie.pl/poradniki/adaptacja-do-zmian-klimatu-w-okresie-programowania-2021-2027-dla-jednostek-samorzadu-terytorialnego/" TargetMode="External"/><Relationship Id="rId2" Type="http://schemas.openxmlformats.org/officeDocument/2006/relationships/hyperlink" Target="https://mojregion.eu/rpo/wp-content/uploads/sites/3/2023/05/Kontrakt-programowy.pdf" TargetMode="External"/><Relationship Id="rId1" Type="http://schemas.openxmlformats.org/officeDocument/2006/relationships/hyperlink" Target="https://funduszeue.kujawsko-pomorskie.pl/wp-content/uploads/2024/11/Regulamin-Wyboru-Projektow-EFS-obowiazuje-od-3.03.2025.pdf" TargetMode="External"/><Relationship Id="rId6" Type="http://schemas.openxmlformats.org/officeDocument/2006/relationships/hyperlink" Target="https://isap.sejm.gov.pl/isap.nsf/DocDetails.xsp?id=WDU20240001283" TargetMode="External"/><Relationship Id="rId5" Type="http://schemas.openxmlformats.org/officeDocument/2006/relationships/hyperlink" Target="https://funduszeue.slaskie.pl/web/guest/nabory/lsi/24" TargetMode="External"/><Relationship Id="rId4" Type="http://schemas.openxmlformats.org/officeDocument/2006/relationships/hyperlink" Target="https://funduszeue.kujawsko-pomorskie.pl/poradniki/http-ocena-zgodnosci-z-zasada-nie-czyn-powaznych-szkod-dnsh/"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20rozdzia&#322;%204.3.2.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https://agrotecpolska-my.sharepoint.com/personal/palka_agrotecpolska_onmicrosoft_com/Documents/Evalu%2008.2022/Projekty/2025/KUJ%20POM%20nabory/Realizacja/RK/Wyniki%20wnioskodawcy_osobne%20arkusze.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_beneficjenci%20RPO.xlsx" TargetMode="External"/><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projekt%20RK/Wykresy%20grafiki/Wykresy_rozdz%204.3.4.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https://agrotecpolska-my.sharepoint.com/personal/agrotec_agrotecpolska_onmicrosoft_com/Documents/SERWER%20AGROTEC/0_AKTUALNE%20PROJEKTY%20WYK/2025_KUJPOM_nabory/5.REALIZACJA/RK/AS/Wyniki%20wnioskodawcy%20FEdKP.xlsx" TargetMode="External"/><Relationship Id="rId2" Type="http://schemas.microsoft.com/office/2011/relationships/chartColorStyle" Target="colors24.xml"/><Relationship Id="rId1" Type="http://schemas.microsoft.com/office/2011/relationships/chartStyle" Target="style2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4250440917107582E-2"/>
          <c:y val="9.3457943925233641E-2"/>
          <c:w val="0.8985890652557319"/>
          <c:h val="0.68670247994701594"/>
        </c:manualLayout>
      </c:layout>
      <c:barChart>
        <c:barDir val="bar"/>
        <c:grouping val="percentStacked"/>
        <c:varyColors val="0"/>
        <c:ser>
          <c:idx val="0"/>
          <c:order val="0"/>
          <c:tx>
            <c:strRef>
              <c:f>'P36'!$B$4</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'P36'!$D$4</c:f>
              <c:numCache>
                <c:formatCode>###0.0%</c:formatCode>
                <c:ptCount val="1"/>
                <c:pt idx="0">
                  <c:v>8.9552238805970144E-2</c:v>
                </c:pt>
              </c:numCache>
            </c:numRef>
          </c:val>
          <c:extLst>
            <c:ext xmlns:c16="http://schemas.microsoft.com/office/drawing/2014/chart" uri="{C3380CC4-5D6E-409C-BE32-E72D297353CC}">
              <c16:uniqueId val="{00000000-F215-4F22-A1CF-615D1F910237}"/>
            </c:ext>
          </c:extLst>
        </c:ser>
        <c:ser>
          <c:idx val="1"/>
          <c:order val="1"/>
          <c:tx>
            <c:strRef>
              <c:f>'P36'!$B$5</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'P36'!$D$5</c:f>
              <c:numCache>
                <c:formatCode>###0.0%</c:formatCode>
                <c:ptCount val="1"/>
                <c:pt idx="0">
                  <c:v>0.32835820895522388</c:v>
                </c:pt>
              </c:numCache>
            </c:numRef>
          </c:val>
          <c:extLst>
            <c:ext xmlns:c16="http://schemas.microsoft.com/office/drawing/2014/chart" uri="{C3380CC4-5D6E-409C-BE32-E72D297353CC}">
              <c16:uniqueId val="{00000001-F215-4F22-A1CF-615D1F910237}"/>
            </c:ext>
          </c:extLst>
        </c:ser>
        <c:ser>
          <c:idx val="2"/>
          <c:order val="2"/>
          <c:tx>
            <c:strRef>
              <c:f>'P36'!$B$6</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'P36'!$D$6</c:f>
              <c:numCache>
                <c:formatCode>###0.0%</c:formatCode>
                <c:ptCount val="1"/>
                <c:pt idx="0">
                  <c:v>0.34328358208955223</c:v>
                </c:pt>
              </c:numCache>
            </c:numRef>
          </c:val>
          <c:extLst>
            <c:ext xmlns:c16="http://schemas.microsoft.com/office/drawing/2014/chart" uri="{C3380CC4-5D6E-409C-BE32-E72D297353CC}">
              <c16:uniqueId val="{00000002-F215-4F22-A1CF-615D1F910237}"/>
            </c:ext>
          </c:extLst>
        </c:ser>
        <c:ser>
          <c:idx val="3"/>
          <c:order val="3"/>
          <c:tx>
            <c:strRef>
              <c:f>'P36'!$B$7</c:f>
              <c:strCache>
                <c:ptCount val="1"/>
                <c:pt idx="0">
                  <c:v>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'P36'!$D$7</c:f>
              <c:numCache>
                <c:formatCode>###0.0%</c:formatCode>
                <c:ptCount val="1"/>
                <c:pt idx="0">
                  <c:v>0.1492537313432836</c:v>
                </c:pt>
              </c:numCache>
            </c:numRef>
          </c:val>
          <c:extLst>
            <c:ext xmlns:c16="http://schemas.microsoft.com/office/drawing/2014/chart" uri="{C3380CC4-5D6E-409C-BE32-E72D297353CC}">
              <c16:uniqueId val="{00000003-F215-4F22-A1CF-615D1F910237}"/>
            </c:ext>
          </c:extLst>
        </c:ser>
        <c:ser>
          <c:idx val="4"/>
          <c:order val="4"/>
          <c:tx>
            <c:strRef>
              <c:f>'P36'!$B$8</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'P36'!$D$8</c:f>
              <c:numCache>
                <c:formatCode>###0.0%</c:formatCode>
                <c:ptCount val="1"/>
                <c:pt idx="0">
                  <c:v>8.9552238805970144E-2</c:v>
                </c:pt>
              </c:numCache>
            </c:numRef>
          </c:val>
          <c:extLst>
            <c:ext xmlns:c16="http://schemas.microsoft.com/office/drawing/2014/chart" uri="{C3380CC4-5D6E-409C-BE32-E72D297353CC}">
              <c16:uniqueId val="{00000004-F215-4F22-A1CF-615D1F910237}"/>
            </c:ext>
          </c:extLst>
        </c:ser>
        <c:dLbls>
          <c:dLblPos val="ctr"/>
          <c:showLegendKey val="0"/>
          <c:showVal val="1"/>
          <c:showCatName val="0"/>
          <c:showSerName val="0"/>
          <c:showPercent val="0"/>
          <c:showBubbleSize val="0"/>
        </c:dLbls>
        <c:gapWidth val="150"/>
        <c:overlap val="100"/>
        <c:axId val="1800065215"/>
        <c:axId val="1800065695"/>
      </c:barChart>
      <c:catAx>
        <c:axId val="1800065215"/>
        <c:scaling>
          <c:orientation val="minMax"/>
        </c:scaling>
        <c:delete val="1"/>
        <c:axPos val="l"/>
        <c:numFmt formatCode="General" sourceLinked="1"/>
        <c:majorTickMark val="none"/>
        <c:minorTickMark val="none"/>
        <c:tickLblPos val="nextTo"/>
        <c:crossAx val="1800065695"/>
        <c:crosses val="autoZero"/>
        <c:auto val="1"/>
        <c:lblAlgn val="ctr"/>
        <c:lblOffset val="100"/>
        <c:noMultiLvlLbl val="0"/>
      </c:catAx>
      <c:valAx>
        <c:axId val="1800065695"/>
        <c:scaling>
          <c:orientation val="minMax"/>
        </c:scaling>
        <c:delete val="1"/>
        <c:axPos val="b"/>
        <c:numFmt formatCode="0%" sourceLinked="1"/>
        <c:majorTickMark val="none"/>
        <c:minorTickMark val="none"/>
        <c:tickLblPos val="nextTo"/>
        <c:crossAx val="1800065215"/>
        <c:crosses val="autoZero"/>
        <c:crossBetween val="between"/>
      </c:valAx>
      <c:spPr>
        <a:noFill/>
        <a:ln>
          <a:noFill/>
        </a:ln>
        <a:effectLst/>
      </c:spPr>
    </c:plotArea>
    <c:legend>
      <c:legendPos val="b"/>
      <c:layout>
        <c:manualLayout>
          <c:xMode val="edge"/>
          <c:yMode val="edge"/>
          <c:x val="2.4692920329403276E-2"/>
          <c:y val="0.76446704578594338"/>
          <c:w val="0.94400040272743679"/>
          <c:h val="0.20775517643627875"/>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2.5402201524132091E-2"/>
          <c:w val="1"/>
          <c:h val="0.64796022264458319"/>
        </c:manualLayout>
      </c:layout>
      <c:barChart>
        <c:barDir val="col"/>
        <c:grouping val="clustered"/>
        <c:varyColors val="0"/>
        <c:ser>
          <c:idx val="0"/>
          <c:order val="0"/>
          <c:tx>
            <c:strRef>
              <c:f>'P27'!$B$4</c:f>
              <c:strCache>
                <c:ptCount val="1"/>
                <c:pt idx="0">
                  <c:v>Bardzo dobrze</c:v>
                </c:pt>
              </c:strCache>
            </c:strRef>
          </c:tx>
          <c:spPr>
            <a:solidFill>
              <a:schemeClr val="accent1"/>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15:layout>
                    <c:manualLayout>
                      <c:w val="8.710243899181884E-2"/>
                      <c:h val="0.13721442147317792"/>
                    </c:manualLayout>
                  </c15:layout>
                </c:ext>
                <c:ext xmlns:c16="http://schemas.microsoft.com/office/drawing/2014/chart" uri="{C3380CC4-5D6E-409C-BE32-E72D297353CC}">
                  <c16:uniqueId val="{00000000-3FAD-42EE-A0F7-182861AE94F5}"/>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'P27'!$D$4</c:f>
              <c:numCache>
                <c:formatCode>###0.0%</c:formatCode>
                <c:ptCount val="1"/>
                <c:pt idx="0">
                  <c:v>0.16417910447761194</c:v>
                </c:pt>
              </c:numCache>
            </c:numRef>
          </c:val>
          <c:extLst>
            <c:ext xmlns:c16="http://schemas.microsoft.com/office/drawing/2014/chart" uri="{C3380CC4-5D6E-409C-BE32-E72D297353CC}">
              <c16:uniqueId val="{00000001-3FAD-42EE-A0F7-182861AE94F5}"/>
            </c:ext>
          </c:extLst>
        </c:ser>
        <c:ser>
          <c:idx val="1"/>
          <c:order val="1"/>
          <c:tx>
            <c:strRef>
              <c:f>'P27'!$B$5</c:f>
              <c:strCache>
                <c:ptCount val="1"/>
                <c:pt idx="0">
                  <c:v>Raczej dobrze</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'P27'!$D$5</c:f>
              <c:numCache>
                <c:formatCode>###0.0%</c:formatCode>
                <c:ptCount val="1"/>
                <c:pt idx="0">
                  <c:v>0.52238805970149249</c:v>
                </c:pt>
              </c:numCache>
            </c:numRef>
          </c:val>
          <c:extLst>
            <c:ext xmlns:c16="http://schemas.microsoft.com/office/drawing/2014/chart" uri="{C3380CC4-5D6E-409C-BE32-E72D297353CC}">
              <c16:uniqueId val="{00000002-3FAD-42EE-A0F7-182861AE94F5}"/>
            </c:ext>
          </c:extLst>
        </c:ser>
        <c:ser>
          <c:idx val="2"/>
          <c:order val="2"/>
          <c:tx>
            <c:strRef>
              <c:f>'P27'!$B$6</c:f>
              <c:strCache>
                <c:ptCount val="1"/>
                <c:pt idx="0">
                  <c:v>Przeciętnie</c:v>
                </c:pt>
              </c:strCache>
            </c:strRef>
          </c:tx>
          <c:spPr>
            <a:solidFill>
              <a:schemeClr val="accent3"/>
            </a:solidFill>
            <a:ln>
              <a:noFill/>
            </a:ln>
            <a:effectLst/>
          </c:spPr>
          <c:invertIfNegative val="0"/>
          <c:dLbls>
            <c:dLbl>
              <c:idx val="0"/>
              <c:dLblPos val="outEnd"/>
              <c:showLegendKey val="0"/>
              <c:showVal val="1"/>
              <c:showCatName val="0"/>
              <c:showSerName val="0"/>
              <c:showPercent val="0"/>
              <c:showBubbleSize val="0"/>
              <c:extLst>
                <c:ext xmlns:c15="http://schemas.microsoft.com/office/drawing/2012/chart" uri="{CE6537A1-D6FC-4f65-9D91-7224C49458BB}">
                  <c15:layout>
                    <c:manualLayout>
                      <c:w val="8.710243899181884E-2"/>
                      <c:h val="0.15414937356968311"/>
                    </c:manualLayout>
                  </c15:layout>
                </c:ext>
                <c:ext xmlns:c16="http://schemas.microsoft.com/office/drawing/2014/chart" uri="{C3380CC4-5D6E-409C-BE32-E72D297353CC}">
                  <c16:uniqueId val="{00000003-3FAD-42EE-A0F7-182861AE94F5}"/>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'P27'!$D$6</c:f>
              <c:numCache>
                <c:formatCode>###0.0%</c:formatCode>
                <c:ptCount val="1"/>
                <c:pt idx="0">
                  <c:v>0.1492537313432836</c:v>
                </c:pt>
              </c:numCache>
            </c:numRef>
          </c:val>
          <c:extLst>
            <c:ext xmlns:c16="http://schemas.microsoft.com/office/drawing/2014/chart" uri="{C3380CC4-5D6E-409C-BE32-E72D297353CC}">
              <c16:uniqueId val="{00000004-3FAD-42EE-A0F7-182861AE94F5}"/>
            </c:ext>
          </c:extLst>
        </c:ser>
        <c:ser>
          <c:idx val="3"/>
          <c:order val="3"/>
          <c:tx>
            <c:strRef>
              <c:f>'P27'!$B$7</c:f>
              <c:strCache>
                <c:ptCount val="1"/>
                <c:pt idx="0">
                  <c:v>Raczej źle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'P27'!$D$7</c:f>
              <c:numCache>
                <c:formatCode>###0.0%</c:formatCode>
                <c:ptCount val="1"/>
                <c:pt idx="0">
                  <c:v>2.9850746268656719E-2</c:v>
                </c:pt>
              </c:numCache>
            </c:numRef>
          </c:val>
          <c:extLst>
            <c:ext xmlns:c16="http://schemas.microsoft.com/office/drawing/2014/chart" uri="{C3380CC4-5D6E-409C-BE32-E72D297353CC}">
              <c16:uniqueId val="{00000005-3FAD-42EE-A0F7-182861AE94F5}"/>
            </c:ext>
          </c:extLst>
        </c:ser>
        <c:ser>
          <c:idx val="4"/>
          <c:order val="4"/>
          <c:tx>
            <c:strRef>
              <c:f>'P27'!$B$8</c:f>
              <c:strCache>
                <c:ptCount val="1"/>
                <c:pt idx="0">
                  <c:v>Bardzo źle</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'P27'!$D$8</c:f>
              <c:numCache>
                <c:formatCode>###0.0%</c:formatCode>
                <c:ptCount val="1"/>
                <c:pt idx="0">
                  <c:v>2.9850746268656719E-2</c:v>
                </c:pt>
              </c:numCache>
            </c:numRef>
          </c:val>
          <c:extLst>
            <c:ext xmlns:c16="http://schemas.microsoft.com/office/drawing/2014/chart" uri="{C3380CC4-5D6E-409C-BE32-E72D297353CC}">
              <c16:uniqueId val="{00000006-3FAD-42EE-A0F7-182861AE94F5}"/>
            </c:ext>
          </c:extLst>
        </c:ser>
        <c:ser>
          <c:idx val="5"/>
          <c:order val="5"/>
          <c:tx>
            <c:strRef>
              <c:f>'P27'!$B$9</c:f>
              <c:strCache>
                <c:ptCount val="1"/>
                <c:pt idx="0">
                  <c:v>Nie wiem/ trudno powiedzieć</c:v>
                </c:pt>
              </c:strCache>
            </c:strRef>
          </c:tx>
          <c:spPr>
            <a:solidFill>
              <a:schemeClr val="accent6"/>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'P27'!$D$9</c:f>
              <c:numCache>
                <c:formatCode>###0.0%</c:formatCode>
                <c:ptCount val="1"/>
                <c:pt idx="0">
                  <c:v>0.10447761194029852</c:v>
                </c:pt>
              </c:numCache>
            </c:numRef>
          </c:val>
          <c:extLst>
            <c:ext xmlns:c16="http://schemas.microsoft.com/office/drawing/2014/chart" uri="{C3380CC4-5D6E-409C-BE32-E72D297353CC}">
              <c16:uniqueId val="{00000007-3FAD-42EE-A0F7-182861AE94F5}"/>
            </c:ext>
          </c:extLst>
        </c:ser>
        <c:dLbls>
          <c:dLblPos val="outEnd"/>
          <c:showLegendKey val="0"/>
          <c:showVal val="1"/>
          <c:showCatName val="0"/>
          <c:showSerName val="0"/>
          <c:showPercent val="0"/>
          <c:showBubbleSize val="0"/>
        </c:dLbls>
        <c:gapWidth val="219"/>
        <c:axId val="42995487"/>
        <c:axId val="42999807"/>
      </c:barChart>
      <c:catAx>
        <c:axId val="42995487"/>
        <c:scaling>
          <c:orientation val="minMax"/>
        </c:scaling>
        <c:delete val="1"/>
        <c:axPos val="b"/>
        <c:numFmt formatCode="General" sourceLinked="1"/>
        <c:majorTickMark val="none"/>
        <c:minorTickMark val="none"/>
        <c:tickLblPos val="nextTo"/>
        <c:crossAx val="42999807"/>
        <c:crosses val="autoZero"/>
        <c:auto val="1"/>
        <c:lblAlgn val="ctr"/>
        <c:lblOffset val="100"/>
        <c:noMultiLvlLbl val="0"/>
      </c:catAx>
      <c:valAx>
        <c:axId val="42999807"/>
        <c:scaling>
          <c:orientation val="minMax"/>
        </c:scaling>
        <c:delete val="1"/>
        <c:axPos val="l"/>
        <c:numFmt formatCode="###0.0%" sourceLinked="1"/>
        <c:majorTickMark val="none"/>
        <c:minorTickMark val="none"/>
        <c:tickLblPos val="nextTo"/>
        <c:crossAx val="42995487"/>
        <c:crosses val="autoZero"/>
        <c:crossBetween val="between"/>
      </c:valAx>
      <c:spPr>
        <a:noFill/>
        <a:ln>
          <a:noFill/>
        </a:ln>
        <a:effectLst/>
      </c:spPr>
    </c:plotArea>
    <c:legend>
      <c:legendPos val="b"/>
      <c:layout>
        <c:manualLayout>
          <c:xMode val="edge"/>
          <c:yMode val="edge"/>
          <c:x val="3.30912314146019E-2"/>
          <c:y val="0.73252152748147858"/>
          <c:w val="0.9336996856736981"/>
          <c:h val="0.21181490244753887"/>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6450722708957154"/>
          <c:y val="5.0925925925925923E-2"/>
          <c:w val="0.49558666962404357"/>
          <c:h val="0.8981481481481481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Arkusz1!$C$33:$C$39</c:f>
              <c:strCache>
                <c:ptCount val="7"/>
                <c:pt idx="0">
                  <c:v>Bardzo dobrze</c:v>
                </c:pt>
                <c:pt idx="1">
                  <c:v>Dobrze</c:v>
                </c:pt>
                <c:pt idx="2">
                  <c:v>Przeciętnie</c:v>
                </c:pt>
                <c:pt idx="3">
                  <c:v>Źle</c:v>
                </c:pt>
                <c:pt idx="4">
                  <c:v>Bardzo źle</c:v>
                </c:pt>
                <c:pt idx="5">
                  <c:v>Nie uczestniczyliśmy bezpośrednio we współpracy między JST</c:v>
                </c:pt>
                <c:pt idx="6">
                  <c:v>Nie wiem/ trudno powiedzieć</c:v>
                </c:pt>
              </c:strCache>
            </c:strRef>
          </c:cat>
          <c:val>
            <c:numRef>
              <c:f>Arkusz1!$E$33:$E$39</c:f>
              <c:numCache>
                <c:formatCode>###0.0%</c:formatCode>
                <c:ptCount val="7"/>
                <c:pt idx="0">
                  <c:v>0.32835820895522388</c:v>
                </c:pt>
                <c:pt idx="1">
                  <c:v>0.26865671641791045</c:v>
                </c:pt>
                <c:pt idx="2">
                  <c:v>0.19402985074626866</c:v>
                </c:pt>
                <c:pt idx="3">
                  <c:v>0</c:v>
                </c:pt>
                <c:pt idx="4">
                  <c:v>0</c:v>
                </c:pt>
                <c:pt idx="5">
                  <c:v>4.4776119402985072E-2</c:v>
                </c:pt>
                <c:pt idx="6">
                  <c:v>0.16417910447761194</c:v>
                </c:pt>
              </c:numCache>
            </c:numRef>
          </c:val>
          <c:extLst>
            <c:ext xmlns:c16="http://schemas.microsoft.com/office/drawing/2014/chart" uri="{C3380CC4-5D6E-409C-BE32-E72D297353CC}">
              <c16:uniqueId val="{00000000-9D6A-42E0-9AC0-F46BFF7B7CD7}"/>
            </c:ext>
          </c:extLst>
        </c:ser>
        <c:dLbls>
          <c:dLblPos val="outEnd"/>
          <c:showLegendKey val="0"/>
          <c:showVal val="1"/>
          <c:showCatName val="0"/>
          <c:showSerName val="0"/>
          <c:showPercent val="0"/>
          <c:showBubbleSize val="0"/>
        </c:dLbls>
        <c:gapWidth val="182"/>
        <c:axId val="258231311"/>
        <c:axId val="258233231"/>
      </c:barChart>
      <c:catAx>
        <c:axId val="258231311"/>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258233231"/>
        <c:crosses val="autoZero"/>
        <c:auto val="1"/>
        <c:lblAlgn val="ctr"/>
        <c:lblOffset val="100"/>
        <c:noMultiLvlLbl val="0"/>
      </c:catAx>
      <c:valAx>
        <c:axId val="258233231"/>
        <c:scaling>
          <c:orientation val="minMax"/>
        </c:scaling>
        <c:delete val="1"/>
        <c:axPos val="t"/>
        <c:numFmt formatCode="###0.0%" sourceLinked="1"/>
        <c:majorTickMark val="none"/>
        <c:minorTickMark val="none"/>
        <c:tickLblPos val="nextTo"/>
        <c:crossAx val="258231311"/>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3774250440916888E-4"/>
          <c:y val="5.5555555555555552E-2"/>
          <c:w val="0.99841269841269842"/>
          <c:h val="0.48201041863231148"/>
        </c:manualLayout>
      </c:layout>
      <c:barChart>
        <c:barDir val="col"/>
        <c:grouping val="clustered"/>
        <c:varyColors val="0"/>
        <c:ser>
          <c:idx val="0"/>
          <c:order val="0"/>
          <c:tx>
            <c:strRef>
              <c:f>'P29'!$B$4</c:f>
              <c:strCache>
                <c:ptCount val="1"/>
                <c:pt idx="0">
                  <c:v>Tak, mieliśmy wystarczająco dużo czasu</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'P29'!$D$4</c:f>
              <c:numCache>
                <c:formatCode>###0.0%</c:formatCode>
                <c:ptCount val="1"/>
                <c:pt idx="0">
                  <c:v>0.55223880597014929</c:v>
                </c:pt>
              </c:numCache>
            </c:numRef>
          </c:val>
          <c:extLst>
            <c:ext xmlns:c16="http://schemas.microsoft.com/office/drawing/2014/chart" uri="{C3380CC4-5D6E-409C-BE32-E72D297353CC}">
              <c16:uniqueId val="{00000000-C8EB-4C98-9E73-403D26C9E970}"/>
            </c:ext>
          </c:extLst>
        </c:ser>
        <c:ser>
          <c:idx val="1"/>
          <c:order val="1"/>
          <c:tx>
            <c:strRef>
              <c:f>'P29'!$B$5</c:f>
              <c:strCache>
                <c:ptCount val="1"/>
                <c:pt idx="0">
                  <c:v>Nie, strategia powstała zbyt późno względem terminu naboru</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'P29'!$D$5</c:f>
              <c:numCache>
                <c:formatCode>###0.0%</c:formatCode>
                <c:ptCount val="1"/>
                <c:pt idx="0">
                  <c:v>0.20895522388059704</c:v>
                </c:pt>
              </c:numCache>
            </c:numRef>
          </c:val>
          <c:extLst>
            <c:ext xmlns:c16="http://schemas.microsoft.com/office/drawing/2014/chart" uri="{C3380CC4-5D6E-409C-BE32-E72D297353CC}">
              <c16:uniqueId val="{00000001-C8EB-4C98-9E73-403D26C9E970}"/>
            </c:ext>
          </c:extLst>
        </c:ser>
        <c:ser>
          <c:idx val="2"/>
          <c:order val="2"/>
          <c:tx>
            <c:strRef>
              <c:f>'P29'!$B$6</c:f>
              <c:strCache>
                <c:ptCount val="1"/>
                <c:pt idx="0">
                  <c:v>Inna odpowiedź</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'P29'!$D$6</c:f>
              <c:numCache>
                <c:formatCode>###0.0%</c:formatCode>
                <c:ptCount val="1"/>
                <c:pt idx="0">
                  <c:v>2.9850746268656719E-2</c:v>
                </c:pt>
              </c:numCache>
            </c:numRef>
          </c:val>
          <c:extLst>
            <c:ext xmlns:c16="http://schemas.microsoft.com/office/drawing/2014/chart" uri="{C3380CC4-5D6E-409C-BE32-E72D297353CC}">
              <c16:uniqueId val="{00000002-C8EB-4C98-9E73-403D26C9E970}"/>
            </c:ext>
          </c:extLst>
        </c:ser>
        <c:ser>
          <c:idx val="3"/>
          <c:order val="3"/>
          <c:tx>
            <c:strRef>
              <c:f>'P29'!$B$7</c:f>
              <c:strCache>
                <c:ptCount val="1"/>
                <c:pt idx="0">
                  <c:v>Nie dotyczy / trudno powiedzieć</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'P29'!$D$7</c:f>
              <c:numCache>
                <c:formatCode>###0.0%</c:formatCode>
                <c:ptCount val="1"/>
                <c:pt idx="0">
                  <c:v>0.20895522388059704</c:v>
                </c:pt>
              </c:numCache>
            </c:numRef>
          </c:val>
          <c:extLst>
            <c:ext xmlns:c16="http://schemas.microsoft.com/office/drawing/2014/chart" uri="{C3380CC4-5D6E-409C-BE32-E72D297353CC}">
              <c16:uniqueId val="{00000003-C8EB-4C98-9E73-403D26C9E970}"/>
            </c:ext>
          </c:extLst>
        </c:ser>
        <c:dLbls>
          <c:dLblPos val="outEnd"/>
          <c:showLegendKey val="0"/>
          <c:showVal val="1"/>
          <c:showCatName val="0"/>
          <c:showSerName val="0"/>
          <c:showPercent val="0"/>
          <c:showBubbleSize val="0"/>
        </c:dLbls>
        <c:gapWidth val="150"/>
        <c:axId val="329699711"/>
        <c:axId val="329700191"/>
      </c:barChart>
      <c:catAx>
        <c:axId val="329699711"/>
        <c:scaling>
          <c:orientation val="minMax"/>
        </c:scaling>
        <c:delete val="1"/>
        <c:axPos val="b"/>
        <c:numFmt formatCode="General" sourceLinked="1"/>
        <c:majorTickMark val="none"/>
        <c:minorTickMark val="none"/>
        <c:tickLblPos val="nextTo"/>
        <c:crossAx val="329700191"/>
        <c:crosses val="autoZero"/>
        <c:auto val="1"/>
        <c:lblAlgn val="ctr"/>
        <c:lblOffset val="100"/>
        <c:noMultiLvlLbl val="0"/>
      </c:catAx>
      <c:valAx>
        <c:axId val="329700191"/>
        <c:scaling>
          <c:orientation val="minMax"/>
        </c:scaling>
        <c:delete val="1"/>
        <c:axPos val="l"/>
        <c:numFmt formatCode="###0.0%" sourceLinked="1"/>
        <c:majorTickMark val="none"/>
        <c:minorTickMark val="none"/>
        <c:tickLblPos val="nextTo"/>
        <c:crossAx val="329699711"/>
        <c:crosses val="autoZero"/>
        <c:crossBetween val="between"/>
      </c:valAx>
      <c:spPr>
        <a:noFill/>
        <a:ln>
          <a:noFill/>
        </a:ln>
        <a:effectLst/>
      </c:spPr>
    </c:plotArea>
    <c:legend>
      <c:legendPos val="b"/>
      <c:layout>
        <c:manualLayout>
          <c:xMode val="edge"/>
          <c:yMode val="edge"/>
          <c:x val="1.8543219946112313E-2"/>
          <c:y val="0.59963155076162011"/>
          <c:w val="0.96822550567633248"/>
          <c:h val="0.40036825462176706"/>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5619158716271578"/>
          <c:y val="2.7777777777777776E-2"/>
          <c:w val="0.49414534988681968"/>
          <c:h val="0.97132339504493348"/>
        </c:manualLayout>
      </c:layout>
      <c:barChart>
        <c:barDir val="bar"/>
        <c:grouping val="clustered"/>
        <c:varyColors val="0"/>
        <c:ser>
          <c:idx val="0"/>
          <c:order val="0"/>
          <c:tx>
            <c:strRef>
              <c:f>'P34'!$B$441</c:f>
              <c:strCache>
                <c:ptCount val="1"/>
                <c:pt idx="0">
                  <c:v>Stanowiło znaczącą barierę</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'P34'!$B$443:$B$444</c:f>
              <c:numCache>
                <c:formatCode>###0.0%</c:formatCode>
                <c:ptCount val="2"/>
                <c:pt idx="0">
                  <c:v>6.9767441860465115E-2</c:v>
                </c:pt>
                <c:pt idx="1">
                  <c:v>4.6511627906976744E-2</c:v>
                </c:pt>
              </c:numCache>
            </c:numRef>
          </c:val>
          <c:extLst>
            <c:ext xmlns:c16="http://schemas.microsoft.com/office/drawing/2014/chart" uri="{C3380CC4-5D6E-409C-BE32-E72D297353CC}">
              <c16:uniqueId val="{00000000-0840-4329-AE96-983CA9770C2D}"/>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'P34'!$C$443:$C$444</c:f>
              <c:numCache>
                <c:formatCode>###0.0%</c:formatCode>
                <c:ptCount val="2"/>
                <c:pt idx="0">
                  <c:v>0.20930232558139536</c:v>
                </c:pt>
                <c:pt idx="1">
                  <c:v>0.20930232558139536</c:v>
                </c:pt>
              </c:numCache>
            </c:numRef>
          </c:val>
          <c:extLst>
            <c:ext xmlns:c16="http://schemas.microsoft.com/office/drawing/2014/chart" uri="{C3380CC4-5D6E-409C-BE32-E72D297353CC}">
              <c16:uniqueId val="{00000001-0840-4329-AE96-983CA9770C2D}"/>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'P34'!$D$443:$D$444</c:f>
              <c:numCache>
                <c:formatCode>###0.0%</c:formatCode>
                <c:ptCount val="2"/>
                <c:pt idx="0">
                  <c:v>0.27906976744186046</c:v>
                </c:pt>
                <c:pt idx="1">
                  <c:v>0.20930232558139536</c:v>
                </c:pt>
              </c:numCache>
            </c:numRef>
          </c:val>
          <c:extLst>
            <c:ext xmlns:c16="http://schemas.microsoft.com/office/drawing/2014/chart" uri="{C3380CC4-5D6E-409C-BE32-E72D297353CC}">
              <c16:uniqueId val="{00000002-0840-4329-AE96-983CA9770C2D}"/>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'P34'!$E$443:$E$444</c:f>
              <c:numCache>
                <c:formatCode>###0.0%</c:formatCode>
                <c:ptCount val="2"/>
                <c:pt idx="0">
                  <c:v>0.20930232558139536</c:v>
                </c:pt>
                <c:pt idx="1">
                  <c:v>0.32558139534883723</c:v>
                </c:pt>
              </c:numCache>
            </c:numRef>
          </c:val>
          <c:extLst>
            <c:ext xmlns:c16="http://schemas.microsoft.com/office/drawing/2014/chart" uri="{C3380CC4-5D6E-409C-BE32-E72D297353CC}">
              <c16:uniqueId val="{00000003-0840-4329-AE96-983CA9770C2D}"/>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'P34'!$A$443:$A$444</c:f>
              <c:strCache>
                <c:ptCount val="2"/>
                <c:pt idx="0">
                  <c:v>Późne powstanie strategii terytorialnej wraz z wykazem projektów do wsparcia</c:v>
                </c:pt>
                <c:pt idx="1">
                  <c:v>Krótki czas między zatwierdzeniem strategii a naborem</c:v>
                </c:pt>
              </c:strCache>
            </c:strRef>
          </c:cat>
          <c:val>
            <c:numRef>
              <c:f>'P34'!$F$443:$F$444</c:f>
              <c:numCache>
                <c:formatCode>###0.0%</c:formatCode>
                <c:ptCount val="2"/>
                <c:pt idx="0">
                  <c:v>0.23255813953488372</c:v>
                </c:pt>
                <c:pt idx="1">
                  <c:v>0.20930232558139536</c:v>
                </c:pt>
              </c:numCache>
            </c:numRef>
          </c:val>
          <c:extLst>
            <c:ext xmlns:c16="http://schemas.microsoft.com/office/drawing/2014/chart" uri="{C3380CC4-5D6E-409C-BE32-E72D297353CC}">
              <c16:uniqueId val="{00000004-0840-4329-AE96-983CA9770C2D}"/>
            </c:ext>
          </c:extLst>
        </c:ser>
        <c:dLbls>
          <c:dLblPos val="outEnd"/>
          <c:showLegendKey val="0"/>
          <c:showVal val="1"/>
          <c:showCatName val="0"/>
          <c:showSerName val="0"/>
          <c:showPercent val="0"/>
          <c:showBubbleSize val="0"/>
        </c:dLbls>
        <c:gapWidth val="219"/>
        <c:axId val="230412239"/>
        <c:axId val="230405039"/>
      </c:barChart>
      <c:catAx>
        <c:axId val="230412239"/>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crossAx val="230405039"/>
        <c:crosses val="autoZero"/>
        <c:auto val="1"/>
        <c:lblAlgn val="ctr"/>
        <c:lblOffset val="100"/>
        <c:noMultiLvlLbl val="0"/>
      </c:catAx>
      <c:valAx>
        <c:axId val="230405039"/>
        <c:scaling>
          <c:orientation val="minMax"/>
        </c:scaling>
        <c:delete val="1"/>
        <c:axPos val="t"/>
        <c:numFmt formatCode="###0.0%" sourceLinked="1"/>
        <c:majorTickMark val="none"/>
        <c:minorTickMark val="none"/>
        <c:tickLblPos val="nextTo"/>
        <c:crossAx val="230412239"/>
        <c:crosses val="autoZero"/>
        <c:crossBetween val="between"/>
      </c:valAx>
      <c:spPr>
        <a:noFill/>
        <a:ln w="25400">
          <a:noFill/>
        </a:ln>
        <a:effectLst/>
      </c:spPr>
    </c:plotArea>
    <c:legend>
      <c:legendPos val="r"/>
      <c:layout>
        <c:manualLayout>
          <c:xMode val="edge"/>
          <c:yMode val="edge"/>
          <c:x val="0.75825380617628191"/>
          <c:y val="3.7800960800477561E-2"/>
          <c:w val="0.2298708864215678"/>
          <c:h val="0.92638993230539324"/>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ahoma" panose="020B0604030504040204" pitchFamily="34" charset="0"/>
          <a:ea typeface="Tahoma" panose="020B0604030504040204" pitchFamily="34" charset="0"/>
          <a:cs typeface="Tahoma" panose="020B0604030504040204" pitchFamily="34" charset="0"/>
        </a:defRPr>
      </a:pPr>
      <a:endParaRPr lang="pl-PL"/>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2.1885972698196875E-3"/>
          <c:w val="1"/>
          <c:h val="0.58574914475010464"/>
        </c:manualLayout>
      </c:layout>
      <c:barChart>
        <c:barDir val="col"/>
        <c:grouping val="clustered"/>
        <c:varyColors val="0"/>
        <c:ser>
          <c:idx val="0"/>
          <c:order val="0"/>
          <c:tx>
            <c:strRef>
              <c:f>'P32'!$B$4</c:f>
              <c:strCache>
                <c:ptCount val="1"/>
                <c:pt idx="0">
                  <c:v>Zdecydowanie 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'P32'!$D$4</c:f>
              <c:numCache>
                <c:formatCode>###0.0%</c:formatCode>
                <c:ptCount val="1"/>
                <c:pt idx="0">
                  <c:v>0.13432835820895522</c:v>
                </c:pt>
              </c:numCache>
            </c:numRef>
          </c:val>
          <c:extLst>
            <c:ext xmlns:c16="http://schemas.microsoft.com/office/drawing/2014/chart" uri="{C3380CC4-5D6E-409C-BE32-E72D297353CC}">
              <c16:uniqueId val="{00000000-461C-4874-BD34-B776F5260028}"/>
            </c:ext>
          </c:extLst>
        </c:ser>
        <c:ser>
          <c:idx val="1"/>
          <c:order val="1"/>
          <c:tx>
            <c:strRef>
              <c:f>'P32'!$B$5</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'P32'!$D$5</c:f>
              <c:numCache>
                <c:formatCode>###0.0%</c:formatCode>
                <c:ptCount val="1"/>
                <c:pt idx="0">
                  <c:v>0.62686567164179108</c:v>
                </c:pt>
              </c:numCache>
            </c:numRef>
          </c:val>
          <c:extLst>
            <c:ext xmlns:c16="http://schemas.microsoft.com/office/drawing/2014/chart" uri="{C3380CC4-5D6E-409C-BE32-E72D297353CC}">
              <c16:uniqueId val="{00000001-461C-4874-BD34-B776F5260028}"/>
            </c:ext>
          </c:extLst>
        </c:ser>
        <c:ser>
          <c:idx val="2"/>
          <c:order val="2"/>
          <c:tx>
            <c:strRef>
              <c:f>'P32'!$B$6</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'P32'!$D$6</c:f>
              <c:numCache>
                <c:formatCode>###0.0%</c:formatCode>
                <c:ptCount val="1"/>
                <c:pt idx="0">
                  <c:v>2.9850746268656719E-2</c:v>
                </c:pt>
              </c:numCache>
            </c:numRef>
          </c:val>
          <c:extLst>
            <c:ext xmlns:c16="http://schemas.microsoft.com/office/drawing/2014/chart" uri="{C3380CC4-5D6E-409C-BE32-E72D297353CC}">
              <c16:uniqueId val="{00000002-461C-4874-BD34-B776F5260028}"/>
            </c:ext>
          </c:extLst>
        </c:ser>
        <c:ser>
          <c:idx val="3"/>
          <c:order val="3"/>
          <c:tx>
            <c:strRef>
              <c:f>'P32'!$B$7</c:f>
              <c:strCache>
                <c:ptCount val="1"/>
                <c:pt idx="0">
                  <c:v>Zdecydowanie 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'P32'!$D$7</c:f>
              <c:numCache>
                <c:formatCode>###0.0%</c:formatCode>
                <c:ptCount val="1"/>
                <c:pt idx="0">
                  <c:v>1.492537313432836E-2</c:v>
                </c:pt>
              </c:numCache>
            </c:numRef>
          </c:val>
          <c:extLst>
            <c:ext xmlns:c16="http://schemas.microsoft.com/office/drawing/2014/chart" uri="{C3380CC4-5D6E-409C-BE32-E72D297353CC}">
              <c16:uniqueId val="{00000003-461C-4874-BD34-B776F5260028}"/>
            </c:ext>
          </c:extLst>
        </c:ser>
        <c:ser>
          <c:idx val="4"/>
          <c:order val="4"/>
          <c:tx>
            <c:strRef>
              <c:f>'P32'!$B$8</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'P32'!$D$8</c:f>
              <c:numCache>
                <c:formatCode>###0.0%</c:formatCode>
                <c:ptCount val="1"/>
                <c:pt idx="0">
                  <c:v>0.19402985074626866</c:v>
                </c:pt>
              </c:numCache>
            </c:numRef>
          </c:val>
          <c:extLst>
            <c:ext xmlns:c16="http://schemas.microsoft.com/office/drawing/2014/chart" uri="{C3380CC4-5D6E-409C-BE32-E72D297353CC}">
              <c16:uniqueId val="{00000004-461C-4874-BD34-B776F5260028}"/>
            </c:ext>
          </c:extLst>
        </c:ser>
        <c:dLbls>
          <c:dLblPos val="outEnd"/>
          <c:showLegendKey val="0"/>
          <c:showVal val="1"/>
          <c:showCatName val="0"/>
          <c:showSerName val="0"/>
          <c:showPercent val="0"/>
          <c:showBubbleSize val="0"/>
        </c:dLbls>
        <c:gapWidth val="150"/>
        <c:axId val="46817135"/>
        <c:axId val="46817615"/>
      </c:barChart>
      <c:catAx>
        <c:axId val="46817135"/>
        <c:scaling>
          <c:orientation val="minMax"/>
        </c:scaling>
        <c:delete val="1"/>
        <c:axPos val="b"/>
        <c:numFmt formatCode="General" sourceLinked="1"/>
        <c:majorTickMark val="none"/>
        <c:minorTickMark val="none"/>
        <c:tickLblPos val="nextTo"/>
        <c:crossAx val="46817615"/>
        <c:crosses val="autoZero"/>
        <c:auto val="1"/>
        <c:lblAlgn val="ctr"/>
        <c:lblOffset val="100"/>
        <c:noMultiLvlLbl val="0"/>
      </c:catAx>
      <c:valAx>
        <c:axId val="46817615"/>
        <c:scaling>
          <c:orientation val="minMax"/>
        </c:scaling>
        <c:delete val="1"/>
        <c:axPos val="l"/>
        <c:numFmt formatCode="###0.0%" sourceLinked="1"/>
        <c:majorTickMark val="none"/>
        <c:minorTickMark val="none"/>
        <c:tickLblPos val="nextTo"/>
        <c:crossAx val="46817135"/>
        <c:crosses val="autoZero"/>
        <c:crossBetween val="between"/>
      </c:valAx>
      <c:spPr>
        <a:noFill/>
        <a:ln>
          <a:noFill/>
        </a:ln>
        <a:effectLst/>
      </c:spPr>
    </c:plotArea>
    <c:legend>
      <c:legendPos val="b"/>
      <c:layout>
        <c:manualLayout>
          <c:xMode val="edge"/>
          <c:yMode val="edge"/>
          <c:x val="6.5064783568720601E-3"/>
          <c:y val="0.65126541824758954"/>
          <c:w val="0.9715549445208238"/>
          <c:h val="0.31419226741735001"/>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368290769209405"/>
          <c:y val="1.3888888888888888E-2"/>
          <c:w val="0.46410898904214781"/>
          <c:h val="0.72418890347039955"/>
        </c:manualLayout>
      </c:layout>
      <c:barChart>
        <c:barDir val="bar"/>
        <c:grouping val="clustered"/>
        <c:varyColors val="0"/>
        <c:ser>
          <c:idx val="0"/>
          <c:order val="0"/>
          <c:tx>
            <c:strRef>
              <c:f>'P34'!$B$441</c:f>
              <c:strCache>
                <c:ptCount val="1"/>
                <c:pt idx="0">
                  <c:v>Stanowiło znaczącą barierę</c:v>
                </c:pt>
              </c:strCache>
            </c:strRef>
          </c:tx>
          <c:spPr>
            <a:solidFill>
              <a:schemeClr val="accent1"/>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0-B95A-459F-BD92-34AC08BCBEE7}"/>
                </c:ext>
              </c:extLst>
            </c:dLbl>
            <c:dLbl>
              <c:idx val="2"/>
              <c:delete val="1"/>
              <c:extLst>
                <c:ext xmlns:c15="http://schemas.microsoft.com/office/drawing/2012/chart" uri="{CE6537A1-D6FC-4f65-9D91-7224C49458BB}"/>
                <c:ext xmlns:c16="http://schemas.microsoft.com/office/drawing/2014/chart" uri="{C3380CC4-5D6E-409C-BE32-E72D297353CC}">
                  <c16:uniqueId val="{00000001-B95A-459F-BD92-34AC08BCBEE7}"/>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('P34'!$B$445:$B$446,'P34'!$B$448)</c:f>
              <c:numCache>
                <c:formatCode>###0.0%</c:formatCode>
                <c:ptCount val="3"/>
                <c:pt idx="0">
                  <c:v>0</c:v>
                </c:pt>
                <c:pt idx="1">
                  <c:v>4.6511627906976744E-2</c:v>
                </c:pt>
                <c:pt idx="2">
                  <c:v>0</c:v>
                </c:pt>
              </c:numCache>
            </c:numRef>
          </c:val>
          <c:extLst>
            <c:ext xmlns:c16="http://schemas.microsoft.com/office/drawing/2014/chart" uri="{C3380CC4-5D6E-409C-BE32-E72D297353CC}">
              <c16:uniqueId val="{00000002-B95A-459F-BD92-34AC08BCBEE7}"/>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('P34'!$C$445:$C$446,'P34'!$C$448)</c:f>
              <c:numCache>
                <c:formatCode>###0.0%</c:formatCode>
                <c:ptCount val="3"/>
                <c:pt idx="0">
                  <c:v>0.18604651162790697</c:v>
                </c:pt>
                <c:pt idx="1">
                  <c:v>0.13953488372093023</c:v>
                </c:pt>
                <c:pt idx="2">
                  <c:v>0.13953488372093023</c:v>
                </c:pt>
              </c:numCache>
            </c:numRef>
          </c:val>
          <c:extLst>
            <c:ext xmlns:c16="http://schemas.microsoft.com/office/drawing/2014/chart" uri="{C3380CC4-5D6E-409C-BE32-E72D297353CC}">
              <c16:uniqueId val="{00000003-B95A-459F-BD92-34AC08BCBEE7}"/>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('P34'!$D$445:$D$446,'P34'!$D$448)</c:f>
              <c:numCache>
                <c:formatCode>###0.0%</c:formatCode>
                <c:ptCount val="3"/>
                <c:pt idx="0">
                  <c:v>0.23255813953488372</c:v>
                </c:pt>
                <c:pt idx="1">
                  <c:v>0.16279069767441862</c:v>
                </c:pt>
                <c:pt idx="2">
                  <c:v>0.20930232558139536</c:v>
                </c:pt>
              </c:numCache>
            </c:numRef>
          </c:val>
          <c:extLst>
            <c:ext xmlns:c16="http://schemas.microsoft.com/office/drawing/2014/chart" uri="{C3380CC4-5D6E-409C-BE32-E72D297353CC}">
              <c16:uniqueId val="{00000004-B95A-459F-BD92-34AC08BCBEE7}"/>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('P34'!$E$445:$E$446,'P34'!$E$448)</c:f>
              <c:numCache>
                <c:formatCode>###0.0%</c:formatCode>
                <c:ptCount val="3"/>
                <c:pt idx="0">
                  <c:v>0.44186046511627908</c:v>
                </c:pt>
                <c:pt idx="1">
                  <c:v>0.51162790697674421</c:v>
                </c:pt>
                <c:pt idx="2">
                  <c:v>0.34883720930232553</c:v>
                </c:pt>
              </c:numCache>
            </c:numRef>
          </c:val>
          <c:extLst>
            <c:ext xmlns:c16="http://schemas.microsoft.com/office/drawing/2014/chart" uri="{C3380CC4-5D6E-409C-BE32-E72D297353CC}">
              <c16:uniqueId val="{00000005-B95A-459F-BD92-34AC08BCBEE7}"/>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('P34'!$A$445:$A$446,'P34'!$A$448)</c:f>
              <c:strCache>
                <c:ptCount val="3"/>
                <c:pt idx="0">
                  <c:v>Niewystarczająca współpraca między samorządami</c:v>
                </c:pt>
                <c:pt idx="1">
                  <c:v>Brak wsparcia doradczego ze strony lidera porozumienia terytorialnego</c:v>
                </c:pt>
                <c:pt idx="2">
                  <c:v>Trudności w uzgadnianiu partnerstw i projektów z innymi JST</c:v>
                </c:pt>
              </c:strCache>
            </c:strRef>
          </c:cat>
          <c:val>
            <c:numRef>
              <c:f>('P34'!$F$445:$F$446,'P34'!$F$448)</c:f>
              <c:numCache>
                <c:formatCode>###0.0%</c:formatCode>
                <c:ptCount val="3"/>
                <c:pt idx="0">
                  <c:v>0.13953488372093023</c:v>
                </c:pt>
                <c:pt idx="1">
                  <c:v>0.13953488372093023</c:v>
                </c:pt>
                <c:pt idx="2">
                  <c:v>0.30232558139534882</c:v>
                </c:pt>
              </c:numCache>
            </c:numRef>
          </c:val>
          <c:extLst>
            <c:ext xmlns:c16="http://schemas.microsoft.com/office/drawing/2014/chart" uri="{C3380CC4-5D6E-409C-BE32-E72D297353CC}">
              <c16:uniqueId val="{00000006-B95A-459F-BD92-34AC08BCBEE7}"/>
            </c:ext>
          </c:extLst>
        </c:ser>
        <c:dLbls>
          <c:dLblPos val="outEnd"/>
          <c:showLegendKey val="0"/>
          <c:showVal val="1"/>
          <c:showCatName val="0"/>
          <c:showSerName val="0"/>
          <c:showPercent val="0"/>
          <c:showBubbleSize val="0"/>
        </c:dLbls>
        <c:gapWidth val="182"/>
        <c:axId val="62153983"/>
        <c:axId val="62147263"/>
      </c:barChart>
      <c:catAx>
        <c:axId val="621539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62147263"/>
        <c:crosses val="autoZero"/>
        <c:auto val="1"/>
        <c:lblAlgn val="ctr"/>
        <c:lblOffset val="100"/>
        <c:noMultiLvlLbl val="0"/>
      </c:catAx>
      <c:valAx>
        <c:axId val="62147263"/>
        <c:scaling>
          <c:orientation val="minMax"/>
        </c:scaling>
        <c:delete val="1"/>
        <c:axPos val="t"/>
        <c:numFmt formatCode="###0.0%" sourceLinked="1"/>
        <c:majorTickMark val="none"/>
        <c:minorTickMark val="none"/>
        <c:tickLblPos val="nextTo"/>
        <c:crossAx val="62153983"/>
        <c:crosses val="autoZero"/>
        <c:crossBetween val="between"/>
      </c:valAx>
      <c:spPr>
        <a:noFill/>
        <a:ln>
          <a:noFill/>
        </a:ln>
        <a:effectLst/>
      </c:spPr>
    </c:plotArea>
    <c:legend>
      <c:legendPos val="b"/>
      <c:layout>
        <c:manualLayout>
          <c:xMode val="edge"/>
          <c:yMode val="edge"/>
          <c:x val="5.8447555166715208E-3"/>
          <c:y val="0.7288185331000292"/>
          <c:w val="0.97067380466330599"/>
          <c:h val="0.24340368912219307"/>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'P4'!$B$56:$B$60</c:f>
              <c:strCache>
                <c:ptCount val="5"/>
                <c:pt idx="0">
                  <c:v>Mieliśmy tylko ogólny pomysł lub wstępną koncepcję projektu</c:v>
                </c:pt>
                <c:pt idx="1">
                  <c:v>Znaliśmy główne cele i działania, ale projekt nie był jeszcze opracowany</c:v>
                </c:pt>
                <c:pt idx="2">
                  <c:v>Mieliśmy przygotowane główne założenia projektu (np. cele, grupy docelowe, zakres rzeczowy)</c:v>
                </c:pt>
                <c:pt idx="3">
                  <c:v>Projekt był częściowo gotowy – część dokumentów była przygotowana, reszta w trakcie</c:v>
                </c:pt>
                <c:pt idx="4">
                  <c:v>Projekt był w pełni gotowy – posiadaliśmy pełną dokumentację (np. biznesplan, kosztorys, studium wykonalności, analizy)</c:v>
                </c:pt>
              </c:strCache>
            </c:strRef>
          </c:cat>
          <c:val>
            <c:numRef>
              <c:f>'P4'!$F$56:$F$60</c:f>
              <c:numCache>
                <c:formatCode>###0.0%</c:formatCode>
                <c:ptCount val="5"/>
                <c:pt idx="0">
                  <c:v>5.9701492537313439E-2</c:v>
                </c:pt>
                <c:pt idx="1">
                  <c:v>8.9552238805970144E-2</c:v>
                </c:pt>
                <c:pt idx="2">
                  <c:v>0.16417910447761194</c:v>
                </c:pt>
                <c:pt idx="3">
                  <c:v>0.44776119402985076</c:v>
                </c:pt>
                <c:pt idx="4">
                  <c:v>0.23880597014925375</c:v>
                </c:pt>
              </c:numCache>
            </c:numRef>
          </c:val>
          <c:extLst>
            <c:ext xmlns:c16="http://schemas.microsoft.com/office/drawing/2014/chart" uri="{C3380CC4-5D6E-409C-BE32-E72D297353CC}">
              <c16:uniqueId val="{00000000-0643-4A77-B64B-1FC690567DEC}"/>
            </c:ext>
          </c:extLst>
        </c:ser>
        <c:dLbls>
          <c:dLblPos val="outEnd"/>
          <c:showLegendKey val="0"/>
          <c:showVal val="1"/>
          <c:showCatName val="0"/>
          <c:showSerName val="0"/>
          <c:showPercent val="0"/>
          <c:showBubbleSize val="0"/>
        </c:dLbls>
        <c:gapWidth val="182"/>
        <c:axId val="1504155983"/>
        <c:axId val="1504156943"/>
      </c:barChart>
      <c:catAx>
        <c:axId val="15041559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04156943"/>
        <c:crosses val="autoZero"/>
        <c:auto val="1"/>
        <c:lblAlgn val="ctr"/>
        <c:lblOffset val="100"/>
        <c:noMultiLvlLbl val="0"/>
      </c:catAx>
      <c:valAx>
        <c:axId val="1504156943"/>
        <c:scaling>
          <c:orientation val="minMax"/>
        </c:scaling>
        <c:delete val="1"/>
        <c:axPos val="b"/>
        <c:numFmt formatCode="###0.0%" sourceLinked="1"/>
        <c:majorTickMark val="none"/>
        <c:minorTickMark val="none"/>
        <c:tickLblPos val="nextTo"/>
        <c:crossAx val="150415598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5137111517367458E-2"/>
          <c:y val="4.9017704218698877E-3"/>
          <c:w val="0.94972577696526506"/>
          <c:h val="0.67577390471727905"/>
        </c:manualLayout>
      </c:layout>
      <c:barChart>
        <c:barDir val="bar"/>
        <c:grouping val="percentStacked"/>
        <c:varyColors val="0"/>
        <c:ser>
          <c:idx val="0"/>
          <c:order val="0"/>
          <c:tx>
            <c:strRef>
              <c:f>'P34'!$B$441</c:f>
              <c:strCache>
                <c:ptCount val="1"/>
                <c:pt idx="0">
                  <c:v>Stanowiło znaczącą barierę</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'P34'!$B$447</c:f>
              <c:numCache>
                <c:formatCode>###0.0%</c:formatCode>
                <c:ptCount val="1"/>
                <c:pt idx="0">
                  <c:v>9.3023255813953487E-2</c:v>
                </c:pt>
              </c:numCache>
            </c:numRef>
          </c:val>
          <c:extLst>
            <c:ext xmlns:c16="http://schemas.microsoft.com/office/drawing/2014/chart" uri="{C3380CC4-5D6E-409C-BE32-E72D297353CC}">
              <c16:uniqueId val="{00000000-F4A9-4017-AB45-68EC79742520}"/>
            </c:ext>
          </c:extLst>
        </c:ser>
        <c:ser>
          <c:idx val="1"/>
          <c:order val="1"/>
          <c:tx>
            <c:strRef>
              <c:f>'P34'!$C$441</c:f>
              <c:strCache>
                <c:ptCount val="1"/>
                <c:pt idx="0">
                  <c:v>Stanowiło umiarkowaną barierę</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'P34'!$C$447</c:f>
              <c:numCache>
                <c:formatCode>###0.0%</c:formatCode>
                <c:ptCount val="1"/>
                <c:pt idx="0">
                  <c:v>9.3023255813953487E-2</c:v>
                </c:pt>
              </c:numCache>
            </c:numRef>
          </c:val>
          <c:extLst>
            <c:ext xmlns:c16="http://schemas.microsoft.com/office/drawing/2014/chart" uri="{C3380CC4-5D6E-409C-BE32-E72D297353CC}">
              <c16:uniqueId val="{00000001-F4A9-4017-AB45-68EC79742520}"/>
            </c:ext>
          </c:extLst>
        </c:ser>
        <c:ser>
          <c:idx val="2"/>
          <c:order val="2"/>
          <c:tx>
            <c:strRef>
              <c:f>'P34'!$D$441</c:f>
              <c:strCache>
                <c:ptCount val="1"/>
                <c:pt idx="0">
                  <c:v>Stanowiło niewielką barierę</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'P34'!$D$447</c:f>
              <c:numCache>
                <c:formatCode>###0.0%</c:formatCode>
                <c:ptCount val="1"/>
                <c:pt idx="0">
                  <c:v>0.2558139534883721</c:v>
                </c:pt>
              </c:numCache>
            </c:numRef>
          </c:val>
          <c:extLst>
            <c:ext xmlns:c16="http://schemas.microsoft.com/office/drawing/2014/chart" uri="{C3380CC4-5D6E-409C-BE32-E72D297353CC}">
              <c16:uniqueId val="{00000002-F4A9-4017-AB45-68EC79742520}"/>
            </c:ext>
          </c:extLst>
        </c:ser>
        <c:ser>
          <c:idx val="3"/>
          <c:order val="3"/>
          <c:tx>
            <c:strRef>
              <c:f>'P34'!$E$441</c:f>
              <c:strCache>
                <c:ptCount val="1"/>
                <c:pt idx="0">
                  <c:v>W ogóle nie było takiego problemu</c:v>
                </c:pt>
              </c:strCache>
            </c:strRef>
          </c:tx>
          <c:spPr>
            <a:solidFill>
              <a:schemeClr val="accent4"/>
            </a:solidFill>
            <a:ln>
              <a:noFill/>
            </a:ln>
            <a:effectLst/>
          </c:spPr>
          <c:invertIfNegative val="0"/>
          <c:dLbls>
            <c:dLbl>
              <c:idx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extLst>
                <c:ext xmlns:c16="http://schemas.microsoft.com/office/drawing/2014/chart" uri="{C3380CC4-5D6E-409C-BE32-E72D297353CC}">
                  <c16:uniqueId val="{00000000-C84C-4104-A583-BFBE2E7B32DE}"/>
                </c:ext>
              </c:extLst>
            </c:dLbl>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'P34'!$E$447</c:f>
              <c:numCache>
                <c:formatCode>###0.0%</c:formatCode>
                <c:ptCount val="1"/>
                <c:pt idx="0">
                  <c:v>0.34883720930232553</c:v>
                </c:pt>
              </c:numCache>
            </c:numRef>
          </c:val>
          <c:extLst>
            <c:ext xmlns:c16="http://schemas.microsoft.com/office/drawing/2014/chart" uri="{C3380CC4-5D6E-409C-BE32-E72D297353CC}">
              <c16:uniqueId val="{00000003-F4A9-4017-AB45-68EC79742520}"/>
            </c:ext>
          </c:extLst>
        </c:ser>
        <c:ser>
          <c:idx val="4"/>
          <c:order val="4"/>
          <c:tx>
            <c:strRef>
              <c:f>'P34'!$F$441</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'P34'!$A$447</c:f>
              <c:strCache>
                <c:ptCount val="1"/>
                <c:pt idx="0">
                  <c:v>Brak gotowości projektu do realizacji</c:v>
                </c:pt>
              </c:strCache>
            </c:strRef>
          </c:cat>
          <c:val>
            <c:numRef>
              <c:f>'P34'!$F$447</c:f>
              <c:numCache>
                <c:formatCode>###0.0%</c:formatCode>
                <c:ptCount val="1"/>
                <c:pt idx="0">
                  <c:v>0.20930232558139536</c:v>
                </c:pt>
              </c:numCache>
            </c:numRef>
          </c:val>
          <c:extLst>
            <c:ext xmlns:c16="http://schemas.microsoft.com/office/drawing/2014/chart" uri="{C3380CC4-5D6E-409C-BE32-E72D297353CC}">
              <c16:uniqueId val="{00000004-F4A9-4017-AB45-68EC79742520}"/>
            </c:ext>
          </c:extLst>
        </c:ser>
        <c:dLbls>
          <c:dLblPos val="ctr"/>
          <c:showLegendKey val="0"/>
          <c:showVal val="1"/>
          <c:showCatName val="0"/>
          <c:showSerName val="0"/>
          <c:showPercent val="0"/>
          <c:showBubbleSize val="0"/>
        </c:dLbls>
        <c:gapWidth val="150"/>
        <c:overlap val="100"/>
        <c:axId val="230412719"/>
        <c:axId val="230394479"/>
      </c:barChart>
      <c:catAx>
        <c:axId val="230412719"/>
        <c:scaling>
          <c:orientation val="minMax"/>
        </c:scaling>
        <c:delete val="1"/>
        <c:axPos val="l"/>
        <c:numFmt formatCode="General" sourceLinked="1"/>
        <c:majorTickMark val="none"/>
        <c:minorTickMark val="none"/>
        <c:tickLblPos val="nextTo"/>
        <c:crossAx val="230394479"/>
        <c:crosses val="autoZero"/>
        <c:auto val="1"/>
        <c:lblAlgn val="ctr"/>
        <c:lblOffset val="100"/>
        <c:noMultiLvlLbl val="0"/>
      </c:catAx>
      <c:valAx>
        <c:axId val="230394479"/>
        <c:scaling>
          <c:orientation val="minMax"/>
        </c:scaling>
        <c:delete val="1"/>
        <c:axPos val="b"/>
        <c:numFmt formatCode="0%" sourceLinked="1"/>
        <c:majorTickMark val="none"/>
        <c:minorTickMark val="none"/>
        <c:tickLblPos val="nextTo"/>
        <c:crossAx val="23041271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8906173337573211"/>
          <c:y val="5.9070422535211269E-2"/>
          <c:w val="0.468427918710631"/>
          <c:h val="0.90994366197183074"/>
        </c:manualLayout>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P2'!$B$1:$B$9</c:f>
              <c:strCache>
                <c:ptCount val="9"/>
                <c:pt idx="0">
                  <c:v>Nie było naboru, który pasowałby do naszych potrzeb</c:v>
                </c:pt>
                <c:pt idx="1">
                  <c:v>Nie wiedzieliśmy, że rozpoczęto nabory w ramach FEdKP</c:v>
                </c:pt>
                <c:pt idx="2">
                  <c:v>Mieliśmy złe doświadczenia z poprzednich projektów (np. z lat 2014–2020)</c:v>
                </c:pt>
                <c:pt idx="3">
                  <c:v>Mieliśmy zbyt dużo bieżących zadań, żeby przygotować projekt</c:v>
                </c:pt>
                <c:pt idx="4">
                  <c:v>Nie mieliśmy wystarczających zasobów (np. pracowników, czasu) żeby zrealizować projekt</c:v>
                </c:pt>
                <c:pt idx="5">
                  <c:v>Nie potrzebowaliśmy dodatkowego wsparcia| brak potrzeb</c:v>
                </c:pt>
                <c:pt idx="6">
                  <c:v>Nie mieliśmy wystarczającej kwoty na wkład własny</c:v>
                </c:pt>
                <c:pt idx="7">
                  <c:v>Procedury składania wniosku były zbyt trudne lub zniechęcające</c:v>
                </c:pt>
                <c:pt idx="8">
                  <c:v>Koszty przygotowania projektu były zbyt wysokie</c:v>
                </c:pt>
              </c:strCache>
            </c:strRef>
          </c:cat>
          <c:val>
            <c:numRef>
              <c:f>'RPO P2'!$D$1:$D$9</c:f>
              <c:numCache>
                <c:formatCode>0.0%</c:formatCode>
                <c:ptCount val="9"/>
                <c:pt idx="0">
                  <c:v>0.36585365853658536</c:v>
                </c:pt>
                <c:pt idx="1">
                  <c:v>0.29268292682926833</c:v>
                </c:pt>
                <c:pt idx="2">
                  <c:v>0.13008130081300812</c:v>
                </c:pt>
                <c:pt idx="3">
                  <c:v>0.12195121951219512</c:v>
                </c:pt>
                <c:pt idx="4">
                  <c:v>0.1056910569105691</c:v>
                </c:pt>
                <c:pt idx="5">
                  <c:v>8.943089430894309E-2</c:v>
                </c:pt>
                <c:pt idx="6">
                  <c:v>8.943089430894309E-2</c:v>
                </c:pt>
                <c:pt idx="7">
                  <c:v>8.1300813008130093E-2</c:v>
                </c:pt>
                <c:pt idx="8">
                  <c:v>5.6910569105691061E-2</c:v>
                </c:pt>
              </c:numCache>
            </c:numRef>
          </c:val>
          <c:extLst>
            <c:ext xmlns:c16="http://schemas.microsoft.com/office/drawing/2014/chart" uri="{C3380CC4-5D6E-409C-BE32-E72D297353CC}">
              <c16:uniqueId val="{00000000-EF84-4F63-935A-682748F5C0DC}"/>
            </c:ext>
          </c:extLst>
        </c:ser>
        <c:dLbls>
          <c:showLegendKey val="0"/>
          <c:showVal val="0"/>
          <c:showCatName val="0"/>
          <c:showSerName val="0"/>
          <c:showPercent val="0"/>
          <c:showBubbleSize val="0"/>
        </c:dLbls>
        <c:gapWidth val="182"/>
        <c:axId val="77668336"/>
        <c:axId val="77667376"/>
      </c:barChart>
      <c:catAx>
        <c:axId val="7766833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77667376"/>
        <c:crosses val="autoZero"/>
        <c:auto val="1"/>
        <c:lblAlgn val="ctr"/>
        <c:lblOffset val="100"/>
        <c:noMultiLvlLbl val="0"/>
      </c:catAx>
      <c:valAx>
        <c:axId val="77667376"/>
        <c:scaling>
          <c:orientation val="minMax"/>
        </c:scaling>
        <c:delete val="1"/>
        <c:axPos val="t"/>
        <c:numFmt formatCode="0.0%" sourceLinked="1"/>
        <c:majorTickMark val="none"/>
        <c:minorTickMark val="none"/>
        <c:tickLblPos val="nextTo"/>
        <c:crossAx val="776683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P8'!$B$4:$B$11</c:f>
              <c:strCache>
                <c:ptCount val="8"/>
                <c:pt idx="0">
                  <c:v>Nie było naboru, który pasował do naszych potrzeb</c:v>
                </c:pt>
                <c:pt idx="1">
                  <c:v>Było za mało czasu na przygotowanie wniosku</c:v>
                </c:pt>
                <c:pt idx="2">
                  <c:v>Trudno było spełnić wymagania</c:v>
                </c:pt>
                <c:pt idx="3">
                  <c:v>Nie mieliśmy jeszcze gotowego projektu</c:v>
                </c:pt>
                <c:pt idx="4">
                  <c:v>Dokumentacja była zbyt trudna</c:v>
                </c:pt>
                <c:pt idx="5">
                  <c:v>Uważaliśmy, że mamy małe szanse na dofinansowanie</c:v>
                </c:pt>
                <c:pt idx="6">
                  <c:v>Mieliśmy problem z zapewnieniem wkładu własnego</c:v>
                </c:pt>
                <c:pt idx="7">
                  <c:v>Trzeba było skorzystać z firmy zewnętrznej do przygotowania wniosku</c:v>
                </c:pt>
              </c:strCache>
            </c:strRef>
          </c:cat>
          <c:val>
            <c:numRef>
              <c:f>'RPO P8'!$D$4:$D$11</c:f>
              <c:numCache>
                <c:formatCode>###0.0%</c:formatCode>
                <c:ptCount val="8"/>
                <c:pt idx="0">
                  <c:v>0.43421052631578944</c:v>
                </c:pt>
                <c:pt idx="1">
                  <c:v>0.28947368421052633</c:v>
                </c:pt>
                <c:pt idx="2">
                  <c:v>0.26315789473684209</c:v>
                </c:pt>
                <c:pt idx="3">
                  <c:v>0.26315789473684209</c:v>
                </c:pt>
                <c:pt idx="4">
                  <c:v>0.14473684210526316</c:v>
                </c:pt>
                <c:pt idx="5">
                  <c:v>0.11842105263157895</c:v>
                </c:pt>
                <c:pt idx="6">
                  <c:v>0.11842105263157895</c:v>
                </c:pt>
                <c:pt idx="7">
                  <c:v>0.11842105263157895</c:v>
                </c:pt>
              </c:numCache>
            </c:numRef>
          </c:val>
          <c:extLst>
            <c:ext xmlns:c16="http://schemas.microsoft.com/office/drawing/2014/chart" uri="{C3380CC4-5D6E-409C-BE32-E72D297353CC}">
              <c16:uniqueId val="{00000000-BBAF-4BED-BD26-BD1600B4001C}"/>
            </c:ext>
          </c:extLst>
        </c:ser>
        <c:dLbls>
          <c:showLegendKey val="0"/>
          <c:showVal val="0"/>
          <c:showCatName val="0"/>
          <c:showSerName val="0"/>
          <c:showPercent val="0"/>
          <c:showBubbleSize val="0"/>
        </c:dLbls>
        <c:gapWidth val="182"/>
        <c:axId val="219581504"/>
        <c:axId val="219578144"/>
      </c:barChart>
      <c:catAx>
        <c:axId val="219581504"/>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219578144"/>
        <c:crosses val="autoZero"/>
        <c:auto val="1"/>
        <c:lblAlgn val="ctr"/>
        <c:lblOffset val="100"/>
        <c:noMultiLvlLbl val="0"/>
      </c:catAx>
      <c:valAx>
        <c:axId val="219578144"/>
        <c:scaling>
          <c:orientation val="minMax"/>
        </c:scaling>
        <c:delete val="1"/>
        <c:axPos val="t"/>
        <c:numFmt formatCode="###0.0%" sourceLinked="1"/>
        <c:majorTickMark val="none"/>
        <c:minorTickMark val="none"/>
        <c:tickLblPos val="nextTo"/>
        <c:crossAx val="219581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'RPO P9'!$E$2</c:f>
              <c:strCache>
                <c:ptCount val="1"/>
                <c:pt idx="0">
                  <c:v>Bardzo duże trudności</c:v>
                </c:pt>
              </c:strCache>
            </c:strRef>
          </c:tx>
          <c:spPr>
            <a:solidFill>
              <a:schemeClr val="accent1"/>
            </a:solidFill>
            <a:ln>
              <a:noFill/>
            </a:ln>
            <a:effectLst/>
          </c:spPr>
          <c:invertIfNegative val="0"/>
          <c:dLbls>
            <c:dLbl>
              <c:idx val="1"/>
              <c:layout>
                <c:manualLayout>
                  <c:x val="0"/>
                  <c:y val="-9.8936433341578044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356-41A0-AEEA-F7EBAAC5D2E5}"/>
                </c:ext>
              </c:extLst>
            </c:dLbl>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P9'!$F$2:$H$2</c:f>
              <c:numCache>
                <c:formatCode>###0.0%</c:formatCode>
                <c:ptCount val="3"/>
                <c:pt idx="0">
                  <c:v>0.10697674418604651</c:v>
                </c:pt>
                <c:pt idx="1">
                  <c:v>5.5813953488372092E-2</c:v>
                </c:pt>
                <c:pt idx="2">
                  <c:v>0.10697674418604651</c:v>
                </c:pt>
              </c:numCache>
            </c:numRef>
          </c:val>
          <c:extLst>
            <c:ext xmlns:c16="http://schemas.microsoft.com/office/drawing/2014/chart" uri="{C3380CC4-5D6E-409C-BE32-E72D297353CC}">
              <c16:uniqueId val="{00000000-781F-4749-8ECC-88574D48F6D4}"/>
            </c:ext>
          </c:extLst>
        </c:ser>
        <c:ser>
          <c:idx val="1"/>
          <c:order val="1"/>
          <c:tx>
            <c:strRef>
              <c:f>'RPO P9'!$E$3</c:f>
              <c:strCache>
                <c:ptCount val="1"/>
                <c:pt idx="0">
                  <c:v>Raczej duże trudności</c:v>
                </c:pt>
              </c:strCache>
            </c:strRef>
          </c:tx>
          <c:spPr>
            <a:solidFill>
              <a:schemeClr val="accent2"/>
            </a:solidFill>
            <a:ln>
              <a:noFill/>
            </a:ln>
            <a:effectLst/>
          </c:spPr>
          <c:invertIfNegative val="0"/>
          <c:dLbls>
            <c:dLbl>
              <c:idx val="1"/>
              <c:layout>
                <c:manualLayout>
                  <c:x val="0"/>
                  <c:y val="-1.9787286668315609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356-41A0-AEEA-F7EBAAC5D2E5}"/>
                </c:ext>
              </c:extLst>
            </c:dLbl>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P9'!$F$3:$H$3</c:f>
              <c:numCache>
                <c:formatCode>###0.0%</c:formatCode>
                <c:ptCount val="3"/>
                <c:pt idx="0">
                  <c:v>0.29767441860465116</c:v>
                </c:pt>
                <c:pt idx="1">
                  <c:v>0.22790697674418606</c:v>
                </c:pt>
                <c:pt idx="2">
                  <c:v>0.2</c:v>
                </c:pt>
              </c:numCache>
            </c:numRef>
          </c:val>
          <c:extLst>
            <c:ext xmlns:c16="http://schemas.microsoft.com/office/drawing/2014/chart" uri="{C3380CC4-5D6E-409C-BE32-E72D297353CC}">
              <c16:uniqueId val="{00000001-781F-4749-8ECC-88574D48F6D4}"/>
            </c:ext>
          </c:extLst>
        </c:ser>
        <c:ser>
          <c:idx val="2"/>
          <c:order val="2"/>
          <c:tx>
            <c:strRef>
              <c:f>'RPO P9'!$E$4</c:f>
              <c:strCache>
                <c:ptCount val="1"/>
                <c:pt idx="0">
                  <c:v>Raczej niewielkie trudności</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P9'!$F$4:$H$4</c:f>
              <c:numCache>
                <c:formatCode>###0.0%</c:formatCode>
                <c:ptCount val="3"/>
                <c:pt idx="0">
                  <c:v>0.35813953488372091</c:v>
                </c:pt>
                <c:pt idx="1">
                  <c:v>0.44651162790697674</c:v>
                </c:pt>
                <c:pt idx="2">
                  <c:v>0.4</c:v>
                </c:pt>
              </c:numCache>
            </c:numRef>
          </c:val>
          <c:extLst>
            <c:ext xmlns:c16="http://schemas.microsoft.com/office/drawing/2014/chart" uri="{C3380CC4-5D6E-409C-BE32-E72D297353CC}">
              <c16:uniqueId val="{00000002-781F-4749-8ECC-88574D48F6D4}"/>
            </c:ext>
          </c:extLst>
        </c:ser>
        <c:ser>
          <c:idx val="3"/>
          <c:order val="3"/>
          <c:tx>
            <c:strRef>
              <c:f>'RPO P9'!$E$5</c:f>
              <c:strCache>
                <c:ptCount val="1"/>
                <c:pt idx="0">
                  <c:v>Brak trudności</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P9'!$F$1:$H$1</c:f>
              <c:strCache>
                <c:ptCount val="3"/>
                <c:pt idx="0">
                  <c:v>Opracowanie projektu, przygotowanie wniosku o dofinansowanie</c:v>
                </c:pt>
                <c:pt idx="1">
                  <c:v>Realizacja projektu</c:v>
                </c:pt>
                <c:pt idx="2">
                  <c:v>Rozliczanie projektu, przygotowanie wniosków o płatność</c:v>
                </c:pt>
              </c:strCache>
            </c:strRef>
          </c:cat>
          <c:val>
            <c:numRef>
              <c:f>'RPO P9'!$F$5:$H$5</c:f>
              <c:numCache>
                <c:formatCode>###0.0%</c:formatCode>
                <c:ptCount val="3"/>
                <c:pt idx="0">
                  <c:v>0.1674418604651163</c:v>
                </c:pt>
                <c:pt idx="1">
                  <c:v>0.2</c:v>
                </c:pt>
                <c:pt idx="2">
                  <c:v>0.21395348837209302</c:v>
                </c:pt>
              </c:numCache>
            </c:numRef>
          </c:val>
          <c:extLst>
            <c:ext xmlns:c16="http://schemas.microsoft.com/office/drawing/2014/chart" uri="{C3380CC4-5D6E-409C-BE32-E72D297353CC}">
              <c16:uniqueId val="{00000003-781F-4749-8ECC-88574D48F6D4}"/>
            </c:ext>
          </c:extLst>
        </c:ser>
        <c:dLbls>
          <c:dLblPos val="ctr"/>
          <c:showLegendKey val="0"/>
          <c:showVal val="1"/>
          <c:showCatName val="0"/>
          <c:showSerName val="0"/>
          <c:showPercent val="0"/>
          <c:showBubbleSize val="0"/>
        </c:dLbls>
        <c:gapWidth val="150"/>
        <c:overlap val="100"/>
        <c:axId val="1690912512"/>
        <c:axId val="1690899552"/>
      </c:barChart>
      <c:catAx>
        <c:axId val="1690912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crossAx val="1690899552"/>
        <c:crosses val="autoZero"/>
        <c:auto val="1"/>
        <c:lblAlgn val="ctr"/>
        <c:lblOffset val="100"/>
        <c:noMultiLvlLbl val="0"/>
      </c:catAx>
      <c:valAx>
        <c:axId val="1690899552"/>
        <c:scaling>
          <c:orientation val="minMax"/>
        </c:scaling>
        <c:delete val="1"/>
        <c:axPos val="l"/>
        <c:numFmt formatCode="###0.0%" sourceLinked="1"/>
        <c:majorTickMark val="none"/>
        <c:minorTickMark val="none"/>
        <c:tickLblPos val="nextTo"/>
        <c:crossAx val="1690912512"/>
        <c:crosses val="autoZero"/>
        <c:crossBetween val="between"/>
      </c:valAx>
      <c:spPr>
        <a:noFill/>
        <a:ln>
          <a:noFill/>
        </a:ln>
        <a:effectLst/>
      </c:spPr>
    </c:plotArea>
    <c:legend>
      <c:legendPos val="b"/>
      <c:layout>
        <c:manualLayout>
          <c:xMode val="edge"/>
          <c:yMode val="edge"/>
          <c:x val="0"/>
          <c:y val="0.80015463686628585"/>
          <c:w val="0.96830898802243937"/>
          <c:h val="0.17016443313124074"/>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pl-PL"/>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'FEdKP RPO dostęp inf'!$C$1</c:f>
              <c:strCache>
                <c:ptCount val="1"/>
                <c:pt idx="0">
                  <c:v>Beneficjenci RPO</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RPO dostęp inf'!$B$2:$B$7</c:f>
              <c:strCache>
                <c:ptCount val="6"/>
                <c:pt idx="0">
                  <c:v>Bardzo dobra</c:v>
                </c:pt>
                <c:pt idx="1">
                  <c:v>Dobra</c:v>
                </c:pt>
                <c:pt idx="2">
                  <c:v>Przeciętna</c:v>
                </c:pt>
                <c:pt idx="3">
                  <c:v>Słaba</c:v>
                </c:pt>
                <c:pt idx="4">
                  <c:v>Bardzo słaba</c:v>
                </c:pt>
                <c:pt idx="5">
                  <c:v>Nie wiem/ trudno powiedzieć</c:v>
                </c:pt>
              </c:strCache>
            </c:strRef>
          </c:cat>
          <c:val>
            <c:numRef>
              <c:f>'FEdKP RPO dostęp inf'!$C$2:$C$7</c:f>
              <c:numCache>
                <c:formatCode>###0.0%</c:formatCode>
                <c:ptCount val="6"/>
                <c:pt idx="0">
                  <c:v>0.1276595744680851</c:v>
                </c:pt>
                <c:pt idx="1">
                  <c:v>0.29078014184397161</c:v>
                </c:pt>
                <c:pt idx="2">
                  <c:v>0.36170212765957444</c:v>
                </c:pt>
                <c:pt idx="3">
                  <c:v>0.11347517730496454</c:v>
                </c:pt>
                <c:pt idx="4">
                  <c:v>5.6737588652482268E-2</c:v>
                </c:pt>
                <c:pt idx="5">
                  <c:v>4.9645390070921981E-2</c:v>
                </c:pt>
              </c:numCache>
            </c:numRef>
          </c:val>
          <c:extLst>
            <c:ext xmlns:c16="http://schemas.microsoft.com/office/drawing/2014/chart" uri="{C3380CC4-5D6E-409C-BE32-E72D297353CC}">
              <c16:uniqueId val="{00000000-60BA-4BDF-AA53-CEB2FD5D58AF}"/>
            </c:ext>
          </c:extLst>
        </c:ser>
        <c:ser>
          <c:idx val="1"/>
          <c:order val="1"/>
          <c:tx>
            <c:strRef>
              <c:f>'FEdKP RPO dostęp inf'!$D$1</c:f>
              <c:strCache>
                <c:ptCount val="1"/>
                <c:pt idx="0">
                  <c:v>Wnioskodawcy FEdKP</c:v>
                </c:pt>
              </c:strCache>
            </c:strRef>
          </c:tx>
          <c:spPr>
            <a:solidFill>
              <a:schemeClr val="accent2"/>
            </a:solidFill>
            <a:ln>
              <a:noFill/>
            </a:ln>
            <a:effectLst/>
          </c:spPr>
          <c:invertIfNegative val="0"/>
          <c:dLbls>
            <c:dLbl>
              <c:idx val="4"/>
              <c:delete val="1"/>
              <c:extLst>
                <c:ext xmlns:c15="http://schemas.microsoft.com/office/drawing/2012/chart" uri="{CE6537A1-D6FC-4f65-9D91-7224C49458BB}"/>
                <c:ext xmlns:c16="http://schemas.microsoft.com/office/drawing/2014/chart" uri="{C3380CC4-5D6E-409C-BE32-E72D297353CC}">
                  <c16:uniqueId val="{00000001-60BA-4BDF-AA53-CEB2FD5D58AF}"/>
                </c:ext>
              </c:extLst>
            </c:dLbl>
            <c:dLbl>
              <c:idx val="5"/>
              <c:delete val="1"/>
              <c:extLst>
                <c:ext xmlns:c15="http://schemas.microsoft.com/office/drawing/2012/chart" uri="{CE6537A1-D6FC-4f65-9D91-7224C49458BB}"/>
                <c:ext xmlns:c16="http://schemas.microsoft.com/office/drawing/2014/chart" uri="{C3380CC4-5D6E-409C-BE32-E72D297353CC}">
                  <c16:uniqueId val="{00000002-60BA-4BDF-AA53-CEB2FD5D58AF}"/>
                </c:ext>
              </c:extLst>
            </c:dLbl>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RPO dostęp inf'!$B$2:$B$7</c:f>
              <c:strCache>
                <c:ptCount val="6"/>
                <c:pt idx="0">
                  <c:v>Bardzo dobra</c:v>
                </c:pt>
                <c:pt idx="1">
                  <c:v>Dobra</c:v>
                </c:pt>
                <c:pt idx="2">
                  <c:v>Przeciętna</c:v>
                </c:pt>
                <c:pt idx="3">
                  <c:v>Słaba</c:v>
                </c:pt>
                <c:pt idx="4">
                  <c:v>Bardzo słaba</c:v>
                </c:pt>
                <c:pt idx="5">
                  <c:v>Nie wiem/ trudno powiedzieć</c:v>
                </c:pt>
              </c:strCache>
            </c:strRef>
          </c:cat>
          <c:val>
            <c:numRef>
              <c:f>'FEdKP RPO dostęp inf'!$D$2:$D$7</c:f>
              <c:numCache>
                <c:formatCode>###0.0%</c:formatCode>
                <c:ptCount val="6"/>
                <c:pt idx="0">
                  <c:v>0.47115384615384615</c:v>
                </c:pt>
                <c:pt idx="1">
                  <c:v>0.47115384615384615</c:v>
                </c:pt>
                <c:pt idx="2">
                  <c:v>2.8846153846153844E-2</c:v>
                </c:pt>
                <c:pt idx="3">
                  <c:v>2.8846153846153844E-2</c:v>
                </c:pt>
                <c:pt idx="4">
                  <c:v>0</c:v>
                </c:pt>
                <c:pt idx="5">
                  <c:v>0</c:v>
                </c:pt>
              </c:numCache>
            </c:numRef>
          </c:val>
          <c:extLst>
            <c:ext xmlns:c16="http://schemas.microsoft.com/office/drawing/2014/chart" uri="{C3380CC4-5D6E-409C-BE32-E72D297353CC}">
              <c16:uniqueId val="{00000003-60BA-4BDF-AA53-CEB2FD5D58AF}"/>
            </c:ext>
          </c:extLst>
        </c:ser>
        <c:dLbls>
          <c:showLegendKey val="0"/>
          <c:showVal val="0"/>
          <c:showCatName val="0"/>
          <c:showSerName val="0"/>
          <c:showPercent val="0"/>
          <c:showBubbleSize val="0"/>
        </c:dLbls>
        <c:gapWidth val="219"/>
        <c:overlap val="-27"/>
        <c:axId val="1440317664"/>
        <c:axId val="1440320064"/>
      </c:barChart>
      <c:catAx>
        <c:axId val="1440317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440320064"/>
        <c:crosses val="autoZero"/>
        <c:auto val="1"/>
        <c:lblAlgn val="ctr"/>
        <c:lblOffset val="100"/>
        <c:noMultiLvlLbl val="0"/>
      </c:catAx>
      <c:valAx>
        <c:axId val="1440320064"/>
        <c:scaling>
          <c:orientation val="minMax"/>
        </c:scaling>
        <c:delete val="1"/>
        <c:axPos val="l"/>
        <c:numFmt formatCode="###0.0%" sourceLinked="1"/>
        <c:majorTickMark val="none"/>
        <c:minorTickMark val="none"/>
        <c:tickLblPos val="nextTo"/>
        <c:crossAx val="1440317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strRef>
              <c:f>'RPO P3 P4'!$H$1</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P3 P4'!$G$2:$G$3</c:f>
              <c:strCache>
                <c:ptCount val="2"/>
                <c:pt idx="0">
                  <c:v>Dotarły informacje o możliwościach ubiegania się o środki z FEdKP</c:v>
                </c:pt>
                <c:pt idx="1">
                  <c:v>Szukali  informacji o naborach w ramach FEdKP</c:v>
                </c:pt>
              </c:strCache>
            </c:strRef>
          </c:cat>
          <c:val>
            <c:numRef>
              <c:f>'RPO P3 P4'!$H$2:$H$3</c:f>
              <c:numCache>
                <c:formatCode>###0.0%</c:formatCode>
                <c:ptCount val="2"/>
                <c:pt idx="0">
                  <c:v>0.59534883720930232</c:v>
                </c:pt>
                <c:pt idx="1">
                  <c:v>0.65581395348837201</c:v>
                </c:pt>
              </c:numCache>
            </c:numRef>
          </c:val>
          <c:extLst>
            <c:ext xmlns:c16="http://schemas.microsoft.com/office/drawing/2014/chart" uri="{C3380CC4-5D6E-409C-BE32-E72D297353CC}">
              <c16:uniqueId val="{00000000-77C4-4BA3-9D59-432F9BAC796B}"/>
            </c:ext>
          </c:extLst>
        </c:ser>
        <c:ser>
          <c:idx val="1"/>
          <c:order val="1"/>
          <c:tx>
            <c:strRef>
              <c:f>'RPO P3 P4'!$I$1</c:f>
              <c:strCache>
                <c:ptCount val="1"/>
                <c:pt idx="0">
                  <c:v>Nie</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P3 P4'!$G$2:$G$3</c:f>
              <c:strCache>
                <c:ptCount val="2"/>
                <c:pt idx="0">
                  <c:v>Dotarły informacje o możliwościach ubiegania się o środki z FEdKP</c:v>
                </c:pt>
                <c:pt idx="1">
                  <c:v>Szukali  informacji o naborach w ramach FEdKP</c:v>
                </c:pt>
              </c:strCache>
            </c:strRef>
          </c:cat>
          <c:val>
            <c:numRef>
              <c:f>'RPO P3 P4'!$I$2:$I$3</c:f>
              <c:numCache>
                <c:formatCode>###0.0%</c:formatCode>
                <c:ptCount val="2"/>
                <c:pt idx="0">
                  <c:v>0.40465116279069768</c:v>
                </c:pt>
                <c:pt idx="1">
                  <c:v>0.34418604651162787</c:v>
                </c:pt>
              </c:numCache>
            </c:numRef>
          </c:val>
          <c:extLst>
            <c:ext xmlns:c16="http://schemas.microsoft.com/office/drawing/2014/chart" uri="{C3380CC4-5D6E-409C-BE32-E72D297353CC}">
              <c16:uniqueId val="{00000001-77C4-4BA3-9D59-432F9BAC796B}"/>
            </c:ext>
          </c:extLst>
        </c:ser>
        <c:dLbls>
          <c:showLegendKey val="0"/>
          <c:showVal val="0"/>
          <c:showCatName val="0"/>
          <c:showSerName val="0"/>
          <c:showPercent val="0"/>
          <c:showBubbleSize val="0"/>
        </c:dLbls>
        <c:gapWidth val="61"/>
        <c:overlap val="100"/>
        <c:axId val="1622538880"/>
        <c:axId val="1622528320"/>
      </c:barChart>
      <c:catAx>
        <c:axId val="1622538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622528320"/>
        <c:crosses val="autoZero"/>
        <c:auto val="1"/>
        <c:lblAlgn val="ctr"/>
        <c:lblOffset val="100"/>
        <c:noMultiLvlLbl val="0"/>
      </c:catAx>
      <c:valAx>
        <c:axId val="1622528320"/>
        <c:scaling>
          <c:orientation val="minMax"/>
          <c:max val="1"/>
        </c:scaling>
        <c:delete val="1"/>
        <c:axPos val="b"/>
        <c:numFmt formatCode="0%" sourceLinked="1"/>
        <c:majorTickMark val="none"/>
        <c:minorTickMark val="none"/>
        <c:tickLblPos val="nextTo"/>
        <c:crossAx val="1622538880"/>
        <c:crosses val="autoZero"/>
        <c:crossBetween val="between"/>
      </c:valAx>
      <c:spPr>
        <a:noFill/>
        <a:ln>
          <a:noFill/>
        </a:ln>
        <a:effectLst/>
      </c:spPr>
    </c:plotArea>
    <c:legend>
      <c:legendPos val="b"/>
      <c:layout>
        <c:manualLayout>
          <c:xMode val="edge"/>
          <c:yMode val="edge"/>
          <c:x val="0.36681146106736656"/>
          <c:y val="0.89409667541557303"/>
          <c:w val="0.22871650662456283"/>
          <c:h val="9.9265400648448368E-2"/>
        </c:manualLayout>
      </c:layout>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867717057618216"/>
          <c:y val="4.065989525638436E-2"/>
          <c:w val="0.47410150120123873"/>
          <c:h val="0.77729379146392508"/>
        </c:manualLayout>
      </c:layout>
      <c:barChart>
        <c:barDir val="bar"/>
        <c:grouping val="stacked"/>
        <c:varyColors val="0"/>
        <c:ser>
          <c:idx val="0"/>
          <c:order val="0"/>
          <c:tx>
            <c:strRef>
              <c:f>'W16'!$B$2</c:f>
              <c:strCache>
                <c:ptCount val="1"/>
                <c:pt idx="0">
                  <c:v>Zdecydowanie się zgadzam</c:v>
                </c:pt>
              </c:strCache>
            </c:strRef>
          </c:tx>
          <c:spPr>
            <a:solidFill>
              <a:schemeClr val="accent1"/>
            </a:solidFill>
            <a:ln>
              <a:noFill/>
            </a:ln>
            <a:effectLst/>
          </c:spPr>
          <c:invertIfNegative val="0"/>
          <c:dLbls>
            <c:dLbl>
              <c:idx val="3"/>
              <c:layout>
                <c:manualLayout>
                  <c:x val="1.3227513227513227E-2"/>
                  <c:y val="2.210921954455007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'W16'!$C$2:$F$2</c:f>
              <c:numCache>
                <c:formatCode>###0.0%</c:formatCode>
                <c:ptCount val="4"/>
                <c:pt idx="0">
                  <c:v>0.5</c:v>
                </c:pt>
                <c:pt idx="1">
                  <c:v>0.31730769230769229</c:v>
                </c:pt>
                <c:pt idx="2">
                  <c:v>0.44230769230769235</c:v>
                </c:pt>
                <c:pt idx="3">
                  <c:v>4.8076923076923073E-2</c:v>
                </c:pt>
              </c:numCache>
            </c:numRef>
          </c:val>
          <c:extLst>
            <c:ext xmlns:c16="http://schemas.microsoft.com/office/drawing/2014/chart" uri="{C3380CC4-5D6E-409C-BE32-E72D297353CC}">
              <c16:uniqueId val="{00000000-7B16-4C36-A667-A7E8C6BEC705}"/>
            </c:ext>
          </c:extLst>
        </c:ser>
        <c:ser>
          <c:idx val="1"/>
          <c:order val="1"/>
          <c:tx>
            <c:strRef>
              <c:f>'W16'!$B$3</c:f>
              <c:strCache>
                <c:ptCount val="1"/>
                <c:pt idx="0">
                  <c:v>Raczej się zgadzam</c:v>
                </c:pt>
              </c:strCache>
            </c:strRef>
          </c:tx>
          <c:spPr>
            <a:solidFill>
              <a:schemeClr val="accent2"/>
            </a:solidFill>
            <a:ln>
              <a:noFill/>
            </a:ln>
            <a:effectLst/>
          </c:spPr>
          <c:invertIfNegative val="0"/>
          <c:dLbls>
            <c:dLbl>
              <c:idx val="3"/>
              <c:layout>
                <c:manualLayout>
                  <c:x val="8.8183421516754845E-3"/>
                  <c:y val="-2.210921954455007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'W16'!$C$3:$F$3</c:f>
              <c:numCache>
                <c:formatCode>###0.0%</c:formatCode>
                <c:ptCount val="4"/>
                <c:pt idx="0">
                  <c:v>0.43269230769230765</c:v>
                </c:pt>
                <c:pt idx="1">
                  <c:v>0.46153846153846151</c:v>
                </c:pt>
                <c:pt idx="2">
                  <c:v>0.47115384615384615</c:v>
                </c:pt>
                <c:pt idx="3">
                  <c:v>7.6923076923076927E-2</c:v>
                </c:pt>
              </c:numCache>
            </c:numRef>
          </c:val>
          <c:extLst>
            <c:ext xmlns:c16="http://schemas.microsoft.com/office/drawing/2014/chart" uri="{C3380CC4-5D6E-409C-BE32-E72D297353CC}">
              <c16:uniqueId val="{00000001-7B16-4C36-A667-A7E8C6BEC705}"/>
            </c:ext>
          </c:extLst>
        </c:ser>
        <c:ser>
          <c:idx val="2"/>
          <c:order val="2"/>
          <c:tx>
            <c:strRef>
              <c:f>'W16'!$B$4</c:f>
              <c:strCache>
                <c:ptCount val="1"/>
                <c:pt idx="0">
                  <c:v>Raczej się nie zgadzam</c:v>
                </c:pt>
              </c:strCache>
            </c:strRef>
          </c:tx>
          <c:spPr>
            <a:solidFill>
              <a:schemeClr val="accent3"/>
            </a:solidFill>
            <a:ln>
              <a:noFill/>
            </a:ln>
            <a:effectLst/>
          </c:spPr>
          <c:invertIfNegative val="0"/>
          <c:dLbls>
            <c:dLbl>
              <c:idx val="0"/>
              <c:layout>
                <c:manualLayout>
                  <c:x val="-8.8183421516754845E-3"/>
                  <c:y val="0"/>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7B16-4C36-A667-A7E8C6BEC705}"/>
                </c:ext>
              </c:extLst>
            </c:dLbl>
            <c:dLbl>
              <c:idx val="2"/>
              <c:layout>
                <c:manualLayout>
                  <c:x val="-1.322751322751339E-2"/>
                  <c:y val="-8.8436878178200715E-3"/>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'W16'!$C$4:$F$4</c:f>
              <c:numCache>
                <c:formatCode>###0.0%</c:formatCode>
                <c:ptCount val="4"/>
                <c:pt idx="0">
                  <c:v>3.8461538461538464E-2</c:v>
                </c:pt>
                <c:pt idx="1">
                  <c:v>0.10576923076923077</c:v>
                </c:pt>
                <c:pt idx="2">
                  <c:v>7.6923076923076927E-2</c:v>
                </c:pt>
                <c:pt idx="3">
                  <c:v>0.44230769230769235</c:v>
                </c:pt>
              </c:numCache>
            </c:numRef>
          </c:val>
          <c:extLst>
            <c:ext xmlns:c16="http://schemas.microsoft.com/office/drawing/2014/chart" uri="{C3380CC4-5D6E-409C-BE32-E72D297353CC}">
              <c16:uniqueId val="{00000002-7B16-4C36-A667-A7E8C6BEC705}"/>
            </c:ext>
          </c:extLst>
        </c:ser>
        <c:ser>
          <c:idx val="3"/>
          <c:order val="3"/>
          <c:tx>
            <c:strRef>
              <c:f>'W16'!$B$5</c:f>
              <c:strCache>
                <c:ptCount val="1"/>
                <c:pt idx="0">
                  <c:v>Zdecydowanie się nie zgadzam</c:v>
                </c:pt>
              </c:strCache>
            </c:strRef>
          </c:tx>
          <c:spPr>
            <a:solidFill>
              <a:schemeClr val="accent4"/>
            </a:solidFill>
            <a:ln>
              <a:noFill/>
            </a:ln>
            <a:effectLst/>
          </c:spPr>
          <c:invertIfNegative val="0"/>
          <c:dLbls>
            <c:dLbl>
              <c:idx val="0"/>
              <c:layout>
                <c:manualLayout>
                  <c:x val="1.67708203141274E-2"/>
                  <c:y val="0.10837451973378411"/>
                </c:manualLayout>
              </c:layout>
              <c:dLblPos val="ctr"/>
              <c:showLegendKey val="0"/>
              <c:showVal val="1"/>
              <c:showCatName val="0"/>
              <c:showSerName val="0"/>
              <c:showPercent val="0"/>
              <c:showBubbleSize val="0"/>
              <c:extLst>
                <c:ext xmlns:c15="http://schemas.microsoft.com/office/drawing/2012/chart" uri="{CE6537A1-D6FC-4f65-9D91-7224C49458BB}">
                  <c15:layout>
                    <c:manualLayout>
                      <c:w val="6.2946471968781684E-2"/>
                      <c:h val="9.2009170973902418E-2"/>
                    </c:manualLayout>
                  </c15:layout>
                </c:ext>
                <c:ext xmlns:c16="http://schemas.microsoft.com/office/drawing/2014/chart" uri="{C3380CC4-5D6E-409C-BE32-E72D297353CC}">
                  <c16:uniqueId val="{00000003-7B16-4C36-A667-A7E8C6BEC705}"/>
                </c:ext>
              </c:extLst>
            </c:dLbl>
            <c:dLbl>
              <c:idx val="1"/>
              <c:layout>
                <c:manualLayout>
                  <c:x val="2.2045855379188711E-3"/>
                  <c:y val="6.190581472474021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7B16-4C36-A667-A7E8C6BEC705}"/>
                </c:ext>
              </c:extLst>
            </c:dLbl>
            <c:dLbl>
              <c:idx val="2"/>
              <c:layout>
                <c:manualLayout>
                  <c:x val="-2.2045855379188711E-3"/>
                  <c:y val="-7.074950254256029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'W16'!$C$5:$F$5</c:f>
              <c:numCache>
                <c:formatCode>###0.0%</c:formatCode>
                <c:ptCount val="4"/>
                <c:pt idx="0">
                  <c:v>1.9230769230769232E-2</c:v>
                </c:pt>
                <c:pt idx="1">
                  <c:v>4.8076923076923073E-2</c:v>
                </c:pt>
                <c:pt idx="2">
                  <c:v>9.6153846153846159E-3</c:v>
                </c:pt>
                <c:pt idx="3">
                  <c:v>0.27884615384615385</c:v>
                </c:pt>
              </c:numCache>
            </c:numRef>
          </c:val>
          <c:extLst>
            <c:ext xmlns:c16="http://schemas.microsoft.com/office/drawing/2014/chart" uri="{C3380CC4-5D6E-409C-BE32-E72D297353CC}">
              <c16:uniqueId val="{00000004-7B16-4C36-A667-A7E8C6BEC705}"/>
            </c:ext>
          </c:extLst>
        </c:ser>
        <c:ser>
          <c:idx val="4"/>
          <c:order val="4"/>
          <c:tx>
            <c:strRef>
              <c:f>'W16'!$B$6</c:f>
              <c:strCache>
                <c:ptCount val="1"/>
                <c:pt idx="0">
                  <c:v>Nie wiem/ trudno powiedzieć</c:v>
                </c:pt>
              </c:strCache>
            </c:strRef>
          </c:tx>
          <c:spPr>
            <a:solidFill>
              <a:schemeClr val="accent5"/>
            </a:solidFill>
            <a:ln>
              <a:noFill/>
            </a:ln>
            <a:effectLst/>
          </c:spPr>
          <c:invertIfNegative val="0"/>
          <c:dLbls>
            <c:dLbl>
              <c:idx val="0"/>
              <c:layout>
                <c:manualLayout>
                  <c:x val="1.7217762420514204E-2"/>
                  <c:y val="-7.2205146662223899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B16-4C36-A667-A7E8C6BEC705}"/>
                </c:ext>
              </c:extLst>
            </c:dLbl>
            <c:dLbl>
              <c:idx val="1"/>
              <c:layout>
                <c:manualLayout>
                  <c:x val="8.8183421516754845E-3"/>
                  <c:y val="-1.3265531726730046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7B16-4C36-A667-A7E8C6BEC705}"/>
                </c:ext>
              </c:extLst>
            </c:dLbl>
            <c:dLbl>
              <c:idx val="2"/>
              <c:delete val="1"/>
              <c:extLst>
                <c:ext xmlns:c15="http://schemas.microsoft.com/office/drawing/2012/chart" uri="{CE6537A1-D6FC-4f65-9D91-7224C49458BB}"/>
                <c:ext xmlns:c16="http://schemas.microsoft.com/office/drawing/2014/chart" uri="{C3380CC4-5D6E-409C-BE32-E72D297353CC}">
                  <c16:uniqueId val="{0000000A-7B16-4C36-A667-A7E8C6BEC705}"/>
                </c:ext>
              </c:extLst>
            </c:dLbl>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'W16'!$C$1:$F$1</c:f>
              <c:strCache>
                <c:ptCount val="4"/>
                <c:pt idx="0">
                  <c:v>Harmonogram i terminy naboru były wystarczająco jasno zakomunikowane</c:v>
                </c:pt>
                <c:pt idx="1">
                  <c:v>Informacje o naborze były dostępne odpowiednio wcześnie</c:v>
                </c:pt>
                <c:pt idx="2">
                  <c:v>Informacje o naborze były łatwe do odnalezienia (np. na stronie internetowej programu)</c:v>
                </c:pt>
                <c:pt idx="3">
                  <c:v>Harmonogram naborów zmieniał się zbyt często</c:v>
                </c:pt>
              </c:strCache>
            </c:strRef>
          </c:cat>
          <c:val>
            <c:numRef>
              <c:f>'W16'!$C$6:$F$6</c:f>
              <c:numCache>
                <c:formatCode>###0.0%</c:formatCode>
                <c:ptCount val="4"/>
                <c:pt idx="0">
                  <c:v>9.6153846153846159E-3</c:v>
                </c:pt>
                <c:pt idx="1">
                  <c:v>6.7307692307692304E-2</c:v>
                </c:pt>
                <c:pt idx="2">
                  <c:v>0</c:v>
                </c:pt>
                <c:pt idx="3">
                  <c:v>0.15384615384615385</c:v>
                </c:pt>
              </c:numCache>
            </c:numRef>
          </c:val>
          <c:extLst>
            <c:ext xmlns:c16="http://schemas.microsoft.com/office/drawing/2014/chart" uri="{C3380CC4-5D6E-409C-BE32-E72D297353CC}">
              <c16:uniqueId val="{00000006-7B16-4C36-A667-A7E8C6BEC705}"/>
            </c:ext>
          </c:extLst>
        </c:ser>
        <c:dLbls>
          <c:dLblPos val="ctr"/>
          <c:showLegendKey val="0"/>
          <c:showVal val="1"/>
          <c:showCatName val="0"/>
          <c:showSerName val="0"/>
          <c:showPercent val="0"/>
          <c:showBubbleSize val="0"/>
        </c:dLbls>
        <c:gapWidth val="150"/>
        <c:overlap val="100"/>
        <c:axId val="1528852688"/>
        <c:axId val="1528860368"/>
      </c:barChart>
      <c:catAx>
        <c:axId val="152885268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crossAx val="1528860368"/>
        <c:crosses val="autoZero"/>
        <c:auto val="1"/>
        <c:lblAlgn val="ctr"/>
        <c:lblOffset val="100"/>
        <c:noMultiLvlLbl val="0"/>
      </c:catAx>
      <c:valAx>
        <c:axId val="1528860368"/>
        <c:scaling>
          <c:orientation val="minMax"/>
          <c:max val="1"/>
        </c:scaling>
        <c:delete val="1"/>
        <c:axPos val="b"/>
        <c:numFmt formatCode="###0.0%" sourceLinked="1"/>
        <c:majorTickMark val="none"/>
        <c:minorTickMark val="none"/>
        <c:tickLblPos val="nextTo"/>
        <c:crossAx val="15288526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solidFill>
            <a:sysClr val="windowText" lastClr="000000"/>
          </a:solidFill>
        </a:defRPr>
      </a:pPr>
      <a:endParaRPr lang="pl-PL"/>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P16'!$E$2:$E$5</c:f>
              <c:strCache>
                <c:ptCount val="4"/>
                <c:pt idx="0">
                  <c:v>Tak/raczej tak</c:v>
                </c:pt>
                <c:pt idx="1">
                  <c:v>Nie/raczej nie</c:v>
                </c:pt>
                <c:pt idx="2">
                  <c:v>Nie korzystaliśmy z żadnego wsparcia</c:v>
                </c:pt>
                <c:pt idx="3">
                  <c:v>Nie wiem/ trudno powiedzieć</c:v>
                </c:pt>
              </c:strCache>
            </c:strRef>
          </c:cat>
          <c:val>
            <c:numRef>
              <c:f>'FEdKP P16'!$F$2:$F$5</c:f>
              <c:numCache>
                <c:formatCode>###0.0%</c:formatCode>
                <c:ptCount val="4"/>
                <c:pt idx="0">
                  <c:v>0.82692307692307687</c:v>
                </c:pt>
                <c:pt idx="1">
                  <c:v>3.8461538461538464E-2</c:v>
                </c:pt>
                <c:pt idx="2">
                  <c:v>6.7307692307692304E-2</c:v>
                </c:pt>
                <c:pt idx="3">
                  <c:v>6.7307692307692304E-2</c:v>
                </c:pt>
              </c:numCache>
            </c:numRef>
          </c:val>
          <c:extLst>
            <c:ext xmlns:c16="http://schemas.microsoft.com/office/drawing/2014/chart" uri="{C3380CC4-5D6E-409C-BE32-E72D297353CC}">
              <c16:uniqueId val="{00000000-164D-4106-922F-4972AF340C82}"/>
            </c:ext>
          </c:extLst>
        </c:ser>
        <c:dLbls>
          <c:showLegendKey val="0"/>
          <c:showVal val="0"/>
          <c:showCatName val="0"/>
          <c:showSerName val="0"/>
          <c:showPercent val="0"/>
          <c:showBubbleSize val="0"/>
        </c:dLbls>
        <c:gapWidth val="219"/>
        <c:overlap val="-27"/>
        <c:axId val="1413224896"/>
        <c:axId val="1413228736"/>
      </c:barChart>
      <c:catAx>
        <c:axId val="14132248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413228736"/>
        <c:crosses val="autoZero"/>
        <c:auto val="1"/>
        <c:lblAlgn val="ctr"/>
        <c:lblOffset val="100"/>
        <c:noMultiLvlLbl val="0"/>
      </c:catAx>
      <c:valAx>
        <c:axId val="1413228736"/>
        <c:scaling>
          <c:orientation val="minMax"/>
        </c:scaling>
        <c:delete val="1"/>
        <c:axPos val="l"/>
        <c:numFmt formatCode="###0.0%" sourceLinked="1"/>
        <c:majorTickMark val="none"/>
        <c:minorTickMark val="none"/>
        <c:tickLblPos val="nextTo"/>
        <c:crossAx val="14132248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Pt>
            <c:idx val="5"/>
            <c:invertIfNegative val="0"/>
            <c:bubble3D val="0"/>
            <c:spPr>
              <a:solidFill>
                <a:srgbClr val="00B0F0"/>
              </a:solidFill>
              <a:ln>
                <a:noFill/>
              </a:ln>
              <a:effectLst/>
            </c:spPr>
            <c:extLst>
              <c:ext xmlns:c16="http://schemas.microsoft.com/office/drawing/2014/chart" uri="{C3380CC4-5D6E-409C-BE32-E72D297353CC}">
                <c16:uniqueId val="{00000001-DB4B-4E56-AD1C-638213B3EEF5}"/>
              </c:ext>
            </c:extLst>
          </c:dPt>
          <c:dPt>
            <c:idx val="6"/>
            <c:invertIfNegative val="0"/>
            <c:bubble3D val="0"/>
            <c:spPr>
              <a:solidFill>
                <a:srgbClr val="18E6D7"/>
              </a:solidFill>
              <a:ln>
                <a:noFill/>
              </a:ln>
              <a:effectLst/>
            </c:spPr>
            <c:extLst>
              <c:ext xmlns:c16="http://schemas.microsoft.com/office/drawing/2014/chart" uri="{C3380CC4-5D6E-409C-BE32-E72D297353CC}">
                <c16:uniqueId val="{00000003-DB4B-4E56-AD1C-638213B3EEF5}"/>
              </c:ext>
            </c:extLst>
          </c:dPt>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P17'!$B$2:$B$8</c:f>
              <c:strCache>
                <c:ptCount val="7"/>
                <c:pt idx="0">
                  <c:v>Szkoleń lub warsztatów tematycznych</c:v>
                </c:pt>
                <c:pt idx="1">
                  <c:v>Doradztwa indywidualnego (np. konsultacji koncepcji projektowej)</c:v>
                </c:pt>
                <c:pt idx="2">
                  <c:v>Narzędzi ułatwiających przygotowanie danych lub analiz</c:v>
                </c:pt>
                <c:pt idx="3">
                  <c:v>Jasnych interpretacji wymagań programowych i kryteriów</c:v>
                </c:pt>
                <c:pt idx="4">
                  <c:v>Praktycznych wytycznych do przygotowania dokumentów aplikacyjnych</c:v>
                </c:pt>
                <c:pt idx="5">
                  <c:v>Nie zabrakło żadnego wsparcia</c:v>
                </c:pt>
                <c:pt idx="6">
                  <c:v>Nie wiem| trudno powiedzieć</c:v>
                </c:pt>
              </c:strCache>
            </c:strRef>
          </c:cat>
          <c:val>
            <c:numRef>
              <c:f>'FEdKP P17'!$D$2:$D$8</c:f>
              <c:numCache>
                <c:formatCode>###0.0%</c:formatCode>
                <c:ptCount val="7"/>
                <c:pt idx="0">
                  <c:v>0.27884615384615385</c:v>
                </c:pt>
                <c:pt idx="1">
                  <c:v>0.18269230769230771</c:v>
                </c:pt>
                <c:pt idx="2">
                  <c:v>0.14423076923076925</c:v>
                </c:pt>
                <c:pt idx="3">
                  <c:v>9.6153846153846145E-2</c:v>
                </c:pt>
                <c:pt idx="4">
                  <c:v>8.6538461538461536E-2</c:v>
                </c:pt>
                <c:pt idx="5">
                  <c:v>0.33653846153846151</c:v>
                </c:pt>
                <c:pt idx="6">
                  <c:v>0.22115384615384617</c:v>
                </c:pt>
              </c:numCache>
            </c:numRef>
          </c:val>
          <c:extLst>
            <c:ext xmlns:c16="http://schemas.microsoft.com/office/drawing/2014/chart" uri="{C3380CC4-5D6E-409C-BE32-E72D297353CC}">
              <c16:uniqueId val="{00000004-DB4B-4E56-AD1C-638213B3EEF5}"/>
            </c:ext>
          </c:extLst>
        </c:ser>
        <c:dLbls>
          <c:showLegendKey val="0"/>
          <c:showVal val="0"/>
          <c:showCatName val="0"/>
          <c:showSerName val="0"/>
          <c:showPercent val="0"/>
          <c:showBubbleSize val="0"/>
        </c:dLbls>
        <c:gapWidth val="182"/>
        <c:axId val="1442121792"/>
        <c:axId val="1442115552"/>
      </c:barChart>
      <c:catAx>
        <c:axId val="1442121792"/>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442115552"/>
        <c:crosses val="autoZero"/>
        <c:auto val="1"/>
        <c:lblAlgn val="ctr"/>
        <c:lblOffset val="100"/>
        <c:noMultiLvlLbl val="0"/>
      </c:catAx>
      <c:valAx>
        <c:axId val="1442115552"/>
        <c:scaling>
          <c:orientation val="minMax"/>
        </c:scaling>
        <c:delete val="1"/>
        <c:axPos val="t"/>
        <c:numFmt formatCode="###0.0%" sourceLinked="1"/>
        <c:majorTickMark val="none"/>
        <c:minorTickMark val="none"/>
        <c:tickLblPos val="nextTo"/>
        <c:crossAx val="14421217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'FEdKP P5'!$F$1</c:f>
              <c:strCache>
                <c:ptCount val="1"/>
                <c:pt idx="0">
                  <c:v>Czas na przygotowanie i złożenie wniosku był wystarczający, aby przygotować kompletny wniosek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P5'!$B$2:$B$6</c:f>
              <c:strCache>
                <c:ptCount val="5"/>
                <c:pt idx="0">
                  <c:v>Zdecydowanie się zgadzam</c:v>
                </c:pt>
                <c:pt idx="1">
                  <c:v>Raczej się zgadzam</c:v>
                </c:pt>
                <c:pt idx="2">
                  <c:v>Raczej się nie zgadzam</c:v>
                </c:pt>
                <c:pt idx="3">
                  <c:v>Zdecydowanie się nie zgadzam</c:v>
                </c:pt>
                <c:pt idx="4">
                  <c:v>Nie wiem/ trudno powiedzieć</c:v>
                </c:pt>
              </c:strCache>
            </c:strRef>
          </c:cat>
          <c:val>
            <c:numRef>
              <c:f>'FEdKP P5'!$F$2:$F$6</c:f>
              <c:numCache>
                <c:formatCode>###0.0%</c:formatCode>
                <c:ptCount val="5"/>
                <c:pt idx="0">
                  <c:v>0.23076923076923075</c:v>
                </c:pt>
                <c:pt idx="1">
                  <c:v>0.51923076923076916</c:v>
                </c:pt>
                <c:pt idx="2">
                  <c:v>0.14423076923076925</c:v>
                </c:pt>
                <c:pt idx="3">
                  <c:v>4.8076923076923073E-2</c:v>
                </c:pt>
                <c:pt idx="4">
                  <c:v>5.7692307692307689E-2</c:v>
                </c:pt>
              </c:numCache>
            </c:numRef>
          </c:val>
          <c:extLst>
            <c:ext xmlns:c16="http://schemas.microsoft.com/office/drawing/2014/chart" uri="{C3380CC4-5D6E-409C-BE32-E72D297353CC}">
              <c16:uniqueId val="{00000000-9F55-4C70-B36F-217F8EC5C863}"/>
            </c:ext>
          </c:extLst>
        </c:ser>
        <c:dLbls>
          <c:showLegendKey val="0"/>
          <c:showVal val="0"/>
          <c:showCatName val="0"/>
          <c:showSerName val="0"/>
          <c:showPercent val="0"/>
          <c:showBubbleSize val="0"/>
        </c:dLbls>
        <c:gapWidth val="219"/>
        <c:overlap val="-27"/>
        <c:axId val="1511799392"/>
        <c:axId val="1511804192"/>
      </c:barChart>
      <c:catAx>
        <c:axId val="15117993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11804192"/>
        <c:crosses val="autoZero"/>
        <c:auto val="1"/>
        <c:lblAlgn val="ctr"/>
        <c:lblOffset val="100"/>
        <c:noMultiLvlLbl val="0"/>
      </c:catAx>
      <c:valAx>
        <c:axId val="1511804192"/>
        <c:scaling>
          <c:orientation val="minMax"/>
        </c:scaling>
        <c:delete val="1"/>
        <c:axPos val="l"/>
        <c:numFmt formatCode="###0.0%" sourceLinked="1"/>
        <c:majorTickMark val="none"/>
        <c:minorTickMark val="none"/>
        <c:tickLblPos val="nextTo"/>
        <c:crossAx val="15117993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52866509158705"/>
          <c:y val="5.1019159757898204E-2"/>
          <c:w val="0.45999437909337926"/>
          <c:h val="0.64228447509246078"/>
        </c:manualLayout>
      </c:layout>
      <c:barChart>
        <c:barDir val="bar"/>
        <c:grouping val="percentStacked"/>
        <c:varyColors val="0"/>
        <c:ser>
          <c:idx val="0"/>
          <c:order val="0"/>
          <c:tx>
            <c:strRef>
              <c:f>'W19 W20 W22'!$B$2</c:f>
              <c:strCache>
                <c:ptCount val="1"/>
                <c:pt idx="0">
                  <c:v>Zdecydowanie się zgadzam</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W22'!$C$2:$E$2</c:f>
              <c:numCache>
                <c:formatCode>###0.0%</c:formatCode>
                <c:ptCount val="3"/>
                <c:pt idx="0">
                  <c:v>0.33653846153846151</c:v>
                </c:pt>
                <c:pt idx="1">
                  <c:v>0.36538461538461542</c:v>
                </c:pt>
                <c:pt idx="2">
                  <c:v>0.34615384615384615</c:v>
                </c:pt>
              </c:numCache>
            </c:numRef>
          </c:val>
          <c:extLst>
            <c:ext xmlns:c16="http://schemas.microsoft.com/office/drawing/2014/chart" uri="{C3380CC4-5D6E-409C-BE32-E72D297353CC}">
              <c16:uniqueId val="{00000000-F624-4B91-BCA4-778C889B65C3}"/>
            </c:ext>
          </c:extLst>
        </c:ser>
        <c:ser>
          <c:idx val="1"/>
          <c:order val="1"/>
          <c:tx>
            <c:strRef>
              <c:f>'W19 W20 W22'!$B$3</c:f>
              <c:strCache>
                <c:ptCount val="1"/>
                <c:pt idx="0">
                  <c:v>Raczej się zgadzam</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W22'!$C$3:$E$3</c:f>
              <c:numCache>
                <c:formatCode>###0.0%</c:formatCode>
                <c:ptCount val="3"/>
                <c:pt idx="0">
                  <c:v>0.64423076923076916</c:v>
                </c:pt>
                <c:pt idx="1">
                  <c:v>0.60576923076923084</c:v>
                </c:pt>
                <c:pt idx="2">
                  <c:v>0.56730769230769229</c:v>
                </c:pt>
              </c:numCache>
            </c:numRef>
          </c:val>
          <c:extLst>
            <c:ext xmlns:c16="http://schemas.microsoft.com/office/drawing/2014/chart" uri="{C3380CC4-5D6E-409C-BE32-E72D297353CC}">
              <c16:uniqueId val="{00000001-F624-4B91-BCA4-778C889B65C3}"/>
            </c:ext>
          </c:extLst>
        </c:ser>
        <c:ser>
          <c:idx val="2"/>
          <c:order val="2"/>
          <c:tx>
            <c:strRef>
              <c:f>'W19 W20 W22'!$B$4</c:f>
              <c:strCache>
                <c:ptCount val="1"/>
                <c:pt idx="0">
                  <c:v>Raczej się nie zgadzam</c:v>
                </c:pt>
              </c:strCache>
            </c:strRef>
          </c:tx>
          <c:spPr>
            <a:solidFill>
              <a:schemeClr val="accent3"/>
            </a:solidFill>
            <a:ln>
              <a:noFill/>
            </a:ln>
            <a:effectLst/>
          </c:spPr>
          <c:invertIfNegative val="0"/>
          <c:dLbls>
            <c:dLbl>
              <c:idx val="0"/>
              <c:layout>
                <c:manualLayout>
                  <c:x val="-2.2204951704230043E-2"/>
                  <c:y val="4.4740967781711849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15:layout>
                    <c:manualLayout>
                      <c:w val="7.1233485067169977E-2"/>
                      <c:h val="8.1767513960083832E-2"/>
                    </c:manualLayout>
                  </c15:layout>
                </c:ext>
                <c:ext xmlns:c16="http://schemas.microsoft.com/office/drawing/2014/chart" uri="{C3380CC4-5D6E-409C-BE32-E72D297353CC}">
                  <c16:uniqueId val="{0000000A-F624-4B91-BCA4-778C889B65C3}"/>
                </c:ext>
              </c:extLst>
            </c:dLbl>
            <c:dLbl>
              <c:idx val="1"/>
              <c:layout>
                <c:manualLayout>
                  <c:x val="-2.6645942045076053E-2"/>
                  <c:y val="4.4742729306487695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F624-4B91-BCA4-778C889B65C3}"/>
                </c:ext>
              </c:extLst>
            </c:dLbl>
            <c:dLbl>
              <c:idx val="2"/>
              <c:layout>
                <c:manualLayout>
                  <c:x val="-1.7763961363384033E-2"/>
                  <c:y val="-4.4742729306487903E-3"/>
                </c:manualLayout>
              </c:layout>
              <c:spPr>
                <a:noFill/>
                <a:ln>
                  <a:noFill/>
                </a:ln>
                <a:effectLst/>
              </c:spPr>
              <c:txPr>
                <a:bodyPr rot="0" spcFirstLastPara="1" vertOverflow="ellipsis" vert="horz" wrap="square" anchor="ctr" anchorCtr="1"/>
                <a:lstStyle/>
                <a:p>
                  <a:pPr>
                    <a:defRPr sz="11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W22'!$C$4:$E$4</c:f>
              <c:numCache>
                <c:formatCode>###0.0%</c:formatCode>
                <c:ptCount val="3"/>
                <c:pt idx="0">
                  <c:v>1.9230769230769232E-2</c:v>
                </c:pt>
                <c:pt idx="1">
                  <c:v>2.8846153846153844E-2</c:v>
                </c:pt>
                <c:pt idx="2">
                  <c:v>4.8076923076923073E-2</c:v>
                </c:pt>
              </c:numCache>
            </c:numRef>
          </c:val>
          <c:extLst>
            <c:ext xmlns:c16="http://schemas.microsoft.com/office/drawing/2014/chart" uri="{C3380CC4-5D6E-409C-BE32-E72D297353CC}">
              <c16:uniqueId val="{00000002-F624-4B91-BCA4-778C889B65C3}"/>
            </c:ext>
          </c:extLst>
        </c:ser>
        <c:ser>
          <c:idx val="3"/>
          <c:order val="3"/>
          <c:tx>
            <c:strRef>
              <c:f>'W19 W20 W22'!$B$5</c:f>
              <c:strCache>
                <c:ptCount val="1"/>
                <c:pt idx="0">
                  <c:v>Zdecydowanie się nie zgadzam</c:v>
                </c:pt>
              </c:strCache>
            </c:strRef>
          </c:tx>
          <c:spPr>
            <a:solidFill>
              <a:schemeClr val="accent4"/>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9-F624-4B91-BCA4-778C889B65C3}"/>
                </c:ext>
              </c:extLst>
            </c:dLbl>
            <c:dLbl>
              <c:idx val="1"/>
              <c:delete val="1"/>
              <c:extLst>
                <c:ext xmlns:c15="http://schemas.microsoft.com/office/drawing/2012/chart" uri="{CE6537A1-D6FC-4f65-9D91-7224C49458BB}"/>
                <c:ext xmlns:c16="http://schemas.microsoft.com/office/drawing/2014/chart" uri="{C3380CC4-5D6E-409C-BE32-E72D297353CC}">
                  <c16:uniqueId val="{0000000C-F624-4B91-BCA4-778C889B65C3}"/>
                </c:ext>
              </c:extLst>
            </c:dLbl>
            <c:dLbl>
              <c:idx val="2"/>
              <c:layout>
                <c:manualLayout>
                  <c:x val="2.2204951704230043E-2"/>
                  <c:y val="-7.6062639821029093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W22'!$C$5:$E$5</c:f>
              <c:numCache>
                <c:formatCode>###0.0%</c:formatCode>
                <c:ptCount val="3"/>
                <c:pt idx="0">
                  <c:v>0</c:v>
                </c:pt>
                <c:pt idx="1">
                  <c:v>0</c:v>
                </c:pt>
                <c:pt idx="2">
                  <c:v>9.6153846153846159E-3</c:v>
                </c:pt>
              </c:numCache>
            </c:numRef>
          </c:val>
          <c:extLst>
            <c:ext xmlns:c16="http://schemas.microsoft.com/office/drawing/2014/chart" uri="{C3380CC4-5D6E-409C-BE32-E72D297353CC}">
              <c16:uniqueId val="{00000003-F624-4B91-BCA4-778C889B65C3}"/>
            </c:ext>
          </c:extLst>
        </c:ser>
        <c:ser>
          <c:idx val="4"/>
          <c:order val="4"/>
          <c:tx>
            <c:strRef>
              <c:f>'W19 W20 W22'!$B$6</c:f>
              <c:strCache>
                <c:ptCount val="1"/>
                <c:pt idx="0">
                  <c:v>Nie wiem/ trudno powiedzieć</c:v>
                </c:pt>
              </c:strCache>
            </c:strRef>
          </c:tx>
          <c:spPr>
            <a:solidFill>
              <a:schemeClr val="accent5"/>
            </a:solidFill>
            <a:ln>
              <a:noFill/>
            </a:ln>
            <a:effectLst/>
          </c:spPr>
          <c:invertIfNegative val="0"/>
          <c:dLbls>
            <c:dLbl>
              <c:idx val="0"/>
              <c:delete val="1"/>
              <c:extLst>
                <c:ext xmlns:c15="http://schemas.microsoft.com/office/drawing/2012/chart" uri="{CE6537A1-D6FC-4f65-9D91-7224C49458BB}"/>
                <c:ext xmlns:c16="http://schemas.microsoft.com/office/drawing/2014/chart" uri="{C3380CC4-5D6E-409C-BE32-E72D297353CC}">
                  <c16:uniqueId val="{00000008-F624-4B91-BCA4-778C889B65C3}"/>
                </c:ext>
              </c:extLst>
            </c:dLbl>
            <c:dLbl>
              <c:idx val="1"/>
              <c:delete val="1"/>
              <c:extLst>
                <c:ext xmlns:c15="http://schemas.microsoft.com/office/drawing/2012/chart" uri="{CE6537A1-D6FC-4f65-9D91-7224C49458BB}"/>
                <c:ext xmlns:c16="http://schemas.microsoft.com/office/drawing/2014/chart" uri="{C3380CC4-5D6E-409C-BE32-E72D297353CC}">
                  <c16:uniqueId val="{0000000B-F624-4B91-BCA4-778C889B65C3}"/>
                </c:ext>
              </c:extLst>
            </c:dLbl>
            <c:dLbl>
              <c:idx val="2"/>
              <c:layout>
                <c:manualLayout>
                  <c:x val="1.3322971022538026E-2"/>
                  <c:y val="6.263982102908274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624-4B91-BCA4-778C889B65C3}"/>
                </c:ext>
              </c:extLst>
            </c:dLbl>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'W19 W20 W22'!$C$1:$E$1</c:f>
              <c:strCache>
                <c:ptCount val="3"/>
                <c:pt idx="0">
                  <c:v>Dokumentacja naboru była zrozumiała i czytelna</c:v>
                </c:pt>
                <c:pt idx="1">
                  <c:v>Dokumentacja naboru zawierała wszystkie potrzebne informacje</c:v>
                </c:pt>
                <c:pt idx="2">
                  <c:v>Liczba i zakres wymaganych dokumentów na etapie składania wniosku były adekwatne</c:v>
                </c:pt>
              </c:strCache>
            </c:strRef>
          </c:cat>
          <c:val>
            <c:numRef>
              <c:f>'W19 W20 W22'!$C$6:$E$6</c:f>
              <c:numCache>
                <c:formatCode>###0.0%</c:formatCode>
                <c:ptCount val="3"/>
                <c:pt idx="0">
                  <c:v>0</c:v>
                </c:pt>
                <c:pt idx="1">
                  <c:v>0</c:v>
                </c:pt>
                <c:pt idx="2">
                  <c:v>2.8846153846153844E-2</c:v>
                </c:pt>
              </c:numCache>
            </c:numRef>
          </c:val>
          <c:extLst>
            <c:ext xmlns:c16="http://schemas.microsoft.com/office/drawing/2014/chart" uri="{C3380CC4-5D6E-409C-BE32-E72D297353CC}">
              <c16:uniqueId val="{00000004-F624-4B91-BCA4-778C889B65C3}"/>
            </c:ext>
          </c:extLst>
        </c:ser>
        <c:dLbls>
          <c:dLblPos val="ctr"/>
          <c:showLegendKey val="0"/>
          <c:showVal val="1"/>
          <c:showCatName val="0"/>
          <c:showSerName val="0"/>
          <c:showPercent val="0"/>
          <c:showBubbleSize val="0"/>
        </c:dLbls>
        <c:gapWidth val="150"/>
        <c:overlap val="100"/>
        <c:axId val="1529364112"/>
        <c:axId val="1529355472"/>
      </c:barChart>
      <c:catAx>
        <c:axId val="1529364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1529355472"/>
        <c:crosses val="autoZero"/>
        <c:auto val="1"/>
        <c:lblAlgn val="ctr"/>
        <c:lblOffset val="100"/>
        <c:noMultiLvlLbl val="0"/>
      </c:catAx>
      <c:valAx>
        <c:axId val="1529355472"/>
        <c:scaling>
          <c:orientation val="minMax"/>
        </c:scaling>
        <c:delete val="1"/>
        <c:axPos val="b"/>
        <c:numFmt formatCode="0%" sourceLinked="1"/>
        <c:majorTickMark val="none"/>
        <c:minorTickMark val="none"/>
        <c:tickLblPos val="nextTo"/>
        <c:crossAx val="1529364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'RPO P16'!$B$2:$B$8</c:f>
              <c:strCache>
                <c:ptCount val="7"/>
                <c:pt idx="0">
                  <c:v>Prostsza, bardziej zrozumiała dokumentacja</c:v>
                </c:pt>
                <c:pt idx="1">
                  <c:v>Łatwiejsze do spełnienia warunki i kryteria wyboru projektów</c:v>
                </c:pt>
                <c:pt idx="2">
                  <c:v>Lepsza promocja naborów i skuteczniejsze dotarcie do nas z informacją o naborach</c:v>
                </c:pt>
                <c:pt idx="3">
                  <c:v>Bardziej elastyczne warunki finansowe</c:v>
                </c:pt>
                <c:pt idx="4">
                  <c:v>Szybsze i bardziej przejrzyste procedury oceny projektów</c:v>
                </c:pt>
                <c:pt idx="5">
                  <c:v>Większe wsparcie przy przygotowaniu wniosku</c:v>
                </c:pt>
                <c:pt idx="6">
                  <c:v>Lepsza komunikacja i dostępność instytucji do zadawania pytań</c:v>
                </c:pt>
              </c:strCache>
            </c:strRef>
          </c:cat>
          <c:val>
            <c:numRef>
              <c:f>'RPO P16'!$D$2:$D$8</c:f>
              <c:numCache>
                <c:formatCode>###0.0%</c:formatCode>
                <c:ptCount val="7"/>
                <c:pt idx="0">
                  <c:v>0.48051948051948051</c:v>
                </c:pt>
                <c:pt idx="1">
                  <c:v>0.38961038961038957</c:v>
                </c:pt>
                <c:pt idx="2">
                  <c:v>0.24675324675324675</c:v>
                </c:pt>
                <c:pt idx="3">
                  <c:v>0.23376623376623379</c:v>
                </c:pt>
                <c:pt idx="4">
                  <c:v>0.23376623376623379</c:v>
                </c:pt>
                <c:pt idx="5">
                  <c:v>0.20779220779220778</c:v>
                </c:pt>
                <c:pt idx="6">
                  <c:v>0.18181818181818182</c:v>
                </c:pt>
              </c:numCache>
            </c:numRef>
          </c:val>
          <c:extLst>
            <c:ext xmlns:c16="http://schemas.microsoft.com/office/drawing/2014/chart" uri="{C3380CC4-5D6E-409C-BE32-E72D297353CC}">
              <c16:uniqueId val="{00000000-60E4-4E2F-9ED2-3EF19C1DC874}"/>
            </c:ext>
          </c:extLst>
        </c:ser>
        <c:dLbls>
          <c:showLegendKey val="0"/>
          <c:showVal val="0"/>
          <c:showCatName val="0"/>
          <c:showSerName val="0"/>
          <c:showPercent val="0"/>
          <c:showBubbleSize val="0"/>
        </c:dLbls>
        <c:gapWidth val="182"/>
        <c:axId val="884679520"/>
        <c:axId val="884680000"/>
      </c:barChart>
      <c:catAx>
        <c:axId val="88467952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pl-PL"/>
          </a:p>
        </c:txPr>
        <c:crossAx val="884680000"/>
        <c:crosses val="autoZero"/>
        <c:auto val="1"/>
        <c:lblAlgn val="ctr"/>
        <c:lblOffset val="100"/>
        <c:noMultiLvlLbl val="0"/>
      </c:catAx>
      <c:valAx>
        <c:axId val="884680000"/>
        <c:scaling>
          <c:orientation val="minMax"/>
        </c:scaling>
        <c:delete val="1"/>
        <c:axPos val="t"/>
        <c:numFmt formatCode="###0.0%" sourceLinked="1"/>
        <c:majorTickMark val="none"/>
        <c:minorTickMark val="none"/>
        <c:tickLblPos val="nextTo"/>
        <c:crossAx val="884679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pl-PL"/>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49552866509158705"/>
          <c:y val="5.1019159757898204E-2"/>
          <c:w val="0.45999437909337926"/>
          <c:h val="0.64228447509246078"/>
        </c:manualLayout>
      </c:layout>
      <c:barChart>
        <c:barDir val="bar"/>
        <c:grouping val="percentStacked"/>
        <c:varyColors val="0"/>
        <c:ser>
          <c:idx val="0"/>
          <c:order val="0"/>
          <c:tx>
            <c:strRef>
              <c:f>'FEdKP P5'!$B$2</c:f>
              <c:strCache>
                <c:ptCount val="1"/>
                <c:pt idx="0">
                  <c:v>Zdecydowanie się zgadzam</c:v>
                </c:pt>
              </c:strCache>
            </c:strRef>
          </c:tx>
          <c:spPr>
            <a:solidFill>
              <a:schemeClr val="accent1"/>
            </a:solidFill>
            <a:ln>
              <a:noFill/>
            </a:ln>
            <a:effectLst/>
          </c:spPr>
          <c:invertIfNegative val="0"/>
          <c:dLbls>
            <c:dLbl>
              <c:idx val="0"/>
              <c:layout>
                <c:manualLayout>
                  <c:x val="6.6386368665633175E-3"/>
                  <c:y val="1.1726766344180484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1AE-4507-AC4D-2D6283F9FBA3}"/>
                </c:ext>
              </c:extLst>
            </c:dLbl>
            <c:dLbl>
              <c:idx val="1"/>
              <c:layout>
                <c:manualLayout>
                  <c:x val="8.851558149435829E-3"/>
                  <c:y val="2.1889090786728557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1AE-4507-AC4D-2D6283F9FBA3}"/>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P5'!$G$2:$H$2</c:f>
              <c:numCache>
                <c:formatCode>###0.0%</c:formatCode>
                <c:ptCount val="2"/>
                <c:pt idx="0">
                  <c:v>7.6923076923076927E-2</c:v>
                </c:pt>
                <c:pt idx="1">
                  <c:v>5.7692307692307689E-2</c:v>
                </c:pt>
              </c:numCache>
            </c:numRef>
          </c:val>
          <c:extLst>
            <c:ext xmlns:c16="http://schemas.microsoft.com/office/drawing/2014/chart" uri="{C3380CC4-5D6E-409C-BE32-E72D297353CC}">
              <c16:uniqueId val="{00000002-31AE-4507-AC4D-2D6283F9FBA3}"/>
            </c:ext>
          </c:extLst>
        </c:ser>
        <c:ser>
          <c:idx val="1"/>
          <c:order val="1"/>
          <c:tx>
            <c:strRef>
              <c:f>'FEdKP P5'!$B$3</c:f>
              <c:strCache>
                <c:ptCount val="1"/>
                <c:pt idx="0">
                  <c:v>Raczej się zgadzam</c:v>
                </c:pt>
              </c:strCache>
            </c:strRef>
          </c:tx>
          <c:spPr>
            <a:solidFill>
              <a:schemeClr val="accent2"/>
            </a:solidFill>
            <a:ln>
              <a:noFill/>
            </a:ln>
            <a:effectLst/>
          </c:spPr>
          <c:invertIfNegative val="0"/>
          <c:dLbls>
            <c:dLbl>
              <c:idx val="1"/>
              <c:layout>
                <c:manualLayout>
                  <c:x val="1.3908205841446454E-2"/>
                  <c:y val="-2.1505376344085995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1AE-4507-AC4D-2D6283F9FBA3}"/>
                </c:ext>
              </c:extLst>
            </c:dLbl>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P5'!$G$3:$H$3</c:f>
              <c:numCache>
                <c:formatCode>###0.0%</c:formatCode>
                <c:ptCount val="2"/>
                <c:pt idx="0">
                  <c:v>0.19230769230769229</c:v>
                </c:pt>
                <c:pt idx="1">
                  <c:v>0.125</c:v>
                </c:pt>
              </c:numCache>
            </c:numRef>
          </c:val>
          <c:extLst>
            <c:ext xmlns:c16="http://schemas.microsoft.com/office/drawing/2014/chart" uri="{C3380CC4-5D6E-409C-BE32-E72D297353CC}">
              <c16:uniqueId val="{00000004-31AE-4507-AC4D-2D6283F9FBA3}"/>
            </c:ext>
          </c:extLst>
        </c:ser>
        <c:ser>
          <c:idx val="2"/>
          <c:order val="2"/>
          <c:tx>
            <c:strRef>
              <c:f>'FEdKP P5'!$B$4</c:f>
              <c:strCache>
                <c:ptCount val="1"/>
                <c:pt idx="0">
                  <c:v>Raczej się nie zgadzam</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P5'!$G$4:$H$4</c:f>
              <c:numCache>
                <c:formatCode>###0.0%</c:formatCode>
                <c:ptCount val="2"/>
                <c:pt idx="0">
                  <c:v>0.43269230769230765</c:v>
                </c:pt>
                <c:pt idx="1">
                  <c:v>0.40384615384615385</c:v>
                </c:pt>
              </c:numCache>
            </c:numRef>
          </c:val>
          <c:extLst>
            <c:ext xmlns:c16="http://schemas.microsoft.com/office/drawing/2014/chart" uri="{C3380CC4-5D6E-409C-BE32-E72D297353CC}">
              <c16:uniqueId val="{00000005-31AE-4507-AC4D-2D6283F9FBA3}"/>
            </c:ext>
          </c:extLst>
        </c:ser>
        <c:ser>
          <c:idx val="3"/>
          <c:order val="3"/>
          <c:tx>
            <c:strRef>
              <c:f>'FEdKP P5'!$B$5</c:f>
              <c:strCache>
                <c:ptCount val="1"/>
                <c:pt idx="0">
                  <c:v>Zdecydowanie się nie zgadzam</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P5'!$G$5:$H$5</c:f>
              <c:numCache>
                <c:formatCode>###0.0%</c:formatCode>
                <c:ptCount val="2"/>
                <c:pt idx="0">
                  <c:v>0.125</c:v>
                </c:pt>
                <c:pt idx="1">
                  <c:v>0.21153846153846154</c:v>
                </c:pt>
              </c:numCache>
            </c:numRef>
          </c:val>
          <c:extLst>
            <c:ext xmlns:c16="http://schemas.microsoft.com/office/drawing/2014/chart" uri="{C3380CC4-5D6E-409C-BE32-E72D297353CC}">
              <c16:uniqueId val="{00000006-31AE-4507-AC4D-2D6283F9FBA3}"/>
            </c:ext>
          </c:extLst>
        </c:ser>
        <c:ser>
          <c:idx val="4"/>
          <c:order val="4"/>
          <c:tx>
            <c:strRef>
              <c:f>'FEdKP P5'!$B$6</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P5'!$G$1:$H$1</c:f>
              <c:strCache>
                <c:ptCount val="2"/>
                <c:pt idx="0">
                  <c:v>Wśród kryteriów były kryteria trudne do spełnienia</c:v>
                </c:pt>
                <c:pt idx="1">
                  <c:v>Wśród kryteriów były kryteria niepasujące do specyfiki naszego projektu</c:v>
                </c:pt>
              </c:strCache>
            </c:strRef>
          </c:cat>
          <c:val>
            <c:numRef>
              <c:f>'FEdKP P5'!$G$6:$H$6</c:f>
              <c:numCache>
                <c:formatCode>###0.0%</c:formatCode>
                <c:ptCount val="2"/>
                <c:pt idx="0">
                  <c:v>0.17307692307692307</c:v>
                </c:pt>
                <c:pt idx="1">
                  <c:v>0.20192307692307693</c:v>
                </c:pt>
              </c:numCache>
            </c:numRef>
          </c:val>
          <c:extLst>
            <c:ext xmlns:c16="http://schemas.microsoft.com/office/drawing/2014/chart" uri="{C3380CC4-5D6E-409C-BE32-E72D297353CC}">
              <c16:uniqueId val="{00000007-31AE-4507-AC4D-2D6283F9FBA3}"/>
            </c:ext>
          </c:extLst>
        </c:ser>
        <c:dLbls>
          <c:dLblPos val="ctr"/>
          <c:showLegendKey val="0"/>
          <c:showVal val="1"/>
          <c:showCatName val="0"/>
          <c:showSerName val="0"/>
          <c:showPercent val="0"/>
          <c:showBubbleSize val="0"/>
        </c:dLbls>
        <c:gapWidth val="150"/>
        <c:overlap val="100"/>
        <c:axId val="1529364112"/>
        <c:axId val="1529355472"/>
      </c:barChart>
      <c:catAx>
        <c:axId val="1529364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crossAx val="1529355472"/>
        <c:crosses val="autoZero"/>
        <c:auto val="1"/>
        <c:lblAlgn val="ctr"/>
        <c:lblOffset val="100"/>
        <c:noMultiLvlLbl val="0"/>
      </c:catAx>
      <c:valAx>
        <c:axId val="1529355472"/>
        <c:scaling>
          <c:orientation val="minMax"/>
        </c:scaling>
        <c:delete val="1"/>
        <c:axPos val="b"/>
        <c:numFmt formatCode="0%" sourceLinked="1"/>
        <c:majorTickMark val="none"/>
        <c:minorTickMark val="none"/>
        <c:tickLblPos val="nextTo"/>
        <c:crossAx val="1529364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pl-PL"/>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defRPr>
      </a:pPr>
      <a:endParaRPr lang="pl-PL"/>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P4'!$B$2:$B$6</c:f>
              <c:strCache>
                <c:ptCount val="5"/>
                <c:pt idx="0">
                  <c:v>Mieliśmy tylko ogólny pomysł lub wstępną koncepcję projektu</c:v>
                </c:pt>
                <c:pt idx="1">
                  <c:v>Znaliśmy główne cele i działania, ale projekt nie był jeszcze opracowany</c:v>
                </c:pt>
                <c:pt idx="2">
                  <c:v>Mieliśmy przygotowane główne założenia projektu (np. cele, grupy docelowe, zakres rzeczowy)</c:v>
                </c:pt>
                <c:pt idx="3">
                  <c:v>Projekt był częściowo gotowy – część dokumentów była przygotowana, reszta w trakcie</c:v>
                </c:pt>
                <c:pt idx="4">
                  <c:v>Projekt był w pełni gotowy – posiadaliśmy pełną dokumentację (np. biznesplan, kosztorys, studium wykonalności, analizy)</c:v>
                </c:pt>
              </c:strCache>
            </c:strRef>
          </c:cat>
          <c:val>
            <c:numRef>
              <c:f>'FEdKP P4'!$D$2:$D$6</c:f>
              <c:numCache>
                <c:formatCode>###0.0%</c:formatCode>
                <c:ptCount val="5"/>
                <c:pt idx="0">
                  <c:v>0.11538461538461538</c:v>
                </c:pt>
                <c:pt idx="1">
                  <c:v>0.10576923076923077</c:v>
                </c:pt>
                <c:pt idx="2">
                  <c:v>0.14423076923076925</c:v>
                </c:pt>
                <c:pt idx="3">
                  <c:v>0.44230769230769235</c:v>
                </c:pt>
                <c:pt idx="4">
                  <c:v>0.19230769230769229</c:v>
                </c:pt>
              </c:numCache>
            </c:numRef>
          </c:val>
          <c:extLst>
            <c:ext xmlns:c16="http://schemas.microsoft.com/office/drawing/2014/chart" uri="{C3380CC4-5D6E-409C-BE32-E72D297353CC}">
              <c16:uniqueId val="{00000000-D8BD-46F6-894F-3D560BBEDC19}"/>
            </c:ext>
          </c:extLst>
        </c:ser>
        <c:dLbls>
          <c:showLegendKey val="0"/>
          <c:showVal val="0"/>
          <c:showCatName val="0"/>
          <c:showSerName val="0"/>
          <c:showPercent val="0"/>
          <c:showBubbleSize val="0"/>
        </c:dLbls>
        <c:gapWidth val="182"/>
        <c:axId val="1633328128"/>
        <c:axId val="1633320928"/>
      </c:barChart>
      <c:catAx>
        <c:axId val="16333281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633320928"/>
        <c:crosses val="autoZero"/>
        <c:auto val="1"/>
        <c:lblAlgn val="ctr"/>
        <c:lblOffset val="100"/>
        <c:noMultiLvlLbl val="0"/>
      </c:catAx>
      <c:valAx>
        <c:axId val="1633320928"/>
        <c:scaling>
          <c:orientation val="minMax"/>
        </c:scaling>
        <c:delete val="1"/>
        <c:axPos val="b"/>
        <c:numFmt formatCode="###0.0%" sourceLinked="1"/>
        <c:majorTickMark val="none"/>
        <c:minorTickMark val="none"/>
        <c:tickLblPos val="nextTo"/>
        <c:crossAx val="1633328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'W24'!$B$2</c:f>
              <c:strCache>
                <c:ptCount val="1"/>
                <c:pt idx="0">
                  <c:v>Tak</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'W24'!$C$2:$E$2</c:f>
              <c:numCache>
                <c:formatCode>###0.0%</c:formatCode>
                <c:ptCount val="3"/>
                <c:pt idx="0">
                  <c:v>0.10576923076923077</c:v>
                </c:pt>
                <c:pt idx="1">
                  <c:v>0.17307692307692307</c:v>
                </c:pt>
                <c:pt idx="2">
                  <c:v>7.6923076923076927E-2</c:v>
                </c:pt>
              </c:numCache>
            </c:numRef>
          </c:val>
          <c:extLst>
            <c:ext xmlns:c16="http://schemas.microsoft.com/office/drawing/2014/chart" uri="{C3380CC4-5D6E-409C-BE32-E72D297353CC}">
              <c16:uniqueId val="{00000000-CA96-449C-A264-58643FC439B6}"/>
            </c:ext>
          </c:extLst>
        </c:ser>
        <c:ser>
          <c:idx val="1"/>
          <c:order val="1"/>
          <c:tx>
            <c:strRef>
              <c:f>'W24'!$B$3</c:f>
              <c:strCache>
                <c:ptCount val="1"/>
                <c:pt idx="0">
                  <c:v>Raczej tak</c:v>
                </c:pt>
              </c:strCache>
            </c:strRef>
          </c:tx>
          <c:spPr>
            <a:solidFill>
              <a:schemeClr val="accent2"/>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'W24'!$C$3:$E$3</c:f>
              <c:numCache>
                <c:formatCode>###0.0%</c:formatCode>
                <c:ptCount val="3"/>
                <c:pt idx="0">
                  <c:v>0.21153846153846154</c:v>
                </c:pt>
                <c:pt idx="1">
                  <c:v>0.29807692307692307</c:v>
                </c:pt>
                <c:pt idx="2">
                  <c:v>7.6923076923076927E-2</c:v>
                </c:pt>
              </c:numCache>
            </c:numRef>
          </c:val>
          <c:extLst>
            <c:ext xmlns:c16="http://schemas.microsoft.com/office/drawing/2014/chart" uri="{C3380CC4-5D6E-409C-BE32-E72D297353CC}">
              <c16:uniqueId val="{00000001-CA96-449C-A264-58643FC439B6}"/>
            </c:ext>
          </c:extLst>
        </c:ser>
        <c:ser>
          <c:idx val="2"/>
          <c:order val="2"/>
          <c:tx>
            <c:strRef>
              <c:f>'W24'!$B$4</c:f>
              <c:strCache>
                <c:ptCount val="1"/>
                <c:pt idx="0">
                  <c:v>Raczej nie</c:v>
                </c:pt>
              </c:strCache>
            </c:strRef>
          </c:tx>
          <c:spPr>
            <a:solidFill>
              <a:schemeClr val="accent3"/>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'W24'!$C$4:$E$4</c:f>
              <c:numCache>
                <c:formatCode>###0.0%</c:formatCode>
                <c:ptCount val="3"/>
                <c:pt idx="0">
                  <c:v>0.53846153846153844</c:v>
                </c:pt>
                <c:pt idx="1">
                  <c:v>0.375</c:v>
                </c:pt>
                <c:pt idx="2">
                  <c:v>0.625</c:v>
                </c:pt>
              </c:numCache>
            </c:numRef>
          </c:val>
          <c:extLst>
            <c:ext xmlns:c16="http://schemas.microsoft.com/office/drawing/2014/chart" uri="{C3380CC4-5D6E-409C-BE32-E72D297353CC}">
              <c16:uniqueId val="{00000002-CA96-449C-A264-58643FC439B6}"/>
            </c:ext>
          </c:extLst>
        </c:ser>
        <c:ser>
          <c:idx val="3"/>
          <c:order val="3"/>
          <c:tx>
            <c:strRef>
              <c:f>'W24'!$B$5</c:f>
              <c:strCache>
                <c:ptCount val="1"/>
                <c:pt idx="0">
                  <c:v>Nie</c:v>
                </c:pt>
              </c:strCache>
            </c:strRef>
          </c:tx>
          <c:spPr>
            <a:solidFill>
              <a:schemeClr val="accent4"/>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'W24'!$C$5:$E$5</c:f>
              <c:numCache>
                <c:formatCode>###0.0%</c:formatCode>
                <c:ptCount val="3"/>
                <c:pt idx="0">
                  <c:v>7.6923076923076927E-2</c:v>
                </c:pt>
                <c:pt idx="1">
                  <c:v>0.11538461538461538</c:v>
                </c:pt>
                <c:pt idx="2">
                  <c:v>0.18269230769230771</c:v>
                </c:pt>
              </c:numCache>
            </c:numRef>
          </c:val>
          <c:extLst>
            <c:ext xmlns:c16="http://schemas.microsoft.com/office/drawing/2014/chart" uri="{C3380CC4-5D6E-409C-BE32-E72D297353CC}">
              <c16:uniqueId val="{00000003-CA96-449C-A264-58643FC439B6}"/>
            </c:ext>
          </c:extLst>
        </c:ser>
        <c:ser>
          <c:idx val="4"/>
          <c:order val="4"/>
          <c:tx>
            <c:strRef>
              <c:f>'W24'!$B$6</c:f>
              <c:strCache>
                <c:ptCount val="1"/>
                <c:pt idx="0">
                  <c:v>Nie wiem/ trudno powiedzieć</c:v>
                </c:pt>
              </c:strCache>
            </c:strRef>
          </c:tx>
          <c:spPr>
            <a:solidFill>
              <a:schemeClr val="accent5"/>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'W24'!$C$1:$E$1</c:f>
              <c:strCache>
                <c:ptCount val="3"/>
                <c:pt idx="0">
                  <c:v>Wymagały ponadprzeciętnego nakładu czasu i pracy</c:v>
                </c:pt>
                <c:pt idx="1">
                  <c:v>Wiązały się z istotnymi kosztami przygotowania (np. konieczność zlecenia opracowań zewnętrznych)</c:v>
                </c:pt>
                <c:pt idx="2">
                  <c:v>Wymagały pozyskania trudnodostępnych danych lub dokumentów</c:v>
                </c:pt>
              </c:strCache>
            </c:strRef>
          </c:cat>
          <c:val>
            <c:numRef>
              <c:f>'W24'!$C$6:$E$6</c:f>
              <c:numCache>
                <c:formatCode>###0.0%</c:formatCode>
                <c:ptCount val="3"/>
                <c:pt idx="0">
                  <c:v>6.7307692307692304E-2</c:v>
                </c:pt>
                <c:pt idx="1">
                  <c:v>3.8461538461538464E-2</c:v>
                </c:pt>
                <c:pt idx="2">
                  <c:v>3.8461538461538464E-2</c:v>
                </c:pt>
              </c:numCache>
            </c:numRef>
          </c:val>
          <c:extLst>
            <c:ext xmlns:c16="http://schemas.microsoft.com/office/drawing/2014/chart" uri="{C3380CC4-5D6E-409C-BE32-E72D297353CC}">
              <c16:uniqueId val="{00000004-CA96-449C-A264-58643FC439B6}"/>
            </c:ext>
          </c:extLst>
        </c:ser>
        <c:dLbls>
          <c:dLblPos val="ctr"/>
          <c:showLegendKey val="0"/>
          <c:showVal val="1"/>
          <c:showCatName val="0"/>
          <c:showSerName val="0"/>
          <c:showPercent val="0"/>
          <c:showBubbleSize val="0"/>
        </c:dLbls>
        <c:gapWidth val="150"/>
        <c:overlap val="100"/>
        <c:axId val="1074393952"/>
        <c:axId val="1074394432"/>
      </c:barChart>
      <c:catAx>
        <c:axId val="107439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074394432"/>
        <c:crosses val="autoZero"/>
        <c:auto val="1"/>
        <c:lblAlgn val="ctr"/>
        <c:lblOffset val="100"/>
        <c:noMultiLvlLbl val="0"/>
      </c:catAx>
      <c:valAx>
        <c:axId val="1074394432"/>
        <c:scaling>
          <c:orientation val="minMax"/>
        </c:scaling>
        <c:delete val="1"/>
        <c:axPos val="l"/>
        <c:numFmt formatCode="0%" sourceLinked="1"/>
        <c:majorTickMark val="none"/>
        <c:minorTickMark val="none"/>
        <c:tickLblPos val="nextTo"/>
        <c:crossAx val="10743939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dLbls>
            <c:dLbl>
              <c:idx val="0"/>
              <c:spPr>
                <a:noFill/>
                <a:ln>
                  <a:noFill/>
                </a:ln>
                <a:effectLst/>
              </c:spPr>
              <c:txPr>
                <a:bodyPr rot="0" spcFirstLastPara="1" vertOverflow="ellipsis" vert="horz" wrap="square" anchor="ctr" anchorCtr="1"/>
                <a:lstStyle/>
                <a:p>
                  <a:pPr>
                    <a:defRPr sz="1050" b="0" i="0" u="none" strike="noStrike" kern="1200" baseline="0">
                      <a:solidFill>
                        <a:schemeClr val="bg1"/>
                      </a:solidFill>
                      <a:latin typeface="+mn-lt"/>
                      <a:ea typeface="+mn-ea"/>
                      <a:cs typeface="+mn-cs"/>
                    </a:defRPr>
                  </a:pPr>
                  <a:endParaRPr lang="pl-PL"/>
                </a:p>
              </c:txPr>
              <c:dLblPos val="in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0F1-4F18-A15D-2081E7E13C05}"/>
                </c:ext>
              </c:extLst>
            </c:dLbl>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'FEdKP P12'!$B$2:$B$8</c:f>
              <c:strCache>
                <c:ptCount val="7"/>
                <c:pt idx="0">
                  <c:v>Studium wykonalności | Plan inwestycji</c:v>
                </c:pt>
                <c:pt idx="1">
                  <c:v>Prognozy wskaźników i efektów projektu</c:v>
                </c:pt>
                <c:pt idx="2">
                  <c:v>Audyty, ekspertyzy, analizy specjalistyczne</c:v>
                </c:pt>
                <c:pt idx="3">
                  <c:v>Załączniki finansowe i budżetowe (szczegółowy budżet projektu, harmonogram wydatków, uzasadnienie kosztów)</c:v>
                </c:pt>
                <c:pt idx="4">
                  <c:v>Dokumenty strategiczne wymagane przy aplikowaniu (np. strategie, plany, SUMP)</c:v>
                </c:pt>
                <c:pt idx="5">
                  <c:v>Dokumenty potwierdzające prawo do dysponowania nieruchomością</c:v>
                </c:pt>
                <c:pt idx="6">
                  <c:v>Analiza popytu, analiza potrzeb społecznych lub rynkowych</c:v>
                </c:pt>
              </c:strCache>
            </c:strRef>
          </c:cat>
          <c:val>
            <c:numRef>
              <c:f>'FEdKP P12'!$D$2:$D$8</c:f>
              <c:numCache>
                <c:formatCode>###0.0%</c:formatCode>
                <c:ptCount val="7"/>
                <c:pt idx="0">
                  <c:v>0.73333333333333328</c:v>
                </c:pt>
                <c:pt idx="1">
                  <c:v>0.28333333333333333</c:v>
                </c:pt>
                <c:pt idx="2">
                  <c:v>0.21666666666666667</c:v>
                </c:pt>
                <c:pt idx="3">
                  <c:v>0.15</c:v>
                </c:pt>
                <c:pt idx="4">
                  <c:v>6.6666666666666666E-2</c:v>
                </c:pt>
                <c:pt idx="5">
                  <c:v>0.05</c:v>
                </c:pt>
                <c:pt idx="6">
                  <c:v>3.3333333333333333E-2</c:v>
                </c:pt>
              </c:numCache>
            </c:numRef>
          </c:val>
          <c:extLst>
            <c:ext xmlns:c16="http://schemas.microsoft.com/office/drawing/2014/chart" uri="{C3380CC4-5D6E-409C-BE32-E72D297353CC}">
              <c16:uniqueId val="{00000000-EC39-43E7-BB8F-70733EB53C32}"/>
            </c:ext>
          </c:extLst>
        </c:ser>
        <c:dLbls>
          <c:showLegendKey val="0"/>
          <c:showVal val="0"/>
          <c:showCatName val="0"/>
          <c:showSerName val="0"/>
          <c:showPercent val="0"/>
          <c:showBubbleSize val="0"/>
        </c:dLbls>
        <c:gapWidth val="182"/>
        <c:axId val="1903660880"/>
        <c:axId val="1903650320"/>
      </c:barChart>
      <c:catAx>
        <c:axId val="1903660880"/>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mn-lt"/>
                <a:ea typeface="+mn-ea"/>
                <a:cs typeface="+mn-cs"/>
              </a:defRPr>
            </a:pPr>
            <a:endParaRPr lang="pl-PL"/>
          </a:p>
        </c:txPr>
        <c:crossAx val="1903650320"/>
        <c:crosses val="autoZero"/>
        <c:auto val="1"/>
        <c:lblAlgn val="ctr"/>
        <c:lblOffset val="100"/>
        <c:noMultiLvlLbl val="0"/>
      </c:catAx>
      <c:valAx>
        <c:axId val="1903650320"/>
        <c:scaling>
          <c:orientation val="minMax"/>
        </c:scaling>
        <c:delete val="1"/>
        <c:axPos val="t"/>
        <c:numFmt formatCode="###0.0%" sourceLinked="1"/>
        <c:majorTickMark val="none"/>
        <c:minorTickMark val="none"/>
        <c:tickLblPos val="nextTo"/>
        <c:crossAx val="19036608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Motyw pakietu Office">
  <a:themeElements>
    <a:clrScheme name="FEdKP 2021-2027">
      <a:dk1>
        <a:sysClr val="windowText" lastClr="000000"/>
      </a:dk1>
      <a:lt1>
        <a:sysClr val="window" lastClr="FFFFFF"/>
      </a:lt1>
      <a:dk2>
        <a:srgbClr val="44546A"/>
      </a:dk2>
      <a:lt2>
        <a:srgbClr val="E7E6E6"/>
      </a:lt2>
      <a:accent1>
        <a:srgbClr val="0F14D2"/>
      </a:accent1>
      <a:accent2>
        <a:srgbClr val="FF0032"/>
      </a:accent2>
      <a:accent3>
        <a:srgbClr val="870F8C"/>
      </a:accent3>
      <a:accent4>
        <a:srgbClr val="00AFFF"/>
      </a:accent4>
      <a:accent5>
        <a:srgbClr val="0FCDBE"/>
      </a:accent5>
      <a:accent6>
        <a:srgbClr val="AAAAAA"/>
      </a:accent6>
      <a:hlink>
        <a:srgbClr val="0563C1"/>
      </a:hlink>
      <a:folHlink>
        <a:srgbClr val="954F72"/>
      </a:folHlink>
    </a:clrScheme>
    <a:fontScheme name="Niestandardowy 2">
      <a:majorFont>
        <a:latin typeface="Tahoma"/>
        <a:ea typeface=""/>
        <a:cs typeface=""/>
      </a:majorFont>
      <a:minorFont>
        <a:latin typeface="Tahoma"/>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CAEAD9-F1B8-4484-9793-039A316B2770}">
  <we:reference id="wa200005826" version="1.8.0.0" store="Omex" storeType="OMEX"/>
  <we:alternateReferences>
    <we:reference id="WA200005826" version="1.8.0.0" store="Omex"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7c41d91-0ee7-4302-834a-9d2fa5b2690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434D83CE0585544985B58A44D07943B" ma:contentTypeVersion="4" ma:contentTypeDescription="Utwórz nowy dokument." ma:contentTypeScope="" ma:versionID="bee6009d9940e50947356aa7c28f78a2">
  <xsd:schema xmlns:xsd="http://www.w3.org/2001/XMLSchema" xmlns:xs="http://www.w3.org/2001/XMLSchema" xmlns:p="http://schemas.microsoft.com/office/2006/metadata/properties" xmlns:ns3="17c41d91-0ee7-4302-834a-9d2fa5b26902" targetNamespace="http://schemas.microsoft.com/office/2006/metadata/properties" ma:root="true" ma:fieldsID="afc9e5847fa12ce1b57f20aae29d1300" ns3:_="">
    <xsd:import namespace="17c41d91-0ee7-4302-834a-9d2fa5b26902"/>
    <xsd:element name="properties">
      <xsd:complexType>
        <xsd:sequence>
          <xsd:element name="documentManagement">
            <xsd:complexType>
              <xsd:all>
                <xsd:element ref="ns3:MediaServiceMetadata" minOccurs="0"/>
                <xsd:element ref="ns3:MediaServiceFastMetadata" minOccurs="0"/>
                <xsd:element ref="ns3:_activity"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c41d91-0ee7-4302-834a-9d2fa5b269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9B92A-A475-4EBB-BA6C-2F3498CE1EA8}">
  <ds:schemaRefs>
    <ds:schemaRef ds:uri="http://schemas.microsoft.com/office/2006/metadata/properties"/>
    <ds:schemaRef ds:uri="http://schemas.microsoft.com/office/infopath/2007/PartnerControls"/>
    <ds:schemaRef ds:uri="17c41d91-0ee7-4302-834a-9d2fa5b26902"/>
  </ds:schemaRefs>
</ds:datastoreItem>
</file>

<file path=customXml/itemProps2.xml><?xml version="1.0" encoding="utf-8"?>
<ds:datastoreItem xmlns:ds="http://schemas.openxmlformats.org/officeDocument/2006/customXml" ds:itemID="{9A4CB793-D0FB-460F-91F4-2BF069BB73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c41d91-0ee7-4302-834a-9d2fa5b269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E6F8D4-89D9-4336-8EBF-ED9CD8708425}">
  <ds:schemaRefs>
    <ds:schemaRef ds:uri="http://schemas.microsoft.com/sharepoint/v3/contenttype/forms"/>
  </ds:schemaRefs>
</ds:datastoreItem>
</file>

<file path=customXml/itemProps4.xml><?xml version="1.0" encoding="utf-8"?>
<ds:datastoreItem xmlns:ds="http://schemas.openxmlformats.org/officeDocument/2006/customXml" ds:itemID="{6C9B5B03-611F-49CD-904F-5A903D4C4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160</Pages>
  <Words>48872</Words>
  <Characters>293234</Characters>
  <Application>Microsoft Office Word</Application>
  <DocSecurity>0</DocSecurity>
  <Lines>2443</Lines>
  <Paragraphs>682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341424</CharactersWithSpaces>
  <SharedDoc>false</SharedDoc>
  <HLinks>
    <vt:vector size="210" baseType="variant">
      <vt:variant>
        <vt:i4>6357041</vt:i4>
      </vt:variant>
      <vt:variant>
        <vt:i4>225</vt:i4>
      </vt:variant>
      <vt:variant>
        <vt:i4>0</vt:i4>
      </vt:variant>
      <vt:variant>
        <vt:i4>5</vt:i4>
      </vt:variant>
      <vt:variant>
        <vt:lpwstr>http://www.funduszeeuropejskie.gov.pl/</vt:lpwstr>
      </vt:variant>
      <vt:variant>
        <vt:lpwstr/>
      </vt:variant>
      <vt:variant>
        <vt:i4>1769477</vt:i4>
      </vt:variant>
      <vt:variant>
        <vt:i4>222</vt:i4>
      </vt:variant>
      <vt:variant>
        <vt:i4>0</vt:i4>
      </vt:variant>
      <vt:variant>
        <vt:i4>5</vt:i4>
      </vt:variant>
      <vt:variant>
        <vt:lpwstr>https://funduszeue.kujawsko-pomorskie.pl/</vt:lpwstr>
      </vt:variant>
      <vt:variant>
        <vt:lpwstr/>
      </vt:variant>
      <vt:variant>
        <vt:i4>2687082</vt:i4>
      </vt:variant>
      <vt:variant>
        <vt:i4>183</vt:i4>
      </vt:variant>
      <vt:variant>
        <vt:i4>0</vt:i4>
      </vt:variant>
      <vt:variant>
        <vt:i4>5</vt:i4>
      </vt:variant>
      <vt:variant>
        <vt:lpwstr>https://funduszeue.kujawsko-pomorskie.pl/instrumenty-terytorialne/</vt:lpwstr>
      </vt:variant>
      <vt:variant>
        <vt:lpwstr/>
      </vt:variant>
      <vt:variant>
        <vt:i4>2687082</vt:i4>
      </vt:variant>
      <vt:variant>
        <vt:i4>177</vt:i4>
      </vt:variant>
      <vt:variant>
        <vt:i4>0</vt:i4>
      </vt:variant>
      <vt:variant>
        <vt:i4>5</vt:i4>
      </vt:variant>
      <vt:variant>
        <vt:lpwstr>https://funduszeue.kujawsko-pomorskie.pl/instrumenty-terytorialne/</vt:lpwstr>
      </vt:variant>
      <vt:variant>
        <vt:lpwstr/>
      </vt:variant>
      <vt:variant>
        <vt:i4>1310770</vt:i4>
      </vt:variant>
      <vt:variant>
        <vt:i4>143</vt:i4>
      </vt:variant>
      <vt:variant>
        <vt:i4>0</vt:i4>
      </vt:variant>
      <vt:variant>
        <vt:i4>5</vt:i4>
      </vt:variant>
      <vt:variant>
        <vt:lpwstr/>
      </vt:variant>
      <vt:variant>
        <vt:lpwstr>_Toc208593157</vt:lpwstr>
      </vt:variant>
      <vt:variant>
        <vt:i4>1310770</vt:i4>
      </vt:variant>
      <vt:variant>
        <vt:i4>137</vt:i4>
      </vt:variant>
      <vt:variant>
        <vt:i4>0</vt:i4>
      </vt:variant>
      <vt:variant>
        <vt:i4>5</vt:i4>
      </vt:variant>
      <vt:variant>
        <vt:lpwstr/>
      </vt:variant>
      <vt:variant>
        <vt:lpwstr>_Toc208593156</vt:lpwstr>
      </vt:variant>
      <vt:variant>
        <vt:i4>1310770</vt:i4>
      </vt:variant>
      <vt:variant>
        <vt:i4>131</vt:i4>
      </vt:variant>
      <vt:variant>
        <vt:i4>0</vt:i4>
      </vt:variant>
      <vt:variant>
        <vt:i4>5</vt:i4>
      </vt:variant>
      <vt:variant>
        <vt:lpwstr/>
      </vt:variant>
      <vt:variant>
        <vt:lpwstr>_Toc208593155</vt:lpwstr>
      </vt:variant>
      <vt:variant>
        <vt:i4>1310770</vt:i4>
      </vt:variant>
      <vt:variant>
        <vt:i4>125</vt:i4>
      </vt:variant>
      <vt:variant>
        <vt:i4>0</vt:i4>
      </vt:variant>
      <vt:variant>
        <vt:i4>5</vt:i4>
      </vt:variant>
      <vt:variant>
        <vt:lpwstr/>
      </vt:variant>
      <vt:variant>
        <vt:lpwstr>_Toc208593154</vt:lpwstr>
      </vt:variant>
      <vt:variant>
        <vt:i4>1310770</vt:i4>
      </vt:variant>
      <vt:variant>
        <vt:i4>119</vt:i4>
      </vt:variant>
      <vt:variant>
        <vt:i4>0</vt:i4>
      </vt:variant>
      <vt:variant>
        <vt:i4>5</vt:i4>
      </vt:variant>
      <vt:variant>
        <vt:lpwstr/>
      </vt:variant>
      <vt:variant>
        <vt:lpwstr>_Toc208593153</vt:lpwstr>
      </vt:variant>
      <vt:variant>
        <vt:i4>1310770</vt:i4>
      </vt:variant>
      <vt:variant>
        <vt:i4>113</vt:i4>
      </vt:variant>
      <vt:variant>
        <vt:i4>0</vt:i4>
      </vt:variant>
      <vt:variant>
        <vt:i4>5</vt:i4>
      </vt:variant>
      <vt:variant>
        <vt:lpwstr/>
      </vt:variant>
      <vt:variant>
        <vt:lpwstr>_Toc208593152</vt:lpwstr>
      </vt:variant>
      <vt:variant>
        <vt:i4>1310770</vt:i4>
      </vt:variant>
      <vt:variant>
        <vt:i4>107</vt:i4>
      </vt:variant>
      <vt:variant>
        <vt:i4>0</vt:i4>
      </vt:variant>
      <vt:variant>
        <vt:i4>5</vt:i4>
      </vt:variant>
      <vt:variant>
        <vt:lpwstr/>
      </vt:variant>
      <vt:variant>
        <vt:lpwstr>_Toc208593151</vt:lpwstr>
      </vt:variant>
      <vt:variant>
        <vt:i4>1310770</vt:i4>
      </vt:variant>
      <vt:variant>
        <vt:i4>101</vt:i4>
      </vt:variant>
      <vt:variant>
        <vt:i4>0</vt:i4>
      </vt:variant>
      <vt:variant>
        <vt:i4>5</vt:i4>
      </vt:variant>
      <vt:variant>
        <vt:lpwstr/>
      </vt:variant>
      <vt:variant>
        <vt:lpwstr>_Toc208593150</vt:lpwstr>
      </vt:variant>
      <vt:variant>
        <vt:i4>1376306</vt:i4>
      </vt:variant>
      <vt:variant>
        <vt:i4>95</vt:i4>
      </vt:variant>
      <vt:variant>
        <vt:i4>0</vt:i4>
      </vt:variant>
      <vt:variant>
        <vt:i4>5</vt:i4>
      </vt:variant>
      <vt:variant>
        <vt:lpwstr/>
      </vt:variant>
      <vt:variant>
        <vt:lpwstr>_Toc208593149</vt:lpwstr>
      </vt:variant>
      <vt:variant>
        <vt:i4>1376306</vt:i4>
      </vt:variant>
      <vt:variant>
        <vt:i4>89</vt:i4>
      </vt:variant>
      <vt:variant>
        <vt:i4>0</vt:i4>
      </vt:variant>
      <vt:variant>
        <vt:i4>5</vt:i4>
      </vt:variant>
      <vt:variant>
        <vt:lpwstr/>
      </vt:variant>
      <vt:variant>
        <vt:lpwstr>_Toc208593148</vt:lpwstr>
      </vt:variant>
      <vt:variant>
        <vt:i4>1376306</vt:i4>
      </vt:variant>
      <vt:variant>
        <vt:i4>83</vt:i4>
      </vt:variant>
      <vt:variant>
        <vt:i4>0</vt:i4>
      </vt:variant>
      <vt:variant>
        <vt:i4>5</vt:i4>
      </vt:variant>
      <vt:variant>
        <vt:lpwstr/>
      </vt:variant>
      <vt:variant>
        <vt:lpwstr>_Toc208593147</vt:lpwstr>
      </vt:variant>
      <vt:variant>
        <vt:i4>1376306</vt:i4>
      </vt:variant>
      <vt:variant>
        <vt:i4>77</vt:i4>
      </vt:variant>
      <vt:variant>
        <vt:i4>0</vt:i4>
      </vt:variant>
      <vt:variant>
        <vt:i4>5</vt:i4>
      </vt:variant>
      <vt:variant>
        <vt:lpwstr/>
      </vt:variant>
      <vt:variant>
        <vt:lpwstr>_Toc208593146</vt:lpwstr>
      </vt:variant>
      <vt:variant>
        <vt:i4>1376306</vt:i4>
      </vt:variant>
      <vt:variant>
        <vt:i4>71</vt:i4>
      </vt:variant>
      <vt:variant>
        <vt:i4>0</vt:i4>
      </vt:variant>
      <vt:variant>
        <vt:i4>5</vt:i4>
      </vt:variant>
      <vt:variant>
        <vt:lpwstr/>
      </vt:variant>
      <vt:variant>
        <vt:lpwstr>_Toc208593145</vt:lpwstr>
      </vt:variant>
      <vt:variant>
        <vt:i4>1376306</vt:i4>
      </vt:variant>
      <vt:variant>
        <vt:i4>65</vt:i4>
      </vt:variant>
      <vt:variant>
        <vt:i4>0</vt:i4>
      </vt:variant>
      <vt:variant>
        <vt:i4>5</vt:i4>
      </vt:variant>
      <vt:variant>
        <vt:lpwstr/>
      </vt:variant>
      <vt:variant>
        <vt:lpwstr>_Toc208593144</vt:lpwstr>
      </vt:variant>
      <vt:variant>
        <vt:i4>1376306</vt:i4>
      </vt:variant>
      <vt:variant>
        <vt:i4>59</vt:i4>
      </vt:variant>
      <vt:variant>
        <vt:i4>0</vt:i4>
      </vt:variant>
      <vt:variant>
        <vt:i4>5</vt:i4>
      </vt:variant>
      <vt:variant>
        <vt:lpwstr/>
      </vt:variant>
      <vt:variant>
        <vt:lpwstr>_Toc208593143</vt:lpwstr>
      </vt:variant>
      <vt:variant>
        <vt:i4>1376306</vt:i4>
      </vt:variant>
      <vt:variant>
        <vt:i4>53</vt:i4>
      </vt:variant>
      <vt:variant>
        <vt:i4>0</vt:i4>
      </vt:variant>
      <vt:variant>
        <vt:i4>5</vt:i4>
      </vt:variant>
      <vt:variant>
        <vt:lpwstr/>
      </vt:variant>
      <vt:variant>
        <vt:lpwstr>_Toc208593142</vt:lpwstr>
      </vt:variant>
      <vt:variant>
        <vt:i4>1376306</vt:i4>
      </vt:variant>
      <vt:variant>
        <vt:i4>47</vt:i4>
      </vt:variant>
      <vt:variant>
        <vt:i4>0</vt:i4>
      </vt:variant>
      <vt:variant>
        <vt:i4>5</vt:i4>
      </vt:variant>
      <vt:variant>
        <vt:lpwstr/>
      </vt:variant>
      <vt:variant>
        <vt:lpwstr>_Toc208593141</vt:lpwstr>
      </vt:variant>
      <vt:variant>
        <vt:i4>1376306</vt:i4>
      </vt:variant>
      <vt:variant>
        <vt:i4>41</vt:i4>
      </vt:variant>
      <vt:variant>
        <vt:i4>0</vt:i4>
      </vt:variant>
      <vt:variant>
        <vt:i4>5</vt:i4>
      </vt:variant>
      <vt:variant>
        <vt:lpwstr/>
      </vt:variant>
      <vt:variant>
        <vt:lpwstr>_Toc208593140</vt:lpwstr>
      </vt:variant>
      <vt:variant>
        <vt:i4>1179698</vt:i4>
      </vt:variant>
      <vt:variant>
        <vt:i4>35</vt:i4>
      </vt:variant>
      <vt:variant>
        <vt:i4>0</vt:i4>
      </vt:variant>
      <vt:variant>
        <vt:i4>5</vt:i4>
      </vt:variant>
      <vt:variant>
        <vt:lpwstr/>
      </vt:variant>
      <vt:variant>
        <vt:lpwstr>_Toc208593139</vt:lpwstr>
      </vt:variant>
      <vt:variant>
        <vt:i4>1179698</vt:i4>
      </vt:variant>
      <vt:variant>
        <vt:i4>29</vt:i4>
      </vt:variant>
      <vt:variant>
        <vt:i4>0</vt:i4>
      </vt:variant>
      <vt:variant>
        <vt:i4>5</vt:i4>
      </vt:variant>
      <vt:variant>
        <vt:lpwstr/>
      </vt:variant>
      <vt:variant>
        <vt:lpwstr>_Toc208593138</vt:lpwstr>
      </vt:variant>
      <vt:variant>
        <vt:i4>1179698</vt:i4>
      </vt:variant>
      <vt:variant>
        <vt:i4>23</vt:i4>
      </vt:variant>
      <vt:variant>
        <vt:i4>0</vt:i4>
      </vt:variant>
      <vt:variant>
        <vt:i4>5</vt:i4>
      </vt:variant>
      <vt:variant>
        <vt:lpwstr/>
      </vt:variant>
      <vt:variant>
        <vt:lpwstr>_Toc208593137</vt:lpwstr>
      </vt:variant>
      <vt:variant>
        <vt:i4>1179698</vt:i4>
      </vt:variant>
      <vt:variant>
        <vt:i4>17</vt:i4>
      </vt:variant>
      <vt:variant>
        <vt:i4>0</vt:i4>
      </vt:variant>
      <vt:variant>
        <vt:i4>5</vt:i4>
      </vt:variant>
      <vt:variant>
        <vt:lpwstr/>
      </vt:variant>
      <vt:variant>
        <vt:lpwstr>_Toc208593136</vt:lpwstr>
      </vt:variant>
      <vt:variant>
        <vt:i4>1179698</vt:i4>
      </vt:variant>
      <vt:variant>
        <vt:i4>11</vt:i4>
      </vt:variant>
      <vt:variant>
        <vt:i4>0</vt:i4>
      </vt:variant>
      <vt:variant>
        <vt:i4>5</vt:i4>
      </vt:variant>
      <vt:variant>
        <vt:lpwstr/>
      </vt:variant>
      <vt:variant>
        <vt:lpwstr>_Toc208593135</vt:lpwstr>
      </vt:variant>
      <vt:variant>
        <vt:i4>1179698</vt:i4>
      </vt:variant>
      <vt:variant>
        <vt:i4>5</vt:i4>
      </vt:variant>
      <vt:variant>
        <vt:i4>0</vt:i4>
      </vt:variant>
      <vt:variant>
        <vt:i4>5</vt:i4>
      </vt:variant>
      <vt:variant>
        <vt:lpwstr/>
      </vt:variant>
      <vt:variant>
        <vt:lpwstr>_Toc208593134</vt:lpwstr>
      </vt:variant>
      <vt:variant>
        <vt:i4>1179684</vt:i4>
      </vt:variant>
      <vt:variant>
        <vt:i4>0</vt:i4>
      </vt:variant>
      <vt:variant>
        <vt:i4>0</vt:i4>
      </vt:variant>
      <vt:variant>
        <vt:i4>5</vt:i4>
      </vt:variant>
      <vt:variant>
        <vt:lpwstr>mailto:evalu@evalu.pl</vt:lpwstr>
      </vt:variant>
      <vt:variant>
        <vt:lpwstr/>
      </vt:variant>
      <vt:variant>
        <vt:i4>3014781</vt:i4>
      </vt:variant>
      <vt:variant>
        <vt:i4>15</vt:i4>
      </vt:variant>
      <vt:variant>
        <vt:i4>0</vt:i4>
      </vt:variant>
      <vt:variant>
        <vt:i4>5</vt:i4>
      </vt:variant>
      <vt:variant>
        <vt:lpwstr>https://isap.sejm.gov.pl/isap.nsf/DocDetails.xsp?id=WDU20240001283</vt:lpwstr>
      </vt:variant>
      <vt:variant>
        <vt:lpwstr/>
      </vt:variant>
      <vt:variant>
        <vt:i4>6225984</vt:i4>
      </vt:variant>
      <vt:variant>
        <vt:i4>12</vt:i4>
      </vt:variant>
      <vt:variant>
        <vt:i4>0</vt:i4>
      </vt:variant>
      <vt:variant>
        <vt:i4>5</vt:i4>
      </vt:variant>
      <vt:variant>
        <vt:lpwstr>https://funduszeue.slaskie.pl/web/guest/nabory/lsi/24</vt:lpwstr>
      </vt:variant>
      <vt:variant>
        <vt:lpwstr>recruitment-docs</vt:lpwstr>
      </vt:variant>
      <vt:variant>
        <vt:i4>3014765</vt:i4>
      </vt:variant>
      <vt:variant>
        <vt:i4>9</vt:i4>
      </vt:variant>
      <vt:variant>
        <vt:i4>0</vt:i4>
      </vt:variant>
      <vt:variant>
        <vt:i4>5</vt:i4>
      </vt:variant>
      <vt:variant>
        <vt:lpwstr>https://funduszeue.kujawsko-pomorskie.pl/poradniki/http-ocena-zgodnosci-z-zasada-nie-czyn-powaznych-szkod-dnsh/</vt:lpwstr>
      </vt:variant>
      <vt:variant>
        <vt:lpwstr/>
      </vt:variant>
      <vt:variant>
        <vt:i4>8257661</vt:i4>
      </vt:variant>
      <vt:variant>
        <vt:i4>6</vt:i4>
      </vt:variant>
      <vt:variant>
        <vt:i4>0</vt:i4>
      </vt:variant>
      <vt:variant>
        <vt:i4>5</vt:i4>
      </vt:variant>
      <vt:variant>
        <vt:lpwstr>https://funduszeue.kujawsko-pomorskie.pl/poradniki/adaptacja-do-zmian-klimatu-w-okresie-programowania-2021-2027-dla-jednostek-samorzadu-terytorialnego/</vt:lpwstr>
      </vt:variant>
      <vt:variant>
        <vt:lpwstr/>
      </vt:variant>
      <vt:variant>
        <vt:i4>3473449</vt:i4>
      </vt:variant>
      <vt:variant>
        <vt:i4>3</vt:i4>
      </vt:variant>
      <vt:variant>
        <vt:i4>0</vt:i4>
      </vt:variant>
      <vt:variant>
        <vt:i4>5</vt:i4>
      </vt:variant>
      <vt:variant>
        <vt:lpwstr>https://mojregion.eu/rpo/wp-content/uploads/sites/3/2023/05/Kontrakt-programowy.pdf</vt:lpwstr>
      </vt:variant>
      <vt:variant>
        <vt:lpwstr/>
      </vt:variant>
      <vt:variant>
        <vt:i4>6422632</vt:i4>
      </vt:variant>
      <vt:variant>
        <vt:i4>0</vt:i4>
      </vt:variant>
      <vt:variant>
        <vt:i4>0</vt:i4>
      </vt:variant>
      <vt:variant>
        <vt:i4>5</vt:i4>
      </vt:variant>
      <vt:variant>
        <vt:lpwstr>https://funduszeue.kujawsko-pomorskie.pl/wp-content/uploads/2024/11/Regulamin-Wyboru-Projektow-EFS-obowiazuje-od-3.03.2025.pdf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Pałka</dc:creator>
  <cp:keywords/>
  <dc:description/>
  <cp:lastModifiedBy>Anna Chojnacka</cp:lastModifiedBy>
  <cp:revision>17</cp:revision>
  <cp:lastPrinted>2025-10-13T06:15:00Z</cp:lastPrinted>
  <dcterms:created xsi:type="dcterms:W3CDTF">2025-09-24T08:50:00Z</dcterms:created>
  <dcterms:modified xsi:type="dcterms:W3CDTF">2025-10-13T06:16:00Z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0x0101005434D83CE0585544985B58A44D07943B</vt:lpwstr>
  </property>
</Properties>
</file>